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r w:rsidRPr="005901D5">
        <w:rPr>
          <w:rFonts w:hint="eastAsia"/>
          <w:b/>
          <w:bCs/>
          <w:sz w:val="28"/>
        </w:rPr>
        <w:t>金鹰基金管理有限公司旗下部分基金新增</w:t>
      </w:r>
      <w:r w:rsidR="006E2E93" w:rsidRPr="006E2E93">
        <w:rPr>
          <w:rFonts w:hint="eastAsia"/>
          <w:b/>
          <w:bCs/>
          <w:sz w:val="28"/>
        </w:rPr>
        <w:t>华西证券股份有限公司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6E2E93" w:rsidRPr="006E2E93">
        <w:rPr>
          <w:rFonts w:hint="eastAsia"/>
        </w:rPr>
        <w:t>华西证券股份有限公司</w:t>
      </w:r>
      <w:r w:rsidR="00163302" w:rsidRPr="00FE28BD">
        <w:rPr>
          <w:rFonts w:hint="eastAsia"/>
        </w:rPr>
        <w:t>（以下简称“</w:t>
      </w:r>
      <w:r w:rsidR="006E2E93">
        <w:rPr>
          <w:rFonts w:hint="eastAsia"/>
        </w:rPr>
        <w:t>华西证券</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6E2E93">
        <w:rPr>
          <w:rFonts w:cs="Calibri"/>
        </w:rPr>
        <w:t>3</w:t>
      </w:r>
      <w:r w:rsidRPr="009877A4">
        <w:rPr>
          <w:rFonts w:cs="Calibri" w:hint="eastAsia"/>
        </w:rPr>
        <w:t>月</w:t>
      </w:r>
      <w:r w:rsidR="006E2E93">
        <w:rPr>
          <w:rFonts w:cs="Calibri"/>
        </w:rPr>
        <w:t>5</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6E2E93">
        <w:rPr>
          <w:rFonts w:asciiTheme="minorEastAsia" w:hAnsiTheme="minorEastAsia" w:cs="Calibri" w:hint="eastAsia"/>
        </w:rPr>
        <w:t>华西证券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8642" w:type="dxa"/>
        <w:tblLook w:val="04A0"/>
      </w:tblPr>
      <w:tblGrid>
        <w:gridCol w:w="1526"/>
        <w:gridCol w:w="7116"/>
      </w:tblGrid>
      <w:tr w:rsidR="00CA62D2" w:rsidRPr="004636F5" w:rsidTr="007D1D36">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7116"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FB74D6" w:rsidRPr="00BC5E6E" w:rsidTr="007D1D36">
        <w:trPr>
          <w:trHeight w:val="330"/>
        </w:trPr>
        <w:tc>
          <w:tcPr>
            <w:tcW w:w="1526" w:type="dxa"/>
            <w:noWrap/>
            <w:vAlign w:val="center"/>
          </w:tcPr>
          <w:p w:rsidR="00FB74D6" w:rsidRPr="00BC5E6E" w:rsidRDefault="00FB74D6" w:rsidP="007D1D36">
            <w:pPr>
              <w:pStyle w:val="a7"/>
              <w:spacing w:line="360" w:lineRule="auto"/>
              <w:ind w:firstLine="420"/>
              <w:rPr>
                <w:color w:val="000000"/>
              </w:rPr>
            </w:pPr>
            <w:r>
              <w:rPr>
                <w:rFonts w:hint="eastAsia"/>
                <w:color w:val="000000"/>
              </w:rPr>
              <w:t>210008</w:t>
            </w:r>
          </w:p>
        </w:tc>
        <w:tc>
          <w:tcPr>
            <w:tcW w:w="7116" w:type="dxa"/>
            <w:noWrap/>
            <w:vAlign w:val="center"/>
          </w:tcPr>
          <w:p w:rsidR="00FB74D6" w:rsidRPr="00BC5E6E" w:rsidRDefault="00FB74D6" w:rsidP="007D1D36">
            <w:pPr>
              <w:pStyle w:val="a7"/>
              <w:spacing w:line="360" w:lineRule="auto"/>
              <w:ind w:firstLine="420"/>
              <w:rPr>
                <w:color w:val="000000"/>
              </w:rPr>
            </w:pPr>
            <w:r>
              <w:rPr>
                <w:rFonts w:hint="eastAsia"/>
                <w:color w:val="000000"/>
              </w:rPr>
              <w:t>金鹰策略配置混合型证券投资基金</w:t>
            </w:r>
          </w:p>
        </w:tc>
      </w:tr>
      <w:tr w:rsidR="00FB74D6" w:rsidRPr="00BC5E6E" w:rsidTr="007D1D36">
        <w:trPr>
          <w:trHeight w:val="330"/>
        </w:trPr>
        <w:tc>
          <w:tcPr>
            <w:tcW w:w="1526" w:type="dxa"/>
            <w:noWrap/>
            <w:vAlign w:val="center"/>
          </w:tcPr>
          <w:p w:rsidR="00FB74D6" w:rsidRPr="00BC5E6E" w:rsidRDefault="00FB74D6" w:rsidP="007D1D36">
            <w:pPr>
              <w:pStyle w:val="a7"/>
              <w:spacing w:line="360" w:lineRule="auto"/>
              <w:ind w:firstLine="420"/>
              <w:rPr>
                <w:color w:val="000000"/>
              </w:rPr>
            </w:pPr>
            <w:r>
              <w:rPr>
                <w:rFonts w:hint="eastAsia"/>
                <w:color w:val="000000"/>
              </w:rPr>
              <w:t>012541</w:t>
            </w:r>
          </w:p>
        </w:tc>
        <w:tc>
          <w:tcPr>
            <w:tcW w:w="7116" w:type="dxa"/>
            <w:noWrap/>
            <w:vAlign w:val="center"/>
          </w:tcPr>
          <w:p w:rsidR="00FB74D6" w:rsidRPr="00BC5E6E" w:rsidRDefault="00FB74D6" w:rsidP="007D1D36">
            <w:pPr>
              <w:pStyle w:val="a7"/>
              <w:spacing w:line="360" w:lineRule="auto"/>
              <w:ind w:firstLine="420"/>
              <w:rPr>
                <w:color w:val="000000"/>
              </w:rPr>
            </w:pPr>
            <w:r>
              <w:rPr>
                <w:rFonts w:hint="eastAsia"/>
                <w:color w:val="000000"/>
              </w:rPr>
              <w:t>金鹰产业升级混合型证券投资基金A类份额</w:t>
            </w:r>
          </w:p>
        </w:tc>
      </w:tr>
      <w:tr w:rsidR="00FB74D6" w:rsidRPr="00BC5E6E" w:rsidTr="007D1D36">
        <w:trPr>
          <w:trHeight w:val="330"/>
        </w:trPr>
        <w:tc>
          <w:tcPr>
            <w:tcW w:w="1526" w:type="dxa"/>
            <w:noWrap/>
            <w:vAlign w:val="center"/>
          </w:tcPr>
          <w:p w:rsidR="00FB74D6" w:rsidRPr="00BC5E6E" w:rsidRDefault="00FB74D6" w:rsidP="007D1D36">
            <w:pPr>
              <w:pStyle w:val="a7"/>
              <w:spacing w:line="360" w:lineRule="auto"/>
              <w:ind w:firstLine="420"/>
              <w:rPr>
                <w:color w:val="000000"/>
              </w:rPr>
            </w:pPr>
            <w:r>
              <w:rPr>
                <w:rFonts w:hint="eastAsia"/>
                <w:color w:val="000000"/>
              </w:rPr>
              <w:t>012542</w:t>
            </w:r>
          </w:p>
        </w:tc>
        <w:tc>
          <w:tcPr>
            <w:tcW w:w="7116" w:type="dxa"/>
            <w:noWrap/>
            <w:vAlign w:val="center"/>
          </w:tcPr>
          <w:p w:rsidR="00FB74D6" w:rsidRPr="00BC5E6E" w:rsidRDefault="00FB74D6" w:rsidP="007D1D36">
            <w:pPr>
              <w:pStyle w:val="a7"/>
              <w:spacing w:line="360" w:lineRule="auto"/>
              <w:ind w:firstLine="420"/>
              <w:rPr>
                <w:color w:val="000000"/>
              </w:rPr>
            </w:pPr>
            <w:r>
              <w:rPr>
                <w:rFonts w:hint="eastAsia"/>
                <w:color w:val="000000"/>
              </w:rPr>
              <w:t>金鹰产业升级混合型证券投资基金C类份额</w:t>
            </w:r>
          </w:p>
        </w:tc>
      </w:tr>
      <w:tr w:rsidR="00FB74D6" w:rsidRPr="00BC5E6E" w:rsidTr="007D1D36">
        <w:trPr>
          <w:trHeight w:val="330"/>
        </w:trPr>
        <w:tc>
          <w:tcPr>
            <w:tcW w:w="1526" w:type="dxa"/>
            <w:noWrap/>
            <w:vAlign w:val="center"/>
          </w:tcPr>
          <w:p w:rsidR="00FB74D6" w:rsidRPr="00BC5E6E" w:rsidRDefault="00FB74D6" w:rsidP="007D1D36">
            <w:pPr>
              <w:pStyle w:val="a7"/>
              <w:spacing w:line="360" w:lineRule="auto"/>
              <w:ind w:firstLine="420"/>
              <w:rPr>
                <w:color w:val="000000"/>
              </w:rPr>
            </w:pPr>
            <w:r>
              <w:rPr>
                <w:rFonts w:hint="eastAsia"/>
                <w:color w:val="000000"/>
              </w:rPr>
              <w:t>001366</w:t>
            </w:r>
          </w:p>
        </w:tc>
        <w:tc>
          <w:tcPr>
            <w:tcW w:w="7116" w:type="dxa"/>
            <w:noWrap/>
            <w:vAlign w:val="center"/>
          </w:tcPr>
          <w:p w:rsidR="00FB74D6" w:rsidRPr="00BC5E6E" w:rsidRDefault="00FB74D6" w:rsidP="007D1D36">
            <w:pPr>
              <w:pStyle w:val="a7"/>
              <w:spacing w:line="360" w:lineRule="auto"/>
              <w:ind w:firstLine="420"/>
              <w:rPr>
                <w:color w:val="000000"/>
              </w:rPr>
            </w:pPr>
            <w:r>
              <w:rPr>
                <w:rFonts w:hint="eastAsia"/>
                <w:color w:val="000000"/>
              </w:rPr>
              <w:t>金鹰产业整合灵活配置混合型证券投资基金A类份额</w:t>
            </w:r>
          </w:p>
        </w:tc>
      </w:tr>
      <w:tr w:rsidR="00FB74D6" w:rsidRPr="00BC5E6E" w:rsidTr="007D1D36">
        <w:trPr>
          <w:trHeight w:val="330"/>
        </w:trPr>
        <w:tc>
          <w:tcPr>
            <w:tcW w:w="1526" w:type="dxa"/>
            <w:noWrap/>
            <w:vAlign w:val="center"/>
          </w:tcPr>
          <w:p w:rsidR="00FB74D6" w:rsidRPr="00BC5E6E" w:rsidRDefault="00FB74D6" w:rsidP="007D1D36">
            <w:pPr>
              <w:pStyle w:val="a7"/>
              <w:spacing w:line="360" w:lineRule="auto"/>
              <w:ind w:firstLine="420"/>
              <w:rPr>
                <w:color w:val="000000"/>
              </w:rPr>
            </w:pPr>
            <w:r>
              <w:rPr>
                <w:rFonts w:hint="eastAsia"/>
                <w:color w:val="000000"/>
              </w:rPr>
              <w:t>015640</w:t>
            </w:r>
          </w:p>
        </w:tc>
        <w:tc>
          <w:tcPr>
            <w:tcW w:w="7116" w:type="dxa"/>
            <w:noWrap/>
            <w:vAlign w:val="center"/>
          </w:tcPr>
          <w:p w:rsidR="00FB74D6" w:rsidRPr="00BC5E6E" w:rsidRDefault="00FB74D6" w:rsidP="007D1D36">
            <w:pPr>
              <w:pStyle w:val="a7"/>
              <w:spacing w:line="360" w:lineRule="auto"/>
              <w:ind w:firstLine="420"/>
              <w:rPr>
                <w:color w:val="000000"/>
              </w:rPr>
            </w:pPr>
            <w:r>
              <w:rPr>
                <w:rFonts w:hint="eastAsia"/>
                <w:color w:val="000000"/>
              </w:rPr>
              <w:t>金鹰产业整合灵活配置混合型证券投资基金C类份额</w:t>
            </w:r>
          </w:p>
        </w:tc>
      </w:tr>
      <w:tr w:rsidR="00FB74D6" w:rsidRPr="00FB74D6" w:rsidTr="007D1D36">
        <w:trPr>
          <w:trHeight w:val="300"/>
        </w:trPr>
        <w:tc>
          <w:tcPr>
            <w:tcW w:w="152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210001</w:t>
            </w:r>
          </w:p>
        </w:tc>
        <w:tc>
          <w:tcPr>
            <w:tcW w:w="711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金鹰成份股优选证券投资基金</w:t>
            </w:r>
          </w:p>
        </w:tc>
      </w:tr>
      <w:tr w:rsidR="00FB74D6" w:rsidRPr="00FB74D6" w:rsidTr="007D1D36">
        <w:trPr>
          <w:trHeight w:val="300"/>
        </w:trPr>
        <w:tc>
          <w:tcPr>
            <w:tcW w:w="152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162105</w:t>
            </w:r>
          </w:p>
        </w:tc>
        <w:tc>
          <w:tcPr>
            <w:tcW w:w="711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金鹰持久增利债券型证券投资基金（LOF）C类份额</w:t>
            </w:r>
          </w:p>
        </w:tc>
      </w:tr>
      <w:tr w:rsidR="00FB74D6" w:rsidRPr="00FB74D6" w:rsidTr="007D1D36">
        <w:trPr>
          <w:trHeight w:val="300"/>
        </w:trPr>
        <w:tc>
          <w:tcPr>
            <w:tcW w:w="152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004267</w:t>
            </w:r>
          </w:p>
        </w:tc>
        <w:tc>
          <w:tcPr>
            <w:tcW w:w="711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金鹰持久增利债券型证券投资基金（LOF）E类份额</w:t>
            </w:r>
          </w:p>
        </w:tc>
      </w:tr>
      <w:tr w:rsidR="00FB74D6" w:rsidRPr="00FB74D6" w:rsidTr="007D1D36">
        <w:trPr>
          <w:trHeight w:val="300"/>
        </w:trPr>
        <w:tc>
          <w:tcPr>
            <w:tcW w:w="152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013209</w:t>
            </w:r>
          </w:p>
        </w:tc>
        <w:tc>
          <w:tcPr>
            <w:tcW w:w="711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金鹰大视野混合型证券投资基金A类份额</w:t>
            </w:r>
          </w:p>
        </w:tc>
      </w:tr>
      <w:tr w:rsidR="00FB74D6" w:rsidRPr="00FB74D6" w:rsidTr="007D1D36">
        <w:trPr>
          <w:trHeight w:val="300"/>
        </w:trPr>
        <w:tc>
          <w:tcPr>
            <w:tcW w:w="152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013210</w:t>
            </w:r>
          </w:p>
        </w:tc>
        <w:tc>
          <w:tcPr>
            <w:tcW w:w="7116" w:type="dxa"/>
            <w:noWrap/>
            <w:hideMark/>
          </w:tcPr>
          <w:p w:rsidR="00FB74D6" w:rsidRPr="00FB74D6" w:rsidRDefault="00FB74D6" w:rsidP="007D1D36">
            <w:pPr>
              <w:pStyle w:val="a7"/>
              <w:spacing w:line="360" w:lineRule="auto"/>
              <w:ind w:firstLine="420"/>
              <w:rPr>
                <w:color w:val="000000"/>
              </w:rPr>
            </w:pPr>
            <w:r w:rsidRPr="00FB74D6">
              <w:rPr>
                <w:rFonts w:hint="eastAsia"/>
                <w:color w:val="000000"/>
              </w:rPr>
              <w:t>金鹰大视野混合型证券投资基金C类份额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001951</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金鹰改革红利灵活配置混合型证券投资基金</w:t>
            </w:r>
          </w:p>
        </w:tc>
      </w:tr>
      <w:tr w:rsidR="007D1D36" w:rsidRPr="00BC5E6E" w:rsidTr="007D1D36">
        <w:trPr>
          <w:trHeight w:val="330"/>
        </w:trPr>
        <w:tc>
          <w:tcPr>
            <w:tcW w:w="1526" w:type="dxa"/>
            <w:noWrap/>
            <w:vAlign w:val="center"/>
          </w:tcPr>
          <w:p w:rsidR="007D1D36" w:rsidRPr="00BC5E6E" w:rsidRDefault="007D1D36" w:rsidP="007D1D36">
            <w:pPr>
              <w:pStyle w:val="a7"/>
              <w:spacing w:line="360" w:lineRule="auto"/>
              <w:ind w:firstLine="420"/>
              <w:rPr>
                <w:color w:val="000000"/>
              </w:rPr>
            </w:pPr>
            <w:r>
              <w:rPr>
                <w:rFonts w:hint="eastAsia"/>
                <w:color w:val="000000"/>
              </w:rPr>
              <w:t>015931</w:t>
            </w:r>
          </w:p>
        </w:tc>
        <w:tc>
          <w:tcPr>
            <w:tcW w:w="7116" w:type="dxa"/>
            <w:noWrap/>
            <w:vAlign w:val="center"/>
          </w:tcPr>
          <w:p w:rsidR="007D1D36" w:rsidRPr="00BC5E6E" w:rsidRDefault="007D1D36" w:rsidP="007D1D36">
            <w:pPr>
              <w:pStyle w:val="a7"/>
              <w:spacing w:line="360" w:lineRule="auto"/>
              <w:ind w:firstLine="420"/>
              <w:rPr>
                <w:color w:val="000000"/>
              </w:rPr>
            </w:pPr>
            <w:r>
              <w:rPr>
                <w:rFonts w:hint="eastAsia"/>
                <w:color w:val="000000"/>
              </w:rPr>
              <w:t>金鹰恒润债券型发起式证券投资基金A类份额</w:t>
            </w:r>
          </w:p>
        </w:tc>
      </w:tr>
      <w:tr w:rsidR="007D1D36" w:rsidRPr="00BC5E6E" w:rsidTr="007D1D36">
        <w:trPr>
          <w:trHeight w:val="330"/>
        </w:trPr>
        <w:tc>
          <w:tcPr>
            <w:tcW w:w="1526" w:type="dxa"/>
            <w:noWrap/>
            <w:vAlign w:val="center"/>
          </w:tcPr>
          <w:p w:rsidR="007D1D36" w:rsidRPr="00BC5E6E" w:rsidRDefault="007D1D36" w:rsidP="007D1D36">
            <w:pPr>
              <w:pStyle w:val="a7"/>
              <w:spacing w:line="360" w:lineRule="auto"/>
              <w:ind w:firstLine="420"/>
              <w:rPr>
                <w:color w:val="000000"/>
              </w:rPr>
            </w:pPr>
            <w:r>
              <w:rPr>
                <w:rFonts w:hint="eastAsia"/>
                <w:color w:val="000000"/>
              </w:rPr>
              <w:t>015932</w:t>
            </w:r>
          </w:p>
        </w:tc>
        <w:tc>
          <w:tcPr>
            <w:tcW w:w="7116" w:type="dxa"/>
            <w:noWrap/>
            <w:vAlign w:val="center"/>
          </w:tcPr>
          <w:p w:rsidR="007D1D36" w:rsidRPr="00BC5E6E" w:rsidRDefault="007D1D36" w:rsidP="007D1D36">
            <w:pPr>
              <w:pStyle w:val="a7"/>
              <w:spacing w:line="360" w:lineRule="auto"/>
              <w:ind w:firstLine="420"/>
              <w:rPr>
                <w:color w:val="000000"/>
              </w:rPr>
            </w:pPr>
            <w:r>
              <w:rPr>
                <w:rFonts w:hint="eastAsia"/>
                <w:color w:val="000000"/>
              </w:rPr>
              <w:t>金鹰恒润债券型发起式证券投资基金C类份额</w:t>
            </w:r>
          </w:p>
        </w:tc>
      </w:tr>
      <w:tr w:rsidR="007D1D36" w:rsidRPr="00BC5E6E" w:rsidTr="007D1D36">
        <w:trPr>
          <w:trHeight w:val="330"/>
        </w:trPr>
        <w:tc>
          <w:tcPr>
            <w:tcW w:w="1526" w:type="dxa"/>
            <w:noWrap/>
            <w:vAlign w:val="center"/>
          </w:tcPr>
          <w:p w:rsidR="007D1D36" w:rsidRPr="00BC5E6E" w:rsidRDefault="007D1D36" w:rsidP="007D1D36">
            <w:pPr>
              <w:pStyle w:val="a7"/>
              <w:spacing w:line="360" w:lineRule="auto"/>
              <w:ind w:firstLine="420"/>
              <w:rPr>
                <w:color w:val="000000"/>
              </w:rPr>
            </w:pPr>
            <w:r>
              <w:rPr>
                <w:rFonts w:hint="eastAsia"/>
                <w:color w:val="000000"/>
              </w:rPr>
              <w:t>210012</w:t>
            </w:r>
          </w:p>
        </w:tc>
        <w:tc>
          <w:tcPr>
            <w:tcW w:w="7116" w:type="dxa"/>
            <w:noWrap/>
            <w:vAlign w:val="center"/>
          </w:tcPr>
          <w:p w:rsidR="007D1D36" w:rsidRPr="00BC5E6E" w:rsidRDefault="007D1D36" w:rsidP="007D1D36">
            <w:pPr>
              <w:pStyle w:val="a7"/>
              <w:spacing w:line="360" w:lineRule="auto"/>
              <w:ind w:firstLine="420"/>
              <w:rPr>
                <w:color w:val="000000"/>
              </w:rPr>
            </w:pPr>
            <w:r>
              <w:rPr>
                <w:rFonts w:hint="eastAsia"/>
                <w:color w:val="000000"/>
              </w:rPr>
              <w:t>金鹰货币市场证券投资基金A类份额</w:t>
            </w:r>
          </w:p>
        </w:tc>
      </w:tr>
      <w:tr w:rsidR="007D1D36" w:rsidRPr="00BC5E6E" w:rsidTr="007D1D36">
        <w:trPr>
          <w:trHeight w:val="330"/>
        </w:trPr>
        <w:tc>
          <w:tcPr>
            <w:tcW w:w="1526" w:type="dxa"/>
            <w:noWrap/>
            <w:vAlign w:val="center"/>
          </w:tcPr>
          <w:p w:rsidR="007D1D36" w:rsidRPr="00BC5E6E" w:rsidRDefault="007D1D36" w:rsidP="007D1D36">
            <w:pPr>
              <w:pStyle w:val="a7"/>
              <w:spacing w:line="360" w:lineRule="auto"/>
              <w:ind w:firstLine="420"/>
              <w:rPr>
                <w:color w:val="000000"/>
              </w:rPr>
            </w:pPr>
            <w:r>
              <w:rPr>
                <w:rFonts w:hint="eastAsia"/>
                <w:color w:val="000000"/>
              </w:rPr>
              <w:t>210013</w:t>
            </w:r>
          </w:p>
        </w:tc>
        <w:tc>
          <w:tcPr>
            <w:tcW w:w="7116" w:type="dxa"/>
            <w:noWrap/>
            <w:vAlign w:val="center"/>
          </w:tcPr>
          <w:p w:rsidR="007D1D36" w:rsidRPr="00BC5E6E" w:rsidRDefault="007D1D36" w:rsidP="007D1D36">
            <w:pPr>
              <w:pStyle w:val="a7"/>
              <w:spacing w:line="360" w:lineRule="auto"/>
              <w:ind w:firstLine="420"/>
              <w:rPr>
                <w:color w:val="000000"/>
              </w:rPr>
            </w:pPr>
            <w:r>
              <w:rPr>
                <w:rFonts w:hint="eastAsia"/>
                <w:color w:val="000000"/>
              </w:rPr>
              <w:t>金鹰货币市场证券投资基金B类份额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210007</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金鹰技术领先灵活配置混合型证券投资基金A类份额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002196</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金鹰技术领先灵活配置混合型证券投资基金C类份额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lastRenderedPageBreak/>
              <w:t>001167</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金鹰科技创新股票型证券投资基金A类份额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019093</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金鹰科技创新股票型证券投资基金C类份额</w:t>
            </w:r>
          </w:p>
        </w:tc>
      </w:tr>
      <w:tr w:rsidR="007D1D36" w:rsidRPr="00BC5E6E" w:rsidTr="007D1D36">
        <w:trPr>
          <w:trHeight w:val="330"/>
        </w:trPr>
        <w:tc>
          <w:tcPr>
            <w:tcW w:w="1526" w:type="dxa"/>
            <w:noWrap/>
            <w:vAlign w:val="center"/>
          </w:tcPr>
          <w:p w:rsidR="007D1D36" w:rsidRPr="007D1D36" w:rsidRDefault="007D1D36" w:rsidP="007D1D36">
            <w:pPr>
              <w:pStyle w:val="a7"/>
              <w:spacing w:line="360" w:lineRule="auto"/>
              <w:ind w:firstLine="420"/>
              <w:rPr>
                <w:color w:val="000000"/>
              </w:rPr>
            </w:pPr>
            <w:r>
              <w:rPr>
                <w:rFonts w:hint="eastAsia"/>
                <w:color w:val="000000"/>
              </w:rPr>
              <w:t>210010</w:t>
            </w:r>
          </w:p>
        </w:tc>
        <w:tc>
          <w:tcPr>
            <w:tcW w:w="7116" w:type="dxa"/>
            <w:noWrap/>
            <w:vAlign w:val="center"/>
          </w:tcPr>
          <w:p w:rsidR="007D1D36" w:rsidRPr="00BC5E6E" w:rsidRDefault="007D1D36" w:rsidP="007D1D36">
            <w:pPr>
              <w:pStyle w:val="a7"/>
              <w:spacing w:line="360" w:lineRule="auto"/>
              <w:ind w:firstLine="420"/>
              <w:rPr>
                <w:color w:val="000000"/>
              </w:rPr>
            </w:pPr>
            <w:r>
              <w:rPr>
                <w:rFonts w:hint="eastAsia"/>
                <w:color w:val="000000"/>
              </w:rPr>
              <w:t>金鹰灵活配置混合型证券投资基金A类份额</w:t>
            </w:r>
          </w:p>
        </w:tc>
      </w:tr>
      <w:tr w:rsidR="007D1D36" w:rsidRPr="00BC5E6E" w:rsidTr="007D1D36">
        <w:trPr>
          <w:trHeight w:val="330"/>
        </w:trPr>
        <w:tc>
          <w:tcPr>
            <w:tcW w:w="1526" w:type="dxa"/>
            <w:noWrap/>
            <w:vAlign w:val="center"/>
          </w:tcPr>
          <w:p w:rsidR="007D1D36" w:rsidRPr="00BC5E6E" w:rsidRDefault="007D1D36" w:rsidP="007D1D36">
            <w:pPr>
              <w:pStyle w:val="a7"/>
              <w:spacing w:line="360" w:lineRule="auto"/>
              <w:ind w:firstLine="420"/>
              <w:rPr>
                <w:color w:val="000000"/>
              </w:rPr>
            </w:pPr>
            <w:r>
              <w:rPr>
                <w:rFonts w:hint="eastAsia"/>
                <w:color w:val="000000"/>
              </w:rPr>
              <w:t>210011</w:t>
            </w:r>
          </w:p>
        </w:tc>
        <w:tc>
          <w:tcPr>
            <w:tcW w:w="7116" w:type="dxa"/>
            <w:noWrap/>
            <w:vAlign w:val="center"/>
          </w:tcPr>
          <w:p w:rsidR="007D1D36" w:rsidRPr="00BC5E6E" w:rsidRDefault="007D1D36" w:rsidP="007D1D36">
            <w:pPr>
              <w:pStyle w:val="a7"/>
              <w:spacing w:line="360" w:lineRule="auto"/>
              <w:ind w:firstLine="420"/>
              <w:rPr>
                <w:color w:val="000000"/>
              </w:rPr>
            </w:pPr>
            <w:r>
              <w:rPr>
                <w:rFonts w:hint="eastAsia"/>
                <w:color w:val="000000"/>
              </w:rPr>
              <w:t>金鹰灵活配置混合型证券投资基金C类份额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006972</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金鹰民安回报一年定期开放混合型证券投资基金A类份额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007735</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金鹰民安回报一年定期开放混合型证券投资基金C类份额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004265</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金鹰民丰回报定期开放混合型证券投资基金</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004657</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金鹰民富收益混合型证券投资基金A类份额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004658</w:t>
            </w:r>
          </w:p>
        </w:tc>
        <w:tc>
          <w:tcPr>
            <w:tcW w:w="7116" w:type="dxa"/>
            <w:noWrap/>
            <w:hideMark/>
          </w:tcPr>
          <w:p w:rsidR="007D1D36" w:rsidRPr="007D1D36" w:rsidRDefault="007D1D36" w:rsidP="007D1D36">
            <w:pPr>
              <w:pStyle w:val="a7"/>
              <w:spacing w:line="360" w:lineRule="auto"/>
              <w:ind w:firstLine="420"/>
              <w:rPr>
                <w:color w:val="000000"/>
              </w:rPr>
            </w:pPr>
            <w:r w:rsidRPr="007D1D36">
              <w:rPr>
                <w:rFonts w:hint="eastAsia"/>
                <w:color w:val="000000"/>
              </w:rPr>
              <w:t>金鹰民富收益混合型证券投资基金C类份额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009968</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金鹰内需成长混合型证券投资基金A类份额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009969</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金鹰内需成长混合型证券投资基金C类份额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013263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金鹰年年邮享一年持有期债券型证券投资基金A类份额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013264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金鹰年年邮享一年持有期债券型证券投资基金C类份额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011351</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金鹰年年邮益一年持有期混合型证券投资基金A类份额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011352</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金鹰年年邮益一年持有期混合型证券投资基金C类份额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015293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金鹰时代领航一年持有期混合型证券投资基金A类份额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015294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金鹰时代领航一年持有期混合型证券投资基金C类份额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014119</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金鹰时代先锋混合型证券投资基金A类份额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014120</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金鹰时代先锋混合型证券投资基金C类份额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005010</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金鹰添瑞中短债债券型证券投资基金A类份额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005011</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金鹰添瑞中短债债券型证券投资基金C类份额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019638</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金鹰添瑞中短债债券型证券投资基金D类份额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004045</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金鹰添润定期开放债券型发起式证券投资基金</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005752</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金鹰添盛定期开放债券型发起式证券投资基金</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006389</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金鹰添祥中短债债券型证券投资基金A类份额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006390</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金鹰添祥中短债债券型证券投资基金C类份额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003163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金鹰添益3个月定期开放债券型证券投资基金</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003384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金鹰添盈纯债债券型证券投资基金A类份额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012623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金鹰添盈纯债债券型证券投资基金C类份额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lastRenderedPageBreak/>
              <w:t>003733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金鹰添裕纯债债券型证券投资基金A类份额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012622</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金鹰添裕纯债债券型证券投资基金C类份额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210004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金鹰稳健成长混合型证券投资基金</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015792</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金鹰稳进配置六个月持有期混合型发起式基金中基金（FOF）A类份额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015793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金鹰稳进配置六个月持有期混合型发起式基金中基金（FOF）C类份额</w:t>
            </w:r>
          </w:p>
        </w:tc>
      </w:tr>
      <w:tr w:rsidR="007D1D36" w:rsidRPr="007D1D36" w:rsidTr="007D1D36">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004372</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金鹰现金增益交易型货币市场基金A类份额</w:t>
            </w:r>
          </w:p>
        </w:tc>
      </w:tr>
      <w:tr w:rsidR="007D1D36" w:rsidRPr="007D1D36" w:rsidTr="007D1D36">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004373</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金鹰现金增益交易型货币市场基金B类份额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011260</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金鹰新能源混合型证券投资基金A类份额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011261</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金鹰新能源混合型证券投资基金C类份额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006974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金鹰鑫日享债券型证券投资基金A类份额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006975</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金鹰鑫日享债券型证券投资基金C类份额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003502</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金鹰鑫瑞灵活配置混合型证券投资基金A类份额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003503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金鹰鑫瑞灵活配置混合型证券投资基金C类份额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003484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金鹰鑫益灵活配置混合型证券投资基金A类份额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003485</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金鹰鑫益灵活配置混合型证券投资基金C类份额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003853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金鹰信息产业股票型证券投资基金A类份额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005885</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金鹰信息产业股票型证券投资基金C类份额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210003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金鹰行业优势混合型证券投资基金A类份额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018057</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金鹰行业优势混合型证券投资基金C类份额</w:t>
            </w:r>
          </w:p>
        </w:tc>
      </w:tr>
      <w:tr w:rsidR="007D1D36" w:rsidRPr="007D1D36" w:rsidTr="007D1D36">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004040</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金鹰医疗健康产业股票型证券投资基金A类份额</w:t>
            </w:r>
          </w:p>
        </w:tc>
      </w:tr>
      <w:tr w:rsidR="007D1D36" w:rsidRPr="007D1D36" w:rsidTr="007D1D36">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004041</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金鹰医疗健康产业股票型证券投资基金C类份额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210014</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金鹰元丰债券型证券投资基金A类份额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014336</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金鹰元丰债券型证券投资基金C类份额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002681</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金鹰元和灵活配置混合型证券投资基金A类份额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002682</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金鹰元和灵活配置混合型证券投资基金C类份额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002490</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金鹰元祺信用债债券型证券投资基金</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162108</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金鹰元盛债券型发起式证券投资基金（LOF）C类份额</w:t>
            </w:r>
          </w:p>
        </w:tc>
      </w:tr>
      <w:tr w:rsidR="007D1D36" w:rsidRPr="007D1D36" w:rsidTr="007D1D36">
        <w:trPr>
          <w:trHeight w:val="300"/>
        </w:trPr>
        <w:tc>
          <w:tcPr>
            <w:tcW w:w="152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004333</w:t>
            </w:r>
          </w:p>
        </w:tc>
        <w:tc>
          <w:tcPr>
            <w:tcW w:w="7116" w:type="dxa"/>
            <w:noWrap/>
            <w:hideMark/>
          </w:tcPr>
          <w:p w:rsidR="007D1D36" w:rsidRPr="007D1D36" w:rsidRDefault="007D1D36" w:rsidP="007D1D36">
            <w:pPr>
              <w:pStyle w:val="Default"/>
              <w:snapToGrid w:val="0"/>
              <w:spacing w:line="360" w:lineRule="auto"/>
              <w:ind w:firstLineChars="200" w:firstLine="480"/>
              <w:rPr>
                <w:rFonts w:ascii="宋体" w:eastAsia="宋体" w:hAnsi="宋体" w:cs="Calibri"/>
              </w:rPr>
            </w:pPr>
            <w:r w:rsidRPr="007D1D36">
              <w:rPr>
                <w:rFonts w:ascii="宋体" w:eastAsia="宋体" w:hAnsi="宋体" w:cs="Calibri" w:hint="eastAsia"/>
              </w:rPr>
              <w:t>金鹰元盛债券型发起式证券投资基金（LOF）E类份额</w:t>
            </w:r>
          </w:p>
        </w:tc>
      </w:tr>
      <w:tr w:rsidR="007D1D36" w:rsidRPr="007D1D36" w:rsidTr="00354E97">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014513</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金鹰远见优选混合型证券投资基金A类份额</w:t>
            </w:r>
          </w:p>
        </w:tc>
      </w:tr>
      <w:tr w:rsidR="007D1D36" w:rsidRPr="007D1D36" w:rsidTr="00354E97">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014514</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金鹰远见优选混合型证券投资基金C类份额</w:t>
            </w:r>
          </w:p>
        </w:tc>
      </w:tr>
      <w:tr w:rsidR="007D1D36" w:rsidRPr="007D1D36" w:rsidTr="00F87F98">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162102</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金鹰中小盘精选证券投资基金A类份额</w:t>
            </w:r>
          </w:p>
        </w:tc>
      </w:tr>
      <w:tr w:rsidR="007D1D36" w:rsidRPr="007D1D36" w:rsidTr="00F87F98">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019094</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金鹰中小盘精选证券投资基金C类份额</w:t>
            </w:r>
          </w:p>
        </w:tc>
      </w:tr>
      <w:tr w:rsidR="007D1D36" w:rsidRPr="007D1D36" w:rsidTr="001543EC">
        <w:trPr>
          <w:trHeight w:val="300"/>
        </w:trPr>
        <w:tc>
          <w:tcPr>
            <w:tcW w:w="152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210005</w:t>
            </w:r>
          </w:p>
        </w:tc>
        <w:tc>
          <w:tcPr>
            <w:tcW w:w="7116" w:type="dxa"/>
            <w:noWrap/>
            <w:vAlign w:val="center"/>
          </w:tcPr>
          <w:p w:rsidR="007D1D36" w:rsidRPr="007D1D36" w:rsidRDefault="007D1D36" w:rsidP="007D1D36">
            <w:pPr>
              <w:pStyle w:val="Default"/>
              <w:snapToGrid w:val="0"/>
              <w:spacing w:line="360" w:lineRule="auto"/>
              <w:ind w:firstLineChars="200" w:firstLine="480"/>
              <w:rPr>
                <w:rFonts w:ascii="宋体" w:eastAsia="宋体" w:hAnsi="宋体" w:cs="Calibri"/>
              </w:rPr>
            </w:pPr>
            <w:r>
              <w:rPr>
                <w:rFonts w:hint="eastAsia"/>
              </w:rPr>
              <w:t>金鹰主题优势混合型证券投资基金</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6E2E93">
        <w:rPr>
          <w:rFonts w:asciiTheme="minorEastAsia" w:eastAsiaTheme="minorEastAsia" w:hAnsiTheme="minorEastAsia" w:cstheme="minorEastAsia" w:hint="eastAsia"/>
          <w:color w:val="000000" w:themeColor="text1"/>
        </w:rPr>
        <w:t>华西证券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454303"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00454303" w:rsidRPr="00454303">
        <w:rPr>
          <w:rFonts w:asciiTheme="minorEastAsia" w:eastAsiaTheme="minorEastAsia" w:hAnsiTheme="minorEastAsia" w:cstheme="minorEastAsia" w:hint="eastAsia"/>
          <w:color w:val="000000" w:themeColor="text1"/>
        </w:rPr>
        <w:t>目前，</w:t>
      </w:r>
      <w:r w:rsidR="00FA4638" w:rsidRPr="00FA4638">
        <w:rPr>
          <w:rFonts w:asciiTheme="minorEastAsia" w:eastAsiaTheme="minorEastAsia" w:hAnsiTheme="minorEastAsia" w:cstheme="minorEastAsia" w:hint="eastAsia"/>
          <w:color w:val="000000" w:themeColor="text1"/>
        </w:rPr>
        <w:t>金鹰民安回报一年定期开放混合型证券投资基金A</w:t>
      </w:r>
      <w:r w:rsidR="00FA4638">
        <w:rPr>
          <w:rFonts w:asciiTheme="minorEastAsia" w:eastAsiaTheme="minorEastAsia" w:hAnsiTheme="minorEastAsia" w:cstheme="minorEastAsia"/>
          <w:color w:val="000000" w:themeColor="text1"/>
        </w:rPr>
        <w:t>/C</w:t>
      </w:r>
      <w:r w:rsidR="00FA4638">
        <w:rPr>
          <w:rFonts w:asciiTheme="minorEastAsia" w:eastAsiaTheme="minorEastAsia" w:hAnsiTheme="minorEastAsia" w:cstheme="minorEastAsia" w:hint="eastAsia"/>
          <w:color w:val="000000" w:themeColor="text1"/>
        </w:rPr>
        <w:t>类份额、</w:t>
      </w:r>
      <w:r w:rsidR="00FA4638" w:rsidRPr="00FA4638">
        <w:rPr>
          <w:rFonts w:asciiTheme="minorEastAsia" w:eastAsiaTheme="minorEastAsia" w:hAnsiTheme="minorEastAsia" w:cstheme="minorEastAsia" w:hint="eastAsia"/>
          <w:color w:val="000000" w:themeColor="text1"/>
        </w:rPr>
        <w:t>金鹰民丰回报定期开放混合型证券投资基金</w:t>
      </w:r>
      <w:r w:rsidR="00FA4638">
        <w:rPr>
          <w:rFonts w:asciiTheme="minorEastAsia" w:eastAsiaTheme="minorEastAsia" w:hAnsiTheme="minorEastAsia" w:cstheme="minorEastAsia" w:hint="eastAsia"/>
          <w:color w:val="000000" w:themeColor="text1"/>
        </w:rPr>
        <w:t>、</w:t>
      </w:r>
      <w:r w:rsidR="00FA4638" w:rsidRPr="00FA4638">
        <w:rPr>
          <w:rFonts w:asciiTheme="minorEastAsia" w:eastAsiaTheme="minorEastAsia" w:hAnsiTheme="minorEastAsia" w:cstheme="minorEastAsia" w:hint="eastAsia"/>
          <w:color w:val="000000" w:themeColor="text1"/>
        </w:rPr>
        <w:t>金鹰添润定期开放债券型发起式证券投资基金</w:t>
      </w:r>
      <w:r w:rsidR="00FA4638">
        <w:rPr>
          <w:rFonts w:asciiTheme="minorEastAsia" w:eastAsiaTheme="minorEastAsia" w:hAnsiTheme="minorEastAsia" w:cstheme="minorEastAsia" w:hint="eastAsia"/>
          <w:color w:val="000000" w:themeColor="text1"/>
        </w:rPr>
        <w:t>、</w:t>
      </w:r>
      <w:r w:rsidR="00FA4638" w:rsidRPr="00FA4638">
        <w:rPr>
          <w:rFonts w:asciiTheme="minorEastAsia" w:eastAsiaTheme="minorEastAsia" w:hAnsiTheme="minorEastAsia" w:cstheme="minorEastAsia" w:hint="eastAsia"/>
          <w:color w:val="000000" w:themeColor="text1"/>
        </w:rPr>
        <w:t>金鹰添盛定期开放债券型发起式证券投资基金</w:t>
      </w:r>
      <w:r w:rsidR="00FA4638">
        <w:rPr>
          <w:rFonts w:asciiTheme="minorEastAsia" w:eastAsiaTheme="minorEastAsia" w:hAnsiTheme="minorEastAsia" w:cstheme="minorEastAsia" w:hint="eastAsia"/>
          <w:color w:val="000000" w:themeColor="text1"/>
        </w:rPr>
        <w:t>、</w:t>
      </w:r>
      <w:r w:rsidR="00FA4638" w:rsidRPr="00FA4638">
        <w:rPr>
          <w:rFonts w:asciiTheme="minorEastAsia" w:eastAsiaTheme="minorEastAsia" w:hAnsiTheme="minorEastAsia" w:cstheme="minorEastAsia" w:hint="eastAsia"/>
          <w:color w:val="000000" w:themeColor="text1"/>
        </w:rPr>
        <w:t>金鹰添益3个月定期开放债券型证券投资基金</w:t>
      </w:r>
      <w:r w:rsidR="00454303" w:rsidRPr="00454303">
        <w:rPr>
          <w:rFonts w:asciiTheme="minorEastAsia" w:eastAsiaTheme="minorEastAsia" w:hAnsiTheme="minorEastAsia" w:cstheme="minorEastAsia" w:hint="eastAsia"/>
          <w:color w:val="000000" w:themeColor="text1"/>
        </w:rPr>
        <w:t>仍处于封闭期，暂不开放申购、赎回、转换等业务，开放申购、赎回、转换等业务的时间另行公告。</w:t>
      </w:r>
    </w:p>
    <w:p w:rsidR="0028120E" w:rsidRDefault="005F7443"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5F744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5F7443"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w:t>
      </w:r>
      <w:r w:rsidR="000A67B6" w:rsidRPr="000A67B6">
        <w:rPr>
          <w:rFonts w:asciiTheme="minorEastAsia" w:eastAsiaTheme="minorEastAsia" w:hAnsiTheme="minorEastAsia" w:cstheme="minorEastAsia" w:hint="eastAsia"/>
          <w:color w:val="000000" w:themeColor="text1"/>
        </w:rPr>
        <w:t>本基金管理人旗下基金在</w:t>
      </w:r>
      <w:r w:rsidR="000A67B6">
        <w:rPr>
          <w:rFonts w:asciiTheme="minorEastAsia" w:eastAsiaTheme="minorEastAsia" w:hAnsiTheme="minorEastAsia" w:cstheme="minorEastAsia" w:hint="eastAsia"/>
          <w:color w:val="000000" w:themeColor="text1"/>
        </w:rPr>
        <w:t>华西</w:t>
      </w:r>
      <w:r w:rsidR="000A67B6" w:rsidRPr="000A67B6">
        <w:rPr>
          <w:rFonts w:asciiTheme="minorEastAsia" w:eastAsiaTheme="minorEastAsia" w:hAnsiTheme="minorEastAsia" w:cstheme="minorEastAsia" w:hint="eastAsia"/>
          <w:color w:val="000000" w:themeColor="text1"/>
        </w:rPr>
        <w:t>证券的申购、定投费率折扣最低不低于1折，华西证券在此基础上实施的费率优惠活动本基金管理人不再进行限制，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6E2E93">
        <w:rPr>
          <w:rFonts w:asciiTheme="minorEastAsia" w:eastAsiaTheme="minorEastAsia" w:hAnsiTheme="minorEastAsia" w:cstheme="minorEastAsia" w:hint="eastAsia"/>
          <w:color w:val="000000" w:themeColor="text1"/>
        </w:rPr>
        <w:t>华西证券</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6E2E93">
        <w:rPr>
          <w:rFonts w:asciiTheme="minorEastAsia" w:eastAsiaTheme="minorEastAsia" w:hAnsiTheme="minorEastAsia" w:cstheme="minorEastAsia" w:hint="eastAsia"/>
          <w:color w:val="000000" w:themeColor="text1"/>
        </w:rPr>
        <w:t>华西证券</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bookmarkStart w:id="0" w:name="_GoBack"/>
      <w:bookmarkEnd w:id="0"/>
    </w:p>
    <w:p w:rsidR="0028120E" w:rsidRDefault="005F744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Pr>
          <w:rFonts w:asciiTheme="minorEastAsia" w:eastAsiaTheme="minorEastAsia" w:hAnsiTheme="minorEastAsia" w:cstheme="minorEastAsia" w:hint="eastAsia"/>
          <w:color w:val="000000" w:themeColor="text1"/>
        </w:rPr>
        <w:t>、本基金管理人其他基金如新增</w:t>
      </w:r>
      <w:r w:rsidR="006E2E93">
        <w:rPr>
          <w:rFonts w:hint="eastAsia"/>
        </w:rPr>
        <w:t>华西证券</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6E2E93">
        <w:rPr>
          <w:rFonts w:cs="Calibri" w:hint="eastAsia"/>
        </w:rPr>
        <w:t>华西证券</w:t>
      </w:r>
    </w:p>
    <w:p w:rsidR="006E2E93" w:rsidRPr="006E2E93" w:rsidRDefault="006E2E93" w:rsidP="006E2E93">
      <w:pPr>
        <w:pStyle w:val="a7"/>
        <w:shd w:val="clear" w:color="auto" w:fill="FFFFFF"/>
        <w:adjustRightInd w:val="0"/>
        <w:snapToGrid w:val="0"/>
        <w:spacing w:before="0" w:beforeAutospacing="0" w:after="0" w:afterAutospacing="0" w:line="360" w:lineRule="auto"/>
        <w:ind w:firstLine="420"/>
        <w:jc w:val="both"/>
        <w:rPr>
          <w:rFonts w:cs="Calibri"/>
        </w:rPr>
      </w:pPr>
      <w:r w:rsidRPr="006E2E93">
        <w:rPr>
          <w:rFonts w:cs="Calibri" w:hint="eastAsia"/>
        </w:rPr>
        <w:t>客服电话：95584</w:t>
      </w:r>
    </w:p>
    <w:p w:rsidR="006E2E93" w:rsidRDefault="006E2E93" w:rsidP="006E2E93">
      <w:pPr>
        <w:pStyle w:val="a7"/>
        <w:shd w:val="clear" w:color="auto" w:fill="FFFFFF"/>
        <w:adjustRightInd w:val="0"/>
        <w:snapToGrid w:val="0"/>
        <w:spacing w:before="0" w:beforeAutospacing="0" w:after="0" w:afterAutospacing="0" w:line="360" w:lineRule="auto"/>
        <w:ind w:firstLine="420"/>
        <w:jc w:val="both"/>
        <w:rPr>
          <w:rFonts w:cs="Calibri"/>
        </w:rPr>
      </w:pPr>
      <w:r w:rsidRPr="006E2E93">
        <w:rPr>
          <w:rFonts w:cs="Calibri" w:hint="eastAsia"/>
        </w:rPr>
        <w:t>网址：www.hx168.com.cn</w:t>
      </w:r>
    </w:p>
    <w:p w:rsidR="00A00AAF" w:rsidRPr="009877A4" w:rsidRDefault="00163302" w:rsidP="006E2E93">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4B44CE">
        <w:rPr>
          <w:rFonts w:cs="Calibri"/>
        </w:rPr>
        <w:t>3</w:t>
      </w:r>
      <w:r w:rsidR="009877A4" w:rsidRPr="009877A4">
        <w:rPr>
          <w:rFonts w:cs="Calibri" w:hint="eastAsia"/>
        </w:rPr>
        <w:t>月</w:t>
      </w:r>
      <w:r w:rsidR="004B44CE">
        <w:rPr>
          <w:rFonts w:cs="Calibri"/>
        </w:rPr>
        <w:t>5</w:t>
      </w:r>
      <w:r w:rsidR="009877A4" w:rsidRPr="009877A4">
        <w:rPr>
          <w:rFonts w:cs="Calibri" w:hint="eastAsia"/>
        </w:rPr>
        <w:t>日</w:t>
      </w:r>
    </w:p>
    <w:sectPr w:rsidR="00A00AAF" w:rsidRPr="009877A4" w:rsidSect="00E73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A3" w:rsidRDefault="002E3BA3" w:rsidP="00E3201D">
      <w:r>
        <w:separator/>
      </w:r>
    </w:p>
  </w:endnote>
  <w:endnote w:type="continuationSeparator" w:id="0">
    <w:p w:rsidR="002E3BA3" w:rsidRDefault="002E3BA3"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A3" w:rsidRDefault="002E3BA3" w:rsidP="00E3201D">
      <w:r>
        <w:separator/>
      </w:r>
    </w:p>
  </w:footnote>
  <w:footnote w:type="continuationSeparator" w:id="0">
    <w:p w:rsidR="002E3BA3" w:rsidRDefault="002E3BA3"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50C91"/>
    <w:rsid w:val="0007668C"/>
    <w:rsid w:val="00085A32"/>
    <w:rsid w:val="0009331A"/>
    <w:rsid w:val="000A67B6"/>
    <w:rsid w:val="000B1AB2"/>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47453"/>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2E3BA3"/>
    <w:rsid w:val="00317240"/>
    <w:rsid w:val="00336D66"/>
    <w:rsid w:val="00347AA1"/>
    <w:rsid w:val="00347FF3"/>
    <w:rsid w:val="003622CD"/>
    <w:rsid w:val="00364825"/>
    <w:rsid w:val="00372758"/>
    <w:rsid w:val="003811F5"/>
    <w:rsid w:val="003816A3"/>
    <w:rsid w:val="00390CB1"/>
    <w:rsid w:val="00395D45"/>
    <w:rsid w:val="003C4285"/>
    <w:rsid w:val="003C7AEC"/>
    <w:rsid w:val="003D2696"/>
    <w:rsid w:val="003D3C4C"/>
    <w:rsid w:val="003E168F"/>
    <w:rsid w:val="003F276E"/>
    <w:rsid w:val="00420793"/>
    <w:rsid w:val="0043356C"/>
    <w:rsid w:val="00445F84"/>
    <w:rsid w:val="00447446"/>
    <w:rsid w:val="004511C4"/>
    <w:rsid w:val="00453E39"/>
    <w:rsid w:val="00454303"/>
    <w:rsid w:val="004840C8"/>
    <w:rsid w:val="004944A3"/>
    <w:rsid w:val="004A05F5"/>
    <w:rsid w:val="004A0E27"/>
    <w:rsid w:val="004A1B5A"/>
    <w:rsid w:val="004A363A"/>
    <w:rsid w:val="004A47C9"/>
    <w:rsid w:val="004B1512"/>
    <w:rsid w:val="004B44CE"/>
    <w:rsid w:val="004B636A"/>
    <w:rsid w:val="004B6D70"/>
    <w:rsid w:val="004B7B90"/>
    <w:rsid w:val="004C26F2"/>
    <w:rsid w:val="004C5102"/>
    <w:rsid w:val="004D0845"/>
    <w:rsid w:val="004E2142"/>
    <w:rsid w:val="004E32AC"/>
    <w:rsid w:val="00500661"/>
    <w:rsid w:val="00504054"/>
    <w:rsid w:val="00506924"/>
    <w:rsid w:val="005152DB"/>
    <w:rsid w:val="00522178"/>
    <w:rsid w:val="00534398"/>
    <w:rsid w:val="00540E09"/>
    <w:rsid w:val="0055048C"/>
    <w:rsid w:val="00564204"/>
    <w:rsid w:val="00566D76"/>
    <w:rsid w:val="005670F1"/>
    <w:rsid w:val="005706A4"/>
    <w:rsid w:val="0059003D"/>
    <w:rsid w:val="005901D5"/>
    <w:rsid w:val="005973D4"/>
    <w:rsid w:val="005A54A0"/>
    <w:rsid w:val="005B1B58"/>
    <w:rsid w:val="005B7934"/>
    <w:rsid w:val="005C0E53"/>
    <w:rsid w:val="005D7D33"/>
    <w:rsid w:val="005E5033"/>
    <w:rsid w:val="005F0540"/>
    <w:rsid w:val="005F7443"/>
    <w:rsid w:val="00614DC0"/>
    <w:rsid w:val="00620652"/>
    <w:rsid w:val="00627EE6"/>
    <w:rsid w:val="006304B2"/>
    <w:rsid w:val="00631BBC"/>
    <w:rsid w:val="00636821"/>
    <w:rsid w:val="006424F3"/>
    <w:rsid w:val="006434F1"/>
    <w:rsid w:val="006447C3"/>
    <w:rsid w:val="00646793"/>
    <w:rsid w:val="006554A2"/>
    <w:rsid w:val="00665EFB"/>
    <w:rsid w:val="00680493"/>
    <w:rsid w:val="0068154F"/>
    <w:rsid w:val="00691BF4"/>
    <w:rsid w:val="006928B4"/>
    <w:rsid w:val="00695769"/>
    <w:rsid w:val="006A2C3A"/>
    <w:rsid w:val="006D717C"/>
    <w:rsid w:val="006E2E93"/>
    <w:rsid w:val="0070267D"/>
    <w:rsid w:val="00712D07"/>
    <w:rsid w:val="00725991"/>
    <w:rsid w:val="0072741B"/>
    <w:rsid w:val="00734FEB"/>
    <w:rsid w:val="007424F2"/>
    <w:rsid w:val="00743A13"/>
    <w:rsid w:val="00767674"/>
    <w:rsid w:val="00786DAF"/>
    <w:rsid w:val="0079226C"/>
    <w:rsid w:val="00793190"/>
    <w:rsid w:val="00796EAD"/>
    <w:rsid w:val="007B26E1"/>
    <w:rsid w:val="007C4602"/>
    <w:rsid w:val="007D1D36"/>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180"/>
    <w:rsid w:val="008B7C7A"/>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76958"/>
    <w:rsid w:val="00A81E34"/>
    <w:rsid w:val="00AA60FF"/>
    <w:rsid w:val="00AD4BE8"/>
    <w:rsid w:val="00AD6E8D"/>
    <w:rsid w:val="00AF1A2D"/>
    <w:rsid w:val="00AF76F6"/>
    <w:rsid w:val="00B0516D"/>
    <w:rsid w:val="00B07FE4"/>
    <w:rsid w:val="00B336E6"/>
    <w:rsid w:val="00B632AB"/>
    <w:rsid w:val="00B679FB"/>
    <w:rsid w:val="00B80061"/>
    <w:rsid w:val="00B85DD2"/>
    <w:rsid w:val="00B975FE"/>
    <w:rsid w:val="00BB0D06"/>
    <w:rsid w:val="00BB1148"/>
    <w:rsid w:val="00BB477F"/>
    <w:rsid w:val="00BB5BDE"/>
    <w:rsid w:val="00BC2167"/>
    <w:rsid w:val="00BC38F5"/>
    <w:rsid w:val="00BC5516"/>
    <w:rsid w:val="00BC560B"/>
    <w:rsid w:val="00BC5E6E"/>
    <w:rsid w:val="00BC7D60"/>
    <w:rsid w:val="00BD01CC"/>
    <w:rsid w:val="00BE1FB8"/>
    <w:rsid w:val="00BE20B7"/>
    <w:rsid w:val="00BE3FA2"/>
    <w:rsid w:val="00BF633F"/>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C1B1D"/>
    <w:rsid w:val="00CD2771"/>
    <w:rsid w:val="00CD57F0"/>
    <w:rsid w:val="00CE0062"/>
    <w:rsid w:val="00CE4C25"/>
    <w:rsid w:val="00CE608B"/>
    <w:rsid w:val="00D04E30"/>
    <w:rsid w:val="00D31DE1"/>
    <w:rsid w:val="00D33EA3"/>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32FC"/>
    <w:rsid w:val="00E778B5"/>
    <w:rsid w:val="00E87CD2"/>
    <w:rsid w:val="00E913ED"/>
    <w:rsid w:val="00EA1E49"/>
    <w:rsid w:val="00EA1F68"/>
    <w:rsid w:val="00EA60E4"/>
    <w:rsid w:val="00EA695E"/>
    <w:rsid w:val="00EA7DD1"/>
    <w:rsid w:val="00EB0CE1"/>
    <w:rsid w:val="00EB3208"/>
    <w:rsid w:val="00EB5C9D"/>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A4638"/>
    <w:rsid w:val="00FB74D6"/>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FC"/>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E732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732FC"/>
    <w:pPr>
      <w:jc w:val="left"/>
    </w:pPr>
  </w:style>
  <w:style w:type="paragraph" w:styleId="a4">
    <w:name w:val="Balloon Text"/>
    <w:basedOn w:val="a"/>
    <w:link w:val="Char0"/>
    <w:uiPriority w:val="99"/>
    <w:semiHidden/>
    <w:unhideWhenUsed/>
    <w:qFormat/>
    <w:rsid w:val="00E732FC"/>
    <w:rPr>
      <w:sz w:val="18"/>
      <w:szCs w:val="18"/>
    </w:rPr>
  </w:style>
  <w:style w:type="paragraph" w:styleId="a5">
    <w:name w:val="footer"/>
    <w:basedOn w:val="a"/>
    <w:link w:val="Char1"/>
    <w:uiPriority w:val="99"/>
    <w:unhideWhenUsed/>
    <w:qFormat/>
    <w:rsid w:val="00E732F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732F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732F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E732FC"/>
    <w:rPr>
      <w:b/>
      <w:bCs/>
    </w:rPr>
  </w:style>
  <w:style w:type="table" w:styleId="a9">
    <w:name w:val="Table Grid"/>
    <w:basedOn w:val="a1"/>
    <w:uiPriority w:val="59"/>
    <w:qFormat/>
    <w:rsid w:val="00E7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E732FC"/>
    <w:rPr>
      <w:color w:val="4C4C4C"/>
      <w:u w:val="none"/>
    </w:rPr>
  </w:style>
  <w:style w:type="character" w:styleId="ab">
    <w:name w:val="Emphasis"/>
    <w:basedOn w:val="a0"/>
    <w:uiPriority w:val="20"/>
    <w:qFormat/>
    <w:rsid w:val="00E732FC"/>
  </w:style>
  <w:style w:type="character" w:styleId="HTML">
    <w:name w:val="HTML Acronym"/>
    <w:basedOn w:val="a0"/>
    <w:uiPriority w:val="99"/>
    <w:semiHidden/>
    <w:unhideWhenUsed/>
    <w:qFormat/>
    <w:rsid w:val="00E732FC"/>
  </w:style>
  <w:style w:type="character" w:styleId="ac">
    <w:name w:val="Hyperlink"/>
    <w:basedOn w:val="a0"/>
    <w:uiPriority w:val="99"/>
    <w:unhideWhenUsed/>
    <w:qFormat/>
    <w:rsid w:val="00E732FC"/>
    <w:rPr>
      <w:color w:val="0000FF"/>
      <w:u w:val="single"/>
    </w:rPr>
  </w:style>
  <w:style w:type="character" w:styleId="ad">
    <w:name w:val="annotation reference"/>
    <w:basedOn w:val="a0"/>
    <w:uiPriority w:val="99"/>
    <w:semiHidden/>
    <w:unhideWhenUsed/>
    <w:qFormat/>
    <w:rsid w:val="00E732FC"/>
    <w:rPr>
      <w:sz w:val="21"/>
      <w:szCs w:val="21"/>
    </w:rPr>
  </w:style>
  <w:style w:type="character" w:customStyle="1" w:styleId="3Char">
    <w:name w:val="标题 3 Char"/>
    <w:basedOn w:val="a0"/>
    <w:link w:val="3"/>
    <w:uiPriority w:val="9"/>
    <w:qFormat/>
    <w:rsid w:val="00E732FC"/>
    <w:rPr>
      <w:rFonts w:ascii="宋体" w:eastAsia="宋体" w:hAnsi="宋体" w:cs="宋体"/>
      <w:b/>
      <w:bCs/>
      <w:kern w:val="0"/>
      <w:sz w:val="27"/>
      <w:szCs w:val="27"/>
    </w:rPr>
  </w:style>
  <w:style w:type="character" w:customStyle="1" w:styleId="span4">
    <w:name w:val="span4"/>
    <w:basedOn w:val="a0"/>
    <w:qFormat/>
    <w:rsid w:val="00E732FC"/>
  </w:style>
  <w:style w:type="character" w:customStyle="1" w:styleId="span01">
    <w:name w:val="span01"/>
    <w:basedOn w:val="a0"/>
    <w:qFormat/>
    <w:rsid w:val="00E732FC"/>
    <w:rPr>
      <w:sz w:val="24"/>
      <w:szCs w:val="24"/>
    </w:rPr>
  </w:style>
  <w:style w:type="character" w:customStyle="1" w:styleId="icon2">
    <w:name w:val="icon2"/>
    <w:basedOn w:val="a0"/>
    <w:qFormat/>
    <w:rsid w:val="00E732FC"/>
  </w:style>
  <w:style w:type="character" w:customStyle="1" w:styleId="fqrsyliswk">
    <w:name w:val="fqrsyl_iswk"/>
    <w:basedOn w:val="a0"/>
    <w:qFormat/>
    <w:rsid w:val="00E732FC"/>
  </w:style>
  <w:style w:type="character" w:customStyle="1" w:styleId="span03">
    <w:name w:val="span03"/>
    <w:basedOn w:val="a0"/>
    <w:qFormat/>
    <w:rsid w:val="00E732FC"/>
  </w:style>
  <w:style w:type="character" w:customStyle="1" w:styleId="span031">
    <w:name w:val="span031"/>
    <w:basedOn w:val="a0"/>
    <w:qFormat/>
    <w:rsid w:val="00E732FC"/>
  </w:style>
  <w:style w:type="character" w:customStyle="1" w:styleId="fmwfsyiswk">
    <w:name w:val="fmwfsy_iswk"/>
    <w:basedOn w:val="a0"/>
    <w:qFormat/>
    <w:rsid w:val="00E732FC"/>
  </w:style>
  <w:style w:type="character" w:customStyle="1" w:styleId="span1">
    <w:name w:val="span1"/>
    <w:basedOn w:val="a0"/>
    <w:qFormat/>
    <w:rsid w:val="00E732FC"/>
  </w:style>
  <w:style w:type="character" w:customStyle="1" w:styleId="span2">
    <w:name w:val="span2"/>
    <w:basedOn w:val="a0"/>
    <w:qFormat/>
    <w:rsid w:val="00E732FC"/>
  </w:style>
  <w:style w:type="character" w:customStyle="1" w:styleId="hover46">
    <w:name w:val="hover46"/>
    <w:basedOn w:val="a0"/>
    <w:qFormat/>
    <w:rsid w:val="00E732FC"/>
    <w:rPr>
      <w:shd w:val="clear" w:color="auto" w:fill="FEF2E7"/>
    </w:rPr>
  </w:style>
  <w:style w:type="character" w:customStyle="1" w:styleId="hover47">
    <w:name w:val="hover47"/>
    <w:basedOn w:val="a0"/>
    <w:qFormat/>
    <w:rsid w:val="00E732FC"/>
    <w:rPr>
      <w:color w:val="F88413"/>
    </w:rPr>
  </w:style>
  <w:style w:type="character" w:customStyle="1" w:styleId="span02">
    <w:name w:val="span02"/>
    <w:basedOn w:val="a0"/>
    <w:qFormat/>
    <w:rsid w:val="00E732FC"/>
    <w:rPr>
      <w:sz w:val="24"/>
      <w:szCs w:val="24"/>
    </w:rPr>
  </w:style>
  <w:style w:type="character" w:customStyle="1" w:styleId="span021">
    <w:name w:val="span021"/>
    <w:basedOn w:val="a0"/>
    <w:qFormat/>
    <w:rsid w:val="00E732FC"/>
  </w:style>
  <w:style w:type="character" w:customStyle="1" w:styleId="on26">
    <w:name w:val="on26"/>
    <w:basedOn w:val="a0"/>
    <w:qFormat/>
    <w:rsid w:val="00E732FC"/>
    <w:rPr>
      <w:color w:val="F88413"/>
    </w:rPr>
  </w:style>
  <w:style w:type="character" w:customStyle="1" w:styleId="on27">
    <w:name w:val="on27"/>
    <w:basedOn w:val="a0"/>
    <w:qFormat/>
    <w:rsid w:val="00E732FC"/>
  </w:style>
  <w:style w:type="character" w:customStyle="1" w:styleId="span3">
    <w:name w:val="span3"/>
    <w:basedOn w:val="a0"/>
    <w:qFormat/>
    <w:rsid w:val="00E732FC"/>
  </w:style>
  <w:style w:type="character" w:customStyle="1" w:styleId="span011">
    <w:name w:val="span011"/>
    <w:basedOn w:val="a0"/>
    <w:qFormat/>
    <w:rsid w:val="00E732FC"/>
  </w:style>
  <w:style w:type="character" w:customStyle="1" w:styleId="icon">
    <w:name w:val="icon"/>
    <w:basedOn w:val="a0"/>
    <w:qFormat/>
    <w:rsid w:val="00E732FC"/>
  </w:style>
  <w:style w:type="character" w:customStyle="1" w:styleId="hover44">
    <w:name w:val="hover44"/>
    <w:basedOn w:val="a0"/>
    <w:qFormat/>
    <w:rsid w:val="00E732FC"/>
    <w:rPr>
      <w:shd w:val="clear" w:color="auto" w:fill="FEF2E7"/>
    </w:rPr>
  </w:style>
  <w:style w:type="character" w:customStyle="1" w:styleId="hover45">
    <w:name w:val="hover45"/>
    <w:basedOn w:val="a0"/>
    <w:qFormat/>
    <w:rsid w:val="00E732FC"/>
    <w:rPr>
      <w:color w:val="F88413"/>
    </w:rPr>
  </w:style>
  <w:style w:type="character" w:customStyle="1" w:styleId="on">
    <w:name w:val="on"/>
    <w:basedOn w:val="a0"/>
    <w:qFormat/>
    <w:rsid w:val="00E732FC"/>
    <w:rPr>
      <w:color w:val="F88413"/>
    </w:rPr>
  </w:style>
  <w:style w:type="character" w:customStyle="1" w:styleId="on1">
    <w:name w:val="on1"/>
    <w:basedOn w:val="a0"/>
    <w:qFormat/>
    <w:rsid w:val="00E732FC"/>
  </w:style>
  <w:style w:type="character" w:customStyle="1" w:styleId="Char2">
    <w:name w:val="页眉 Char"/>
    <w:basedOn w:val="a0"/>
    <w:link w:val="a6"/>
    <w:uiPriority w:val="99"/>
    <w:qFormat/>
    <w:rsid w:val="00E732FC"/>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E732FC"/>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E732FC"/>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E732FC"/>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E732FC"/>
    <w:rPr>
      <w:rFonts w:asciiTheme="minorHAnsi" w:eastAsiaTheme="minorEastAsia" w:hAnsiTheme="minorHAnsi" w:cstheme="minorBidi"/>
      <w:kern w:val="2"/>
      <w:sz w:val="18"/>
      <w:szCs w:val="18"/>
    </w:rPr>
  </w:style>
  <w:style w:type="character" w:customStyle="1" w:styleId="hover43">
    <w:name w:val="hover43"/>
    <w:basedOn w:val="a0"/>
    <w:qFormat/>
    <w:rsid w:val="00E732FC"/>
    <w:rPr>
      <w:color w:val="F88413"/>
    </w:rPr>
  </w:style>
  <w:style w:type="paragraph" w:customStyle="1" w:styleId="Default">
    <w:name w:val="Default"/>
    <w:qFormat/>
    <w:rsid w:val="00E732FC"/>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E732FC"/>
    <w:rPr>
      <w:color w:val="F88413"/>
    </w:rPr>
  </w:style>
  <w:style w:type="character" w:customStyle="1" w:styleId="hover1">
    <w:name w:val="hover1"/>
    <w:basedOn w:val="a0"/>
    <w:qFormat/>
    <w:rsid w:val="00E732FC"/>
    <w:rPr>
      <w:shd w:val="clear" w:color="auto" w:fill="FEF2E7"/>
    </w:rPr>
  </w:style>
  <w:style w:type="character" w:customStyle="1" w:styleId="hover42">
    <w:name w:val="hover42"/>
    <w:basedOn w:val="a0"/>
    <w:qFormat/>
    <w:rsid w:val="00E732FC"/>
    <w:rPr>
      <w:shd w:val="clear" w:color="auto" w:fill="FEF2E7"/>
    </w:rPr>
  </w:style>
  <w:style w:type="character" w:customStyle="1" w:styleId="on3">
    <w:name w:val="on3"/>
    <w:basedOn w:val="a0"/>
    <w:qFormat/>
    <w:rsid w:val="00E732FC"/>
  </w:style>
  <w:style w:type="character" w:customStyle="1" w:styleId="on4">
    <w:name w:val="on4"/>
    <w:basedOn w:val="a0"/>
    <w:qFormat/>
    <w:rsid w:val="00E732FC"/>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485315">
      <w:bodyDiv w:val="1"/>
      <w:marLeft w:val="0"/>
      <w:marRight w:val="0"/>
      <w:marTop w:val="0"/>
      <w:marBottom w:val="0"/>
      <w:divBdr>
        <w:top w:val="none" w:sz="0" w:space="0" w:color="auto"/>
        <w:left w:val="none" w:sz="0" w:space="0" w:color="auto"/>
        <w:bottom w:val="none" w:sz="0" w:space="0" w:color="auto"/>
        <w:right w:val="none" w:sz="0" w:space="0" w:color="auto"/>
      </w:divBdr>
    </w:div>
    <w:div w:id="98723072">
      <w:bodyDiv w:val="1"/>
      <w:marLeft w:val="0"/>
      <w:marRight w:val="0"/>
      <w:marTop w:val="0"/>
      <w:marBottom w:val="0"/>
      <w:divBdr>
        <w:top w:val="none" w:sz="0" w:space="0" w:color="auto"/>
        <w:left w:val="none" w:sz="0" w:space="0" w:color="auto"/>
        <w:bottom w:val="none" w:sz="0" w:space="0" w:color="auto"/>
        <w:right w:val="none" w:sz="0" w:space="0" w:color="auto"/>
      </w:divBdr>
    </w:div>
    <w:div w:id="125048970">
      <w:bodyDiv w:val="1"/>
      <w:marLeft w:val="0"/>
      <w:marRight w:val="0"/>
      <w:marTop w:val="0"/>
      <w:marBottom w:val="0"/>
      <w:divBdr>
        <w:top w:val="none" w:sz="0" w:space="0" w:color="auto"/>
        <w:left w:val="none" w:sz="0" w:space="0" w:color="auto"/>
        <w:bottom w:val="none" w:sz="0" w:space="0" w:color="auto"/>
        <w:right w:val="none" w:sz="0" w:space="0" w:color="auto"/>
      </w:divBdr>
    </w:div>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02148239">
      <w:bodyDiv w:val="1"/>
      <w:marLeft w:val="0"/>
      <w:marRight w:val="0"/>
      <w:marTop w:val="0"/>
      <w:marBottom w:val="0"/>
      <w:divBdr>
        <w:top w:val="none" w:sz="0" w:space="0" w:color="auto"/>
        <w:left w:val="none" w:sz="0" w:space="0" w:color="auto"/>
        <w:bottom w:val="none" w:sz="0" w:space="0" w:color="auto"/>
        <w:right w:val="none" w:sz="0" w:space="0" w:color="auto"/>
      </w:divBdr>
    </w:div>
    <w:div w:id="402261463">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59498103">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623847446">
      <w:bodyDiv w:val="1"/>
      <w:marLeft w:val="0"/>
      <w:marRight w:val="0"/>
      <w:marTop w:val="0"/>
      <w:marBottom w:val="0"/>
      <w:divBdr>
        <w:top w:val="none" w:sz="0" w:space="0" w:color="auto"/>
        <w:left w:val="none" w:sz="0" w:space="0" w:color="auto"/>
        <w:bottom w:val="none" w:sz="0" w:space="0" w:color="auto"/>
        <w:right w:val="none" w:sz="0" w:space="0" w:color="auto"/>
      </w:divBdr>
    </w:div>
    <w:div w:id="668681077">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741368416">
      <w:bodyDiv w:val="1"/>
      <w:marLeft w:val="0"/>
      <w:marRight w:val="0"/>
      <w:marTop w:val="0"/>
      <w:marBottom w:val="0"/>
      <w:divBdr>
        <w:top w:val="none" w:sz="0" w:space="0" w:color="auto"/>
        <w:left w:val="none" w:sz="0" w:space="0" w:color="auto"/>
        <w:bottom w:val="none" w:sz="0" w:space="0" w:color="auto"/>
        <w:right w:val="none" w:sz="0" w:space="0" w:color="auto"/>
      </w:divBdr>
    </w:div>
    <w:div w:id="832642566">
      <w:bodyDiv w:val="1"/>
      <w:marLeft w:val="0"/>
      <w:marRight w:val="0"/>
      <w:marTop w:val="0"/>
      <w:marBottom w:val="0"/>
      <w:divBdr>
        <w:top w:val="none" w:sz="0" w:space="0" w:color="auto"/>
        <w:left w:val="none" w:sz="0" w:space="0" w:color="auto"/>
        <w:bottom w:val="none" w:sz="0" w:space="0" w:color="auto"/>
        <w:right w:val="none" w:sz="0" w:space="0" w:color="auto"/>
      </w:divBdr>
    </w:div>
    <w:div w:id="846947527">
      <w:bodyDiv w:val="1"/>
      <w:marLeft w:val="0"/>
      <w:marRight w:val="0"/>
      <w:marTop w:val="0"/>
      <w:marBottom w:val="0"/>
      <w:divBdr>
        <w:top w:val="none" w:sz="0" w:space="0" w:color="auto"/>
        <w:left w:val="none" w:sz="0" w:space="0" w:color="auto"/>
        <w:bottom w:val="none" w:sz="0" w:space="0" w:color="auto"/>
        <w:right w:val="none" w:sz="0" w:space="0" w:color="auto"/>
      </w:divBdr>
    </w:div>
    <w:div w:id="955790172">
      <w:bodyDiv w:val="1"/>
      <w:marLeft w:val="0"/>
      <w:marRight w:val="0"/>
      <w:marTop w:val="0"/>
      <w:marBottom w:val="0"/>
      <w:divBdr>
        <w:top w:val="none" w:sz="0" w:space="0" w:color="auto"/>
        <w:left w:val="none" w:sz="0" w:space="0" w:color="auto"/>
        <w:bottom w:val="none" w:sz="0" w:space="0" w:color="auto"/>
        <w:right w:val="none" w:sz="0" w:space="0" w:color="auto"/>
      </w:divBdr>
    </w:div>
    <w:div w:id="957837528">
      <w:bodyDiv w:val="1"/>
      <w:marLeft w:val="0"/>
      <w:marRight w:val="0"/>
      <w:marTop w:val="0"/>
      <w:marBottom w:val="0"/>
      <w:divBdr>
        <w:top w:val="none" w:sz="0" w:space="0" w:color="auto"/>
        <w:left w:val="none" w:sz="0" w:space="0" w:color="auto"/>
        <w:bottom w:val="none" w:sz="0" w:space="0" w:color="auto"/>
        <w:right w:val="none" w:sz="0" w:space="0" w:color="auto"/>
      </w:divBdr>
    </w:div>
    <w:div w:id="1067387382">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098789138">
      <w:bodyDiv w:val="1"/>
      <w:marLeft w:val="0"/>
      <w:marRight w:val="0"/>
      <w:marTop w:val="0"/>
      <w:marBottom w:val="0"/>
      <w:divBdr>
        <w:top w:val="none" w:sz="0" w:space="0" w:color="auto"/>
        <w:left w:val="none" w:sz="0" w:space="0" w:color="auto"/>
        <w:bottom w:val="none" w:sz="0" w:space="0" w:color="auto"/>
        <w:right w:val="none" w:sz="0" w:space="0" w:color="auto"/>
      </w:divBdr>
    </w:div>
    <w:div w:id="1149903259">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238325698">
      <w:bodyDiv w:val="1"/>
      <w:marLeft w:val="0"/>
      <w:marRight w:val="0"/>
      <w:marTop w:val="0"/>
      <w:marBottom w:val="0"/>
      <w:divBdr>
        <w:top w:val="none" w:sz="0" w:space="0" w:color="auto"/>
        <w:left w:val="none" w:sz="0" w:space="0" w:color="auto"/>
        <w:bottom w:val="none" w:sz="0" w:space="0" w:color="auto"/>
        <w:right w:val="none" w:sz="0" w:space="0" w:color="auto"/>
      </w:divBdr>
    </w:div>
    <w:div w:id="1376277478">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466435040">
      <w:bodyDiv w:val="1"/>
      <w:marLeft w:val="0"/>
      <w:marRight w:val="0"/>
      <w:marTop w:val="0"/>
      <w:marBottom w:val="0"/>
      <w:divBdr>
        <w:top w:val="none" w:sz="0" w:space="0" w:color="auto"/>
        <w:left w:val="none" w:sz="0" w:space="0" w:color="auto"/>
        <w:bottom w:val="none" w:sz="0" w:space="0" w:color="auto"/>
        <w:right w:val="none" w:sz="0" w:space="0" w:color="auto"/>
      </w:divBdr>
    </w:div>
    <w:div w:id="1475098045">
      <w:bodyDiv w:val="1"/>
      <w:marLeft w:val="0"/>
      <w:marRight w:val="0"/>
      <w:marTop w:val="0"/>
      <w:marBottom w:val="0"/>
      <w:divBdr>
        <w:top w:val="none" w:sz="0" w:space="0" w:color="auto"/>
        <w:left w:val="none" w:sz="0" w:space="0" w:color="auto"/>
        <w:bottom w:val="none" w:sz="0" w:space="0" w:color="auto"/>
        <w:right w:val="none" w:sz="0" w:space="0" w:color="auto"/>
      </w:divBdr>
    </w:div>
    <w:div w:id="1669476417">
      <w:bodyDiv w:val="1"/>
      <w:marLeft w:val="0"/>
      <w:marRight w:val="0"/>
      <w:marTop w:val="0"/>
      <w:marBottom w:val="0"/>
      <w:divBdr>
        <w:top w:val="none" w:sz="0" w:space="0" w:color="auto"/>
        <w:left w:val="none" w:sz="0" w:space="0" w:color="auto"/>
        <w:bottom w:val="none" w:sz="0" w:space="0" w:color="auto"/>
        <w:right w:val="none" w:sz="0" w:space="0" w:color="auto"/>
      </w:divBdr>
    </w:div>
    <w:div w:id="1720082301">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868326077">
      <w:bodyDiv w:val="1"/>
      <w:marLeft w:val="0"/>
      <w:marRight w:val="0"/>
      <w:marTop w:val="0"/>
      <w:marBottom w:val="0"/>
      <w:divBdr>
        <w:top w:val="none" w:sz="0" w:space="0" w:color="auto"/>
        <w:left w:val="none" w:sz="0" w:space="0" w:color="auto"/>
        <w:bottom w:val="none" w:sz="0" w:space="0" w:color="auto"/>
        <w:right w:val="none" w:sz="0" w:space="0" w:color="auto"/>
      </w:divBdr>
    </w:div>
    <w:div w:id="1891531468">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0524786">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68603516">
      <w:bodyDiv w:val="1"/>
      <w:marLeft w:val="0"/>
      <w:marRight w:val="0"/>
      <w:marTop w:val="0"/>
      <w:marBottom w:val="0"/>
      <w:divBdr>
        <w:top w:val="none" w:sz="0" w:space="0" w:color="auto"/>
        <w:left w:val="none" w:sz="0" w:space="0" w:color="auto"/>
        <w:bottom w:val="none" w:sz="0" w:space="0" w:color="auto"/>
        <w:right w:val="none" w:sz="0" w:space="0" w:color="auto"/>
      </w:divBdr>
    </w:div>
    <w:div w:id="2102022272">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54F10-06BF-474E-86E0-BF570326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4</DocSecurity>
  <Lines>27</Lines>
  <Paragraphs>7</Paragraphs>
  <ScaleCrop>false</ScaleCrop>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