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F" w:rsidRDefault="00503F43">
      <w:pPr>
        <w:widowControl/>
        <w:jc w:val="center"/>
        <w:rPr>
          <w:rFonts w:ascii="黑体" w:eastAsia="黑体" w:hAnsi="黑体" w:cs="宋体"/>
          <w:kern w:val="0"/>
          <w:sz w:val="30"/>
          <w:szCs w:val="30"/>
        </w:rPr>
      </w:pPr>
      <w:r>
        <w:rPr>
          <w:rFonts w:ascii="黑体" w:eastAsia="黑体" w:hAnsi="黑体" w:cs="宋体" w:hint="eastAsia"/>
          <w:kern w:val="0"/>
          <w:sz w:val="30"/>
          <w:szCs w:val="30"/>
        </w:rPr>
        <w:t>关于申万菱信集利三个月定期开放债券型基金第</w:t>
      </w:r>
      <w:r>
        <w:rPr>
          <w:rFonts w:ascii="黑体" w:eastAsia="黑体" w:hAnsi="黑体" w:cs="宋体" w:hint="eastAsia"/>
          <w:kern w:val="0"/>
          <w:sz w:val="30"/>
          <w:szCs w:val="30"/>
        </w:rPr>
        <w:t>八</w:t>
      </w:r>
      <w:r>
        <w:rPr>
          <w:rFonts w:ascii="黑体" w:eastAsia="黑体" w:hAnsi="黑体" w:cs="宋体" w:hint="eastAsia"/>
          <w:kern w:val="0"/>
          <w:sz w:val="30"/>
          <w:szCs w:val="30"/>
        </w:rPr>
        <w:t>次开放申购、赎回业务的公告</w:t>
      </w:r>
    </w:p>
    <w:p w:rsidR="00ED36DF" w:rsidRDefault="00503F43">
      <w:pPr>
        <w:spacing w:line="560" w:lineRule="exact"/>
        <w:jc w:val="center"/>
        <w:rPr>
          <w:rFonts w:ascii="宋体" w:eastAsia="宋体" w:hAnsi="宋体" w:cs="宋体"/>
          <w:bCs/>
          <w:sz w:val="24"/>
          <w:szCs w:val="24"/>
        </w:rPr>
      </w:pPr>
      <w:r>
        <w:rPr>
          <w:rFonts w:ascii="宋体" w:eastAsia="宋体" w:hAnsi="宋体"/>
          <w:color w:val="000000"/>
          <w:sz w:val="24"/>
          <w:szCs w:val="24"/>
        </w:rPr>
        <w:t>公告送出日期：</w:t>
      </w:r>
      <w:r>
        <w:rPr>
          <w:rFonts w:ascii="宋体" w:eastAsia="宋体" w:hAnsi="宋体" w:cs="宋体"/>
          <w:bCs/>
          <w:sz w:val="24"/>
          <w:szCs w:val="24"/>
        </w:rPr>
        <w:t>202</w:t>
      </w:r>
      <w:r>
        <w:rPr>
          <w:rFonts w:ascii="宋体" w:eastAsia="宋体" w:hAnsi="宋体" w:cs="宋体" w:hint="eastAsia"/>
          <w:bCs/>
          <w:sz w:val="24"/>
          <w:szCs w:val="24"/>
        </w:rPr>
        <w:t>4</w:t>
      </w:r>
      <w:r>
        <w:rPr>
          <w:rFonts w:ascii="宋体" w:eastAsia="宋体" w:hAnsi="宋体" w:cs="宋体"/>
          <w:bCs/>
          <w:sz w:val="24"/>
          <w:szCs w:val="24"/>
        </w:rPr>
        <w:t>年</w:t>
      </w:r>
      <w:r>
        <w:rPr>
          <w:rFonts w:ascii="宋体" w:eastAsia="宋体" w:hAnsi="宋体" w:cs="宋体" w:hint="eastAsia"/>
          <w:bCs/>
          <w:sz w:val="24"/>
          <w:szCs w:val="24"/>
        </w:rPr>
        <w:t>3</w:t>
      </w:r>
      <w:r>
        <w:rPr>
          <w:rFonts w:ascii="宋体" w:eastAsia="宋体" w:hAnsi="宋体" w:cs="宋体"/>
          <w:bCs/>
          <w:sz w:val="24"/>
          <w:szCs w:val="24"/>
        </w:rPr>
        <w:t>月</w:t>
      </w:r>
      <w:r>
        <w:rPr>
          <w:rFonts w:ascii="宋体" w:eastAsia="宋体" w:hAnsi="宋体" w:cs="宋体" w:hint="eastAsia"/>
          <w:bCs/>
          <w:sz w:val="24"/>
          <w:szCs w:val="24"/>
        </w:rPr>
        <w:t>5</w:t>
      </w:r>
      <w:bookmarkStart w:id="0" w:name="_GoBack"/>
      <w:bookmarkEnd w:id="0"/>
      <w:r>
        <w:rPr>
          <w:rFonts w:ascii="宋体" w:eastAsia="宋体" w:hAnsi="宋体" w:cs="宋体"/>
          <w:bCs/>
          <w:sz w:val="24"/>
          <w:szCs w:val="24"/>
        </w:rPr>
        <w:t>日</w:t>
      </w:r>
    </w:p>
    <w:p w:rsidR="00ED36DF" w:rsidRDefault="00503F43">
      <w:pPr>
        <w:pStyle w:val="2"/>
        <w:spacing w:line="560" w:lineRule="exact"/>
        <w:rPr>
          <w:rFonts w:ascii="宋体" w:eastAsia="宋体" w:hAnsi="宋体"/>
          <w:bCs w:val="0"/>
          <w:color w:val="000000"/>
          <w:sz w:val="24"/>
          <w:szCs w:val="24"/>
        </w:rPr>
      </w:pPr>
      <w:bookmarkStart w:id="1" w:name="_Toc275961395"/>
      <w:r>
        <w:rPr>
          <w:rFonts w:ascii="宋体" w:eastAsia="宋体" w:hAnsi="宋体"/>
          <w:bCs w:val="0"/>
          <w:color w:val="000000"/>
          <w:sz w:val="24"/>
          <w:szCs w:val="24"/>
        </w:rPr>
        <w:t xml:space="preserve">1 </w:t>
      </w:r>
      <w:r>
        <w:rPr>
          <w:rFonts w:ascii="宋体" w:eastAsia="宋体" w:hAnsi="宋体"/>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2"/>
        <w:gridCol w:w="6137"/>
      </w:tblGrid>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基金名称</w:t>
            </w:r>
          </w:p>
        </w:tc>
        <w:tc>
          <w:tcPr>
            <w:tcW w:w="6137" w:type="dxa"/>
            <w:vAlign w:val="center"/>
          </w:tcPr>
          <w:p w:rsidR="00ED36DF" w:rsidRDefault="00503F43">
            <w:pPr>
              <w:rPr>
                <w:rFonts w:ascii="宋体" w:eastAsia="宋体" w:hAnsi="宋体"/>
                <w:sz w:val="24"/>
                <w:szCs w:val="24"/>
              </w:rPr>
            </w:pPr>
            <w:r>
              <w:rPr>
                <w:rFonts w:ascii="宋体" w:eastAsia="宋体" w:hAnsi="宋体"/>
                <w:sz w:val="24"/>
                <w:szCs w:val="24"/>
              </w:rPr>
              <w:t>申万菱信集利三个月定期开放债券型证券投资基金</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基金简称</w:t>
            </w:r>
          </w:p>
        </w:tc>
        <w:tc>
          <w:tcPr>
            <w:tcW w:w="6137" w:type="dxa"/>
            <w:vAlign w:val="center"/>
          </w:tcPr>
          <w:p w:rsidR="00ED36DF" w:rsidRDefault="00503F43">
            <w:pPr>
              <w:rPr>
                <w:rFonts w:ascii="宋体" w:eastAsia="宋体" w:hAnsi="宋体"/>
                <w:sz w:val="24"/>
                <w:szCs w:val="24"/>
              </w:rPr>
            </w:pPr>
            <w:r>
              <w:rPr>
                <w:rFonts w:ascii="宋体" w:eastAsia="宋体" w:hAnsi="宋体"/>
                <w:sz w:val="24"/>
                <w:szCs w:val="24"/>
              </w:rPr>
              <w:t>申万菱信集利三个月定期开放债</w:t>
            </w:r>
          </w:p>
        </w:tc>
      </w:tr>
      <w:tr w:rsidR="00ED36DF">
        <w:trPr>
          <w:jc w:val="center"/>
        </w:trPr>
        <w:tc>
          <w:tcPr>
            <w:tcW w:w="3502" w:type="dxa"/>
            <w:vAlign w:val="center"/>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基金主代码</w:t>
            </w:r>
          </w:p>
        </w:tc>
        <w:tc>
          <w:tcPr>
            <w:tcW w:w="6137" w:type="dxa"/>
            <w:vAlign w:val="center"/>
          </w:tcPr>
          <w:p w:rsidR="00ED36DF" w:rsidRDefault="00503F43">
            <w:pPr>
              <w:spacing w:line="560" w:lineRule="exact"/>
              <w:rPr>
                <w:rFonts w:ascii="宋体" w:eastAsia="宋体" w:hAnsi="宋体"/>
                <w:sz w:val="24"/>
                <w:szCs w:val="24"/>
              </w:rPr>
            </w:pPr>
            <w:r>
              <w:rPr>
                <w:rFonts w:ascii="宋体" w:eastAsia="宋体" w:hAnsi="宋体"/>
                <w:sz w:val="24"/>
                <w:szCs w:val="24"/>
              </w:rPr>
              <w:t>014383</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基金运作方式</w:t>
            </w:r>
          </w:p>
        </w:tc>
        <w:tc>
          <w:tcPr>
            <w:tcW w:w="6137" w:type="dxa"/>
            <w:vAlign w:val="center"/>
          </w:tcPr>
          <w:p w:rsidR="00ED36DF" w:rsidRDefault="00503F43">
            <w:pPr>
              <w:rPr>
                <w:rFonts w:ascii="宋体" w:eastAsia="宋体" w:hAnsi="宋体"/>
                <w:sz w:val="24"/>
                <w:szCs w:val="24"/>
              </w:rPr>
            </w:pPr>
            <w:r>
              <w:rPr>
                <w:rFonts w:ascii="宋体" w:eastAsia="宋体" w:hAnsi="宋体"/>
                <w:sz w:val="24"/>
                <w:szCs w:val="24"/>
              </w:rPr>
              <w:t>定期开放式</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基金合同生效日</w:t>
            </w:r>
          </w:p>
        </w:tc>
        <w:tc>
          <w:tcPr>
            <w:tcW w:w="6137" w:type="dxa"/>
            <w:vAlign w:val="center"/>
          </w:tcPr>
          <w:p w:rsidR="00ED36DF" w:rsidRDefault="00503F43">
            <w:pPr>
              <w:rPr>
                <w:rFonts w:ascii="宋体" w:eastAsia="宋体" w:hAnsi="宋体"/>
                <w:sz w:val="24"/>
                <w:szCs w:val="24"/>
              </w:rPr>
            </w:pPr>
            <w:r>
              <w:rPr>
                <w:rFonts w:ascii="宋体" w:eastAsia="宋体" w:hAnsi="宋体"/>
                <w:sz w:val="24"/>
                <w:szCs w:val="24"/>
              </w:rPr>
              <w:t>2021</w:t>
            </w:r>
            <w:r>
              <w:rPr>
                <w:rFonts w:ascii="宋体" w:eastAsia="宋体" w:hAnsi="宋体"/>
                <w:sz w:val="24"/>
                <w:szCs w:val="24"/>
              </w:rPr>
              <w:t>年</w:t>
            </w:r>
            <w:r>
              <w:rPr>
                <w:rFonts w:ascii="宋体" w:eastAsia="宋体" w:hAnsi="宋体"/>
                <w:sz w:val="24"/>
                <w:szCs w:val="24"/>
              </w:rPr>
              <w:t>12</w:t>
            </w:r>
            <w:r>
              <w:rPr>
                <w:rFonts w:ascii="宋体" w:eastAsia="宋体" w:hAnsi="宋体"/>
                <w:sz w:val="24"/>
                <w:szCs w:val="24"/>
              </w:rPr>
              <w:t>月</w:t>
            </w:r>
            <w:r>
              <w:rPr>
                <w:rFonts w:ascii="宋体" w:eastAsia="宋体" w:hAnsi="宋体"/>
                <w:sz w:val="24"/>
                <w:szCs w:val="24"/>
              </w:rPr>
              <w:t>24</w:t>
            </w:r>
            <w:r>
              <w:rPr>
                <w:rFonts w:ascii="宋体" w:eastAsia="宋体" w:hAnsi="宋体"/>
                <w:sz w:val="24"/>
                <w:szCs w:val="24"/>
              </w:rPr>
              <w:t>日</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基金管理人名称</w:t>
            </w:r>
          </w:p>
        </w:tc>
        <w:tc>
          <w:tcPr>
            <w:tcW w:w="6137" w:type="dxa"/>
            <w:vAlign w:val="center"/>
          </w:tcPr>
          <w:p w:rsidR="00ED36DF" w:rsidRDefault="00503F43">
            <w:pPr>
              <w:rPr>
                <w:rFonts w:ascii="宋体" w:eastAsia="宋体" w:hAnsi="宋体"/>
                <w:sz w:val="24"/>
                <w:szCs w:val="24"/>
              </w:rPr>
            </w:pPr>
            <w:r>
              <w:rPr>
                <w:rFonts w:ascii="宋体" w:eastAsia="宋体" w:hAnsi="宋体"/>
                <w:sz w:val="24"/>
                <w:szCs w:val="24"/>
              </w:rPr>
              <w:t>申万菱信基金管理有限公司</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基金托管人名称</w:t>
            </w:r>
          </w:p>
        </w:tc>
        <w:tc>
          <w:tcPr>
            <w:tcW w:w="6137" w:type="dxa"/>
            <w:vAlign w:val="center"/>
          </w:tcPr>
          <w:p w:rsidR="00ED36DF" w:rsidRDefault="00503F43">
            <w:pPr>
              <w:rPr>
                <w:rFonts w:ascii="宋体" w:eastAsia="宋体" w:hAnsi="宋体"/>
                <w:sz w:val="24"/>
                <w:szCs w:val="24"/>
              </w:rPr>
            </w:pPr>
            <w:r>
              <w:rPr>
                <w:rFonts w:ascii="宋体" w:eastAsia="宋体" w:hAnsi="宋体"/>
                <w:sz w:val="24"/>
                <w:szCs w:val="24"/>
              </w:rPr>
              <w:t>兴业银行股份有限公司</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基金注册登记机构名称</w:t>
            </w:r>
          </w:p>
        </w:tc>
        <w:tc>
          <w:tcPr>
            <w:tcW w:w="6137" w:type="dxa"/>
            <w:vAlign w:val="center"/>
          </w:tcPr>
          <w:p w:rsidR="00ED36DF" w:rsidRDefault="00503F43">
            <w:pPr>
              <w:rPr>
                <w:rFonts w:ascii="宋体" w:eastAsia="宋体" w:hAnsi="宋体"/>
                <w:sz w:val="24"/>
                <w:szCs w:val="24"/>
              </w:rPr>
            </w:pPr>
            <w:r>
              <w:rPr>
                <w:rFonts w:ascii="宋体" w:eastAsia="宋体" w:hAnsi="宋体" w:hint="eastAsia"/>
                <w:sz w:val="24"/>
                <w:szCs w:val="24"/>
              </w:rPr>
              <w:t>申万菱信基金管理有限公司</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公告依据</w:t>
            </w:r>
          </w:p>
        </w:tc>
        <w:tc>
          <w:tcPr>
            <w:tcW w:w="6137" w:type="dxa"/>
            <w:vAlign w:val="center"/>
          </w:tcPr>
          <w:p w:rsidR="00ED36DF" w:rsidRDefault="00503F43">
            <w:pPr>
              <w:spacing w:line="560" w:lineRule="exact"/>
              <w:rPr>
                <w:rFonts w:ascii="宋体" w:eastAsia="宋体" w:hAnsi="宋体"/>
                <w:sz w:val="24"/>
                <w:szCs w:val="24"/>
              </w:rPr>
            </w:pPr>
            <w:r>
              <w:rPr>
                <w:rFonts w:ascii="宋体" w:eastAsia="宋体" w:hAnsi="宋体"/>
                <w:sz w:val="24"/>
                <w:szCs w:val="24"/>
              </w:rPr>
              <w:t>《公开募集证券投资基金信息披露管理办法》《申万菱信集利三个月定期开放债券型基金基金合同》《申万菱信集利三个月定期开放债券型基金招募说明书》</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申购起始日</w:t>
            </w:r>
          </w:p>
        </w:tc>
        <w:tc>
          <w:tcPr>
            <w:tcW w:w="6137" w:type="dxa"/>
            <w:vAlign w:val="center"/>
          </w:tcPr>
          <w:p w:rsidR="00ED36DF" w:rsidRDefault="00503F43">
            <w:pPr>
              <w:rPr>
                <w:rFonts w:ascii="宋体" w:eastAsia="宋体" w:hAnsi="宋体"/>
                <w:sz w:val="24"/>
                <w:szCs w:val="24"/>
              </w:rPr>
            </w:pPr>
            <w:r>
              <w:rPr>
                <w:rFonts w:asciiTheme="minorEastAsia" w:eastAsiaTheme="minorEastAsia" w:hAnsiTheme="minorEastAsia" w:hint="eastAsia"/>
                <w:sz w:val="24"/>
                <w:szCs w:val="24"/>
              </w:rPr>
              <w:t>2024</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w:t>
            </w:r>
          </w:p>
        </w:tc>
      </w:tr>
      <w:tr w:rsidR="00ED36DF">
        <w:trPr>
          <w:jc w:val="center"/>
        </w:trPr>
        <w:tc>
          <w:tcPr>
            <w:tcW w:w="3502" w:type="dxa"/>
          </w:tcPr>
          <w:p w:rsidR="00ED36DF" w:rsidRDefault="00503F43">
            <w:pPr>
              <w:spacing w:line="560" w:lineRule="exact"/>
              <w:rPr>
                <w:rFonts w:ascii="宋体" w:eastAsia="宋体" w:hAnsi="宋体"/>
                <w:color w:val="000000"/>
                <w:sz w:val="24"/>
                <w:szCs w:val="24"/>
              </w:rPr>
            </w:pPr>
            <w:r>
              <w:rPr>
                <w:rFonts w:ascii="宋体" w:eastAsia="宋体" w:hAnsi="宋体"/>
                <w:color w:val="000000"/>
                <w:sz w:val="24"/>
                <w:szCs w:val="24"/>
              </w:rPr>
              <w:t>赎回起始日</w:t>
            </w:r>
          </w:p>
        </w:tc>
        <w:tc>
          <w:tcPr>
            <w:tcW w:w="6137" w:type="dxa"/>
            <w:vAlign w:val="center"/>
          </w:tcPr>
          <w:p w:rsidR="00ED36DF" w:rsidRDefault="00503F43">
            <w:pPr>
              <w:rPr>
                <w:rFonts w:ascii="宋体" w:eastAsia="宋体" w:hAnsi="宋体"/>
                <w:sz w:val="24"/>
                <w:szCs w:val="24"/>
              </w:rPr>
            </w:pPr>
            <w:r>
              <w:rPr>
                <w:rFonts w:asciiTheme="minorEastAsia" w:eastAsiaTheme="minorEastAsia" w:hAnsiTheme="minorEastAsia" w:hint="eastAsia"/>
                <w:sz w:val="24"/>
                <w:szCs w:val="24"/>
              </w:rPr>
              <w:t>2024</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w:t>
            </w:r>
          </w:p>
        </w:tc>
      </w:tr>
    </w:tbl>
    <w:p w:rsidR="00ED36DF" w:rsidRDefault="00503F43">
      <w:pPr>
        <w:spacing w:line="360" w:lineRule="auto"/>
        <w:rPr>
          <w:rFonts w:ascii="宋体" w:eastAsia="宋体" w:hAnsi="宋体"/>
          <w:color w:val="000000"/>
          <w:sz w:val="24"/>
          <w:szCs w:val="24"/>
        </w:rPr>
      </w:pPr>
      <w:r>
        <w:rPr>
          <w:rFonts w:ascii="宋体" w:eastAsia="宋体" w:hAnsi="宋体"/>
          <w:color w:val="000000"/>
          <w:kern w:val="0"/>
          <w:sz w:val="24"/>
          <w:szCs w:val="24"/>
        </w:rPr>
        <w:t>注：</w:t>
      </w:r>
      <w:r>
        <w:rPr>
          <w:rFonts w:ascii="宋体" w:eastAsia="宋体" w:hAnsi="宋体"/>
          <w:color w:val="000000"/>
          <w:kern w:val="0"/>
          <w:sz w:val="24"/>
          <w:szCs w:val="24"/>
        </w:rPr>
        <w:t>1</w:t>
      </w:r>
      <w:r>
        <w:rPr>
          <w:rFonts w:ascii="宋体" w:eastAsia="宋体" w:hAnsi="宋体"/>
          <w:color w:val="000000"/>
          <w:kern w:val="0"/>
          <w:sz w:val="24"/>
          <w:szCs w:val="24"/>
        </w:rPr>
        <w:t>、申万菱信集利三个月定期开放债券型基金以下简称</w:t>
      </w:r>
      <w:r>
        <w:rPr>
          <w:rFonts w:ascii="宋体" w:eastAsia="宋体" w:hAnsi="宋体"/>
          <w:color w:val="000000"/>
          <w:kern w:val="0"/>
          <w:sz w:val="24"/>
          <w:szCs w:val="24"/>
        </w:rPr>
        <w:t>“</w:t>
      </w:r>
      <w:r>
        <w:rPr>
          <w:rFonts w:ascii="宋体" w:eastAsia="宋体" w:hAnsi="宋体"/>
          <w:color w:val="000000"/>
          <w:kern w:val="0"/>
          <w:sz w:val="24"/>
          <w:szCs w:val="24"/>
        </w:rPr>
        <w:t>本基金</w:t>
      </w:r>
      <w:r>
        <w:rPr>
          <w:rFonts w:ascii="宋体" w:eastAsia="宋体" w:hAnsi="宋体"/>
          <w:color w:val="000000"/>
          <w:kern w:val="0"/>
          <w:sz w:val="24"/>
          <w:szCs w:val="24"/>
        </w:rPr>
        <w:t>”</w:t>
      </w:r>
      <w:r>
        <w:rPr>
          <w:rFonts w:ascii="宋体" w:eastAsia="宋体" w:hAnsi="宋体"/>
          <w:color w:val="000000"/>
          <w:kern w:val="0"/>
          <w:sz w:val="24"/>
          <w:szCs w:val="24"/>
        </w:rPr>
        <w:t>。</w:t>
      </w:r>
    </w:p>
    <w:p w:rsidR="00ED36DF" w:rsidRDefault="00503F43">
      <w:pPr>
        <w:spacing w:line="360" w:lineRule="auto"/>
        <w:rPr>
          <w:rFonts w:ascii="宋体" w:eastAsia="宋体" w:hAnsi="宋体"/>
          <w:color w:val="000000"/>
          <w:sz w:val="24"/>
          <w:szCs w:val="24"/>
        </w:rPr>
      </w:pPr>
      <w:r>
        <w:rPr>
          <w:rFonts w:ascii="宋体" w:eastAsia="宋体" w:hAnsi="宋体"/>
          <w:color w:val="000000"/>
          <w:kern w:val="0"/>
          <w:sz w:val="24"/>
          <w:szCs w:val="24"/>
        </w:rPr>
        <w:t>2</w:t>
      </w:r>
      <w:r>
        <w:rPr>
          <w:rFonts w:ascii="宋体" w:eastAsia="宋体" w:hAnsi="宋体"/>
          <w:color w:val="000000"/>
          <w:kern w:val="0"/>
          <w:sz w:val="24"/>
          <w:szCs w:val="24"/>
        </w:rPr>
        <w:t>、申万菱信基金管理有限公司以下简称</w:t>
      </w:r>
      <w:r>
        <w:rPr>
          <w:rFonts w:ascii="宋体" w:eastAsia="宋体" w:hAnsi="宋体"/>
          <w:color w:val="000000"/>
          <w:kern w:val="0"/>
          <w:sz w:val="24"/>
          <w:szCs w:val="24"/>
        </w:rPr>
        <w:t>“</w:t>
      </w:r>
      <w:r>
        <w:rPr>
          <w:rFonts w:ascii="宋体" w:eastAsia="宋体" w:hAnsi="宋体"/>
          <w:color w:val="000000"/>
          <w:kern w:val="0"/>
          <w:sz w:val="24"/>
          <w:szCs w:val="24"/>
        </w:rPr>
        <w:t>基金管理人</w:t>
      </w:r>
      <w:r>
        <w:rPr>
          <w:rFonts w:ascii="宋体" w:eastAsia="宋体" w:hAnsi="宋体"/>
          <w:color w:val="000000"/>
          <w:kern w:val="0"/>
          <w:sz w:val="24"/>
          <w:szCs w:val="24"/>
        </w:rPr>
        <w:t>”</w:t>
      </w:r>
      <w:r>
        <w:rPr>
          <w:rFonts w:ascii="宋体" w:eastAsia="宋体" w:hAnsi="宋体"/>
          <w:color w:val="000000"/>
          <w:kern w:val="0"/>
          <w:sz w:val="24"/>
          <w:szCs w:val="24"/>
        </w:rPr>
        <w:t>或</w:t>
      </w:r>
      <w:r>
        <w:rPr>
          <w:rFonts w:ascii="宋体" w:eastAsia="宋体" w:hAnsi="宋体"/>
          <w:color w:val="000000"/>
          <w:kern w:val="0"/>
          <w:sz w:val="24"/>
          <w:szCs w:val="24"/>
        </w:rPr>
        <w:t>“</w:t>
      </w:r>
      <w:r>
        <w:rPr>
          <w:rFonts w:ascii="宋体" w:eastAsia="宋体" w:hAnsi="宋体"/>
          <w:color w:val="000000"/>
          <w:kern w:val="0"/>
          <w:sz w:val="24"/>
          <w:szCs w:val="24"/>
        </w:rPr>
        <w:t>本公司</w:t>
      </w:r>
      <w:r>
        <w:rPr>
          <w:rFonts w:ascii="宋体" w:eastAsia="宋体" w:hAnsi="宋体"/>
          <w:color w:val="000000"/>
          <w:kern w:val="0"/>
          <w:sz w:val="24"/>
          <w:szCs w:val="24"/>
        </w:rPr>
        <w:t>”</w:t>
      </w:r>
      <w:r>
        <w:rPr>
          <w:rFonts w:ascii="宋体" w:eastAsia="宋体" w:hAnsi="宋体"/>
          <w:color w:val="000000"/>
          <w:kern w:val="0"/>
          <w:sz w:val="24"/>
          <w:szCs w:val="24"/>
        </w:rPr>
        <w:t>。</w:t>
      </w:r>
    </w:p>
    <w:p w:rsidR="00ED36DF" w:rsidRDefault="00503F43">
      <w:pPr>
        <w:pStyle w:val="2"/>
        <w:spacing w:line="560" w:lineRule="exact"/>
        <w:rPr>
          <w:rFonts w:ascii="宋体" w:eastAsia="宋体" w:hAnsi="宋体"/>
          <w:bCs w:val="0"/>
          <w:color w:val="000000"/>
          <w:sz w:val="24"/>
          <w:szCs w:val="24"/>
        </w:rPr>
      </w:pPr>
      <w:bookmarkStart w:id="2" w:name="_Toc275961396"/>
      <w:r>
        <w:rPr>
          <w:rFonts w:ascii="宋体" w:eastAsia="宋体" w:hAnsi="宋体"/>
          <w:bCs w:val="0"/>
          <w:color w:val="000000"/>
          <w:sz w:val="24"/>
          <w:szCs w:val="24"/>
        </w:rPr>
        <w:t xml:space="preserve">2 </w:t>
      </w:r>
      <w:r>
        <w:rPr>
          <w:rFonts w:ascii="宋体" w:eastAsia="宋体" w:hAnsi="宋体"/>
          <w:bCs w:val="0"/>
          <w:color w:val="000000"/>
          <w:sz w:val="24"/>
          <w:szCs w:val="24"/>
        </w:rPr>
        <w:t>日常申购、赎回（转换、定期定额投资）业务的办理时间</w:t>
      </w:r>
      <w:bookmarkEnd w:id="2"/>
    </w:p>
    <w:p w:rsidR="00ED36DF" w:rsidRDefault="00503F4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开放期内，投资人在开放日办理基金份额的申购和赎回，具体办理时间为上海证券交易所、深圳证券交易所及相关期货交易所的正常交易日的交易时间，但基金管理人根据法律法规、中国证监会的要求或本基金合同的规定公告暂</w:t>
      </w:r>
      <w:r>
        <w:rPr>
          <w:rFonts w:asciiTheme="minorEastAsia" w:eastAsiaTheme="minorEastAsia" w:hAnsiTheme="minorEastAsia" w:hint="eastAsia"/>
          <w:color w:val="000000"/>
          <w:sz w:val="24"/>
          <w:szCs w:val="24"/>
        </w:rPr>
        <w:lastRenderedPageBreak/>
        <w:t>停申购、赎回时除外。在封闭期内，本基金不办理申购、赎回业务，也不上市交易。基金合同生效后，若出现新的证券交易市场、期货交易市场、证券交易所、期货交易所交易时间变更或其他特殊情况，基金管理人将视情况对前述开放日及开放时间进行相应的调整，但应在实施日前依照《公开募集证券投资基金信息披露管理办法》（以下简称“《</w:t>
      </w:r>
      <w:r>
        <w:rPr>
          <w:rFonts w:asciiTheme="minorEastAsia" w:eastAsiaTheme="minorEastAsia" w:hAnsiTheme="minorEastAsia" w:hint="eastAsia"/>
          <w:color w:val="000000"/>
          <w:sz w:val="24"/>
          <w:szCs w:val="24"/>
        </w:rPr>
        <w:t>信息披露办法》”）的有关规定在指定媒介上公告，具体时间以基金管理人届时公告为准。</w:t>
      </w:r>
    </w:p>
    <w:p w:rsidR="00ED36DF" w:rsidRDefault="00503F4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本基金本次开放期时间为</w:t>
      </w:r>
      <w:r>
        <w:rPr>
          <w:rFonts w:asciiTheme="minorEastAsia" w:eastAsiaTheme="minorEastAsia" w:hAnsiTheme="minorEastAsia" w:hint="eastAsia"/>
          <w:color w:val="000000"/>
          <w:sz w:val="24"/>
          <w:szCs w:val="24"/>
        </w:rPr>
        <w:t>2024</w:t>
      </w:r>
      <w:r>
        <w:rPr>
          <w:rFonts w:asciiTheme="minorEastAsia" w:eastAsiaTheme="minorEastAsia" w:hAnsiTheme="minorEastAsia" w:hint="eastAsia"/>
          <w:color w:val="000000"/>
          <w:sz w:val="24"/>
          <w:szCs w:val="24"/>
        </w:rPr>
        <w:t>年</w:t>
      </w:r>
      <w:r>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7</w:t>
      </w:r>
      <w:r>
        <w:rPr>
          <w:rFonts w:asciiTheme="minorEastAsia" w:eastAsiaTheme="minorEastAsia" w:hAnsiTheme="minorEastAsia" w:hint="eastAsia"/>
          <w:color w:val="000000"/>
          <w:sz w:val="24"/>
          <w:szCs w:val="24"/>
        </w:rPr>
        <w:t>日至</w:t>
      </w:r>
      <w:r>
        <w:rPr>
          <w:rFonts w:asciiTheme="minorEastAsia" w:eastAsiaTheme="minorEastAsia" w:hAnsiTheme="minorEastAsia" w:hint="eastAsia"/>
          <w:color w:val="000000"/>
          <w:sz w:val="24"/>
          <w:szCs w:val="24"/>
        </w:rPr>
        <w:t>2024</w:t>
      </w:r>
      <w:r>
        <w:rPr>
          <w:rFonts w:asciiTheme="minorEastAsia" w:eastAsiaTheme="minorEastAsia" w:hAnsiTheme="minorEastAsia" w:hint="eastAsia"/>
          <w:color w:val="000000"/>
          <w:sz w:val="24"/>
          <w:szCs w:val="24"/>
        </w:rPr>
        <w:t>年</w:t>
      </w:r>
      <w:r>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13</w:t>
      </w:r>
      <w:r>
        <w:rPr>
          <w:rFonts w:asciiTheme="minorEastAsia" w:eastAsiaTheme="minorEastAsia" w:hAnsiTheme="minorEastAsia" w:hint="eastAsia"/>
          <w:color w:val="000000"/>
          <w:sz w:val="24"/>
          <w:szCs w:val="24"/>
        </w:rPr>
        <w:t>日，开放期内本基金接受申购、赎回申请。</w:t>
      </w:r>
      <w:r>
        <w:rPr>
          <w:rFonts w:asciiTheme="minorEastAsia" w:eastAsiaTheme="minorEastAsia" w:hAnsiTheme="minorEastAsia" w:hint="eastAsia"/>
          <w:color w:val="000000"/>
          <w:sz w:val="24"/>
          <w:szCs w:val="24"/>
        </w:rPr>
        <w:t>2024</w:t>
      </w:r>
      <w:r>
        <w:rPr>
          <w:rFonts w:asciiTheme="minorEastAsia" w:eastAsiaTheme="minorEastAsia" w:hAnsiTheme="minorEastAsia" w:hint="eastAsia"/>
          <w:color w:val="000000"/>
          <w:sz w:val="24"/>
          <w:szCs w:val="24"/>
        </w:rPr>
        <w:t>年</w:t>
      </w:r>
      <w:r>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14</w:t>
      </w:r>
      <w:r>
        <w:rPr>
          <w:rFonts w:asciiTheme="minorEastAsia" w:eastAsiaTheme="minorEastAsia" w:hAnsiTheme="minorEastAsia" w:hint="eastAsia"/>
          <w:color w:val="000000"/>
          <w:sz w:val="24"/>
          <w:szCs w:val="24"/>
        </w:rPr>
        <w:t>日起进入封闭期，封闭期内本基金不接受申购、赎回申请。</w:t>
      </w:r>
    </w:p>
    <w:p w:rsidR="00ED36DF" w:rsidRDefault="00503F43">
      <w:pPr>
        <w:spacing w:line="360" w:lineRule="auto"/>
        <w:ind w:firstLineChars="200" w:firstLine="480"/>
        <w:rPr>
          <w:rFonts w:ascii="宋体" w:eastAsia="宋体" w:hAnsi="宋体"/>
          <w:color w:val="000000"/>
          <w:sz w:val="24"/>
          <w:szCs w:val="24"/>
        </w:rPr>
      </w:pPr>
      <w:r>
        <w:rPr>
          <w:rFonts w:asciiTheme="minorEastAsia" w:eastAsiaTheme="minorEastAsia" w:hAnsiTheme="minorEastAsia" w:hint="eastAsia"/>
          <w:color w:val="000000"/>
          <w:sz w:val="24"/>
          <w:szCs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具体时间以基金管理人届时公告为准。</w:t>
      </w:r>
    </w:p>
    <w:p w:rsidR="00ED36DF" w:rsidRDefault="00503F43">
      <w:pPr>
        <w:pStyle w:val="2"/>
        <w:spacing w:line="560" w:lineRule="exact"/>
        <w:rPr>
          <w:rFonts w:ascii="宋体" w:eastAsia="宋体" w:hAnsi="宋体"/>
          <w:bCs w:val="0"/>
          <w:color w:val="000000"/>
          <w:sz w:val="24"/>
          <w:szCs w:val="24"/>
        </w:rPr>
      </w:pPr>
      <w:bookmarkStart w:id="3" w:name="_Toc275961397"/>
      <w:r>
        <w:rPr>
          <w:rFonts w:ascii="宋体" w:eastAsia="宋体" w:hAnsi="宋体"/>
          <w:bCs w:val="0"/>
          <w:color w:val="000000"/>
          <w:sz w:val="24"/>
          <w:szCs w:val="24"/>
        </w:rPr>
        <w:t xml:space="preserve">3 </w:t>
      </w:r>
      <w:r>
        <w:rPr>
          <w:rFonts w:ascii="宋体" w:eastAsia="宋体" w:hAnsi="宋体"/>
          <w:bCs w:val="0"/>
          <w:color w:val="000000"/>
          <w:sz w:val="24"/>
          <w:szCs w:val="24"/>
        </w:rPr>
        <w:t>日常申购业务</w:t>
      </w:r>
      <w:bookmarkEnd w:id="3"/>
    </w:p>
    <w:p w:rsidR="00ED36DF" w:rsidRDefault="00503F43">
      <w:pPr>
        <w:spacing w:line="560" w:lineRule="exact"/>
        <w:rPr>
          <w:rFonts w:ascii="宋体" w:eastAsia="宋体" w:hAnsi="宋体"/>
          <w:b/>
          <w:color w:val="000000"/>
          <w:sz w:val="24"/>
          <w:szCs w:val="24"/>
        </w:rPr>
      </w:pPr>
      <w:r>
        <w:rPr>
          <w:rFonts w:ascii="宋体" w:eastAsia="宋体" w:hAnsi="宋体"/>
          <w:b/>
          <w:color w:val="000000"/>
          <w:sz w:val="24"/>
          <w:szCs w:val="24"/>
        </w:rPr>
        <w:t>3.1</w:t>
      </w:r>
      <w:r>
        <w:rPr>
          <w:rFonts w:ascii="宋体" w:eastAsia="宋体" w:hAnsi="宋体"/>
          <w:b/>
          <w:color w:val="000000"/>
          <w:sz w:val="24"/>
          <w:szCs w:val="24"/>
        </w:rPr>
        <w:t xml:space="preserve"> </w:t>
      </w:r>
      <w:r>
        <w:rPr>
          <w:rFonts w:ascii="宋体" w:eastAsia="宋体" w:hAnsi="宋体"/>
          <w:b/>
          <w:color w:val="000000"/>
          <w:sz w:val="24"/>
          <w:szCs w:val="24"/>
        </w:rPr>
        <w:t>申购金额限制</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投资人在其他销售机构办理基金份额申购时，首次申购单笔最低金额为</w:t>
      </w:r>
      <w:r>
        <w:rPr>
          <w:rFonts w:ascii="宋体" w:eastAsia="宋体" w:hAnsi="宋体" w:hint="eastAsia"/>
          <w:color w:val="000000"/>
          <w:sz w:val="24"/>
          <w:szCs w:val="24"/>
        </w:rPr>
        <w:t>1</w:t>
      </w:r>
      <w:r>
        <w:rPr>
          <w:rFonts w:ascii="宋体" w:eastAsia="宋体" w:hAnsi="宋体" w:hint="eastAsia"/>
          <w:color w:val="000000"/>
          <w:sz w:val="24"/>
          <w:szCs w:val="24"/>
        </w:rPr>
        <w:t>元人民币（含申购费），追加申购单笔最低金额为</w:t>
      </w:r>
      <w:r>
        <w:rPr>
          <w:rFonts w:ascii="宋体" w:eastAsia="宋体" w:hAnsi="宋体" w:hint="eastAsia"/>
          <w:color w:val="000000"/>
          <w:sz w:val="24"/>
          <w:szCs w:val="24"/>
        </w:rPr>
        <w:t>1</w:t>
      </w:r>
      <w:r>
        <w:rPr>
          <w:rFonts w:ascii="宋体" w:eastAsia="宋体" w:hAnsi="宋体" w:hint="eastAsia"/>
          <w:color w:val="000000"/>
          <w:sz w:val="24"/>
          <w:szCs w:val="24"/>
        </w:rPr>
        <w:t>元人民币（含申购费）。通过直销中心首次申购单笔最低金额为</w:t>
      </w:r>
      <w:r>
        <w:rPr>
          <w:rFonts w:ascii="宋体" w:eastAsia="宋体" w:hAnsi="宋体" w:hint="eastAsia"/>
          <w:color w:val="000000"/>
          <w:sz w:val="24"/>
          <w:szCs w:val="24"/>
        </w:rPr>
        <w:t>10</w:t>
      </w:r>
      <w:r>
        <w:rPr>
          <w:rFonts w:ascii="宋体" w:eastAsia="宋体" w:hAnsi="宋体" w:hint="eastAsia"/>
          <w:color w:val="000000"/>
          <w:sz w:val="24"/>
          <w:szCs w:val="24"/>
        </w:rPr>
        <w:t>元人民币（含申购费），追加申购单笔最低金额为</w:t>
      </w:r>
      <w:r>
        <w:rPr>
          <w:rFonts w:ascii="宋体" w:eastAsia="宋体" w:hAnsi="宋体" w:hint="eastAsia"/>
          <w:color w:val="000000"/>
          <w:sz w:val="24"/>
          <w:szCs w:val="24"/>
        </w:rPr>
        <w:t>10</w:t>
      </w:r>
      <w:r>
        <w:rPr>
          <w:rFonts w:ascii="宋体" w:eastAsia="宋体" w:hAnsi="宋体" w:hint="eastAsia"/>
          <w:color w:val="000000"/>
          <w:sz w:val="24"/>
          <w:szCs w:val="24"/>
        </w:rPr>
        <w:t>元人民币（含申购费）。本基金直销中心单笔申购最低金额可由基金管理人酌情调整。</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基金管理人可在法律法规允许的情况下，调整上述规定申购金额的数量限制。基金管理人必须在调整前依照《信息披露办法》的有关规定在规定媒介上公告。</w:t>
      </w:r>
    </w:p>
    <w:p w:rsidR="00ED36DF" w:rsidRDefault="00ED36DF">
      <w:pPr>
        <w:spacing w:line="560" w:lineRule="exact"/>
        <w:rPr>
          <w:rFonts w:ascii="宋体" w:eastAsia="宋体" w:hAnsi="宋体"/>
          <w:color w:val="000000"/>
          <w:sz w:val="24"/>
          <w:szCs w:val="24"/>
        </w:rPr>
      </w:pPr>
    </w:p>
    <w:p w:rsidR="00ED36DF" w:rsidRDefault="00503F43">
      <w:pPr>
        <w:spacing w:line="560" w:lineRule="exact"/>
        <w:rPr>
          <w:rFonts w:ascii="宋体" w:eastAsia="宋体" w:hAnsi="宋体"/>
          <w:b/>
          <w:color w:val="000000"/>
          <w:sz w:val="24"/>
          <w:szCs w:val="24"/>
        </w:rPr>
      </w:pPr>
      <w:r>
        <w:rPr>
          <w:rFonts w:ascii="宋体" w:eastAsia="宋体" w:hAnsi="宋体" w:hint="eastAsia"/>
          <w:b/>
          <w:color w:val="000000"/>
          <w:sz w:val="24"/>
          <w:szCs w:val="24"/>
        </w:rPr>
        <w:t>3</w:t>
      </w:r>
      <w:r>
        <w:rPr>
          <w:rFonts w:ascii="宋体" w:eastAsia="宋体" w:hAnsi="宋体"/>
          <w:b/>
          <w:color w:val="000000"/>
          <w:sz w:val="24"/>
          <w:szCs w:val="24"/>
        </w:rPr>
        <w:t>.</w:t>
      </w:r>
      <w:r>
        <w:rPr>
          <w:rFonts w:ascii="宋体" w:eastAsia="宋体" w:hAnsi="宋体" w:hint="eastAsia"/>
          <w:b/>
          <w:color w:val="000000"/>
          <w:sz w:val="24"/>
          <w:szCs w:val="24"/>
        </w:rPr>
        <w:t>2</w:t>
      </w:r>
      <w:r>
        <w:rPr>
          <w:rFonts w:ascii="宋体" w:eastAsia="宋体" w:hAnsi="宋体"/>
          <w:b/>
          <w:color w:val="000000"/>
          <w:sz w:val="24"/>
          <w:szCs w:val="24"/>
        </w:rPr>
        <w:t xml:space="preserve"> </w:t>
      </w:r>
      <w:r>
        <w:rPr>
          <w:rFonts w:ascii="宋体" w:eastAsia="宋体" w:hAnsi="宋体"/>
          <w:b/>
          <w:color w:val="000000"/>
          <w:sz w:val="24"/>
          <w:szCs w:val="24"/>
        </w:rPr>
        <w:t>申购费率</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本基金的申购费率如下表：</w:t>
      </w:r>
    </w:p>
    <w:tbl>
      <w:tblPr>
        <w:tblW w:w="4845" w:type="pct"/>
        <w:jc w:val="center"/>
        <w:tblBorders>
          <w:top w:val="single" w:sz="12" w:space="0" w:color="0000FF"/>
          <w:bottom w:val="single" w:sz="12" w:space="0" w:color="0000FF"/>
          <w:insideH w:val="single" w:sz="6" w:space="0" w:color="0000FF"/>
        </w:tblBorders>
        <w:tblCellMar>
          <w:left w:w="0" w:type="dxa"/>
          <w:right w:w="0" w:type="dxa"/>
        </w:tblCellMar>
        <w:tblLook w:val="04A0"/>
      </w:tblPr>
      <w:tblGrid>
        <w:gridCol w:w="3803"/>
        <w:gridCol w:w="2410"/>
        <w:gridCol w:w="2045"/>
      </w:tblGrid>
      <w:tr w:rsidR="00ED36DF">
        <w:trPr>
          <w:jc w:val="center"/>
        </w:trPr>
        <w:tc>
          <w:tcPr>
            <w:tcW w:w="2303"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申购金额（元）</w:t>
            </w:r>
          </w:p>
        </w:tc>
        <w:tc>
          <w:tcPr>
            <w:tcW w:w="1459" w:type="pct"/>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特定申购费率</w:t>
            </w:r>
          </w:p>
        </w:tc>
        <w:tc>
          <w:tcPr>
            <w:tcW w:w="1238"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申购费率</w:t>
            </w:r>
          </w:p>
        </w:tc>
      </w:tr>
      <w:tr w:rsidR="00ED36DF">
        <w:trPr>
          <w:jc w:val="center"/>
        </w:trPr>
        <w:tc>
          <w:tcPr>
            <w:tcW w:w="2303"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100</w:t>
            </w:r>
            <w:r>
              <w:rPr>
                <w:rFonts w:ascii="宋体" w:eastAsia="宋体" w:hAnsi="宋体"/>
                <w:color w:val="000000"/>
                <w:sz w:val="24"/>
                <w:szCs w:val="24"/>
              </w:rPr>
              <w:t>万以下</w:t>
            </w:r>
          </w:p>
        </w:tc>
        <w:tc>
          <w:tcPr>
            <w:tcW w:w="1459" w:type="pct"/>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24</w:t>
            </w:r>
            <w:r>
              <w:rPr>
                <w:rFonts w:ascii="宋体" w:eastAsia="宋体" w:hAnsi="宋体"/>
                <w:color w:val="000000"/>
                <w:sz w:val="24"/>
                <w:szCs w:val="24"/>
              </w:rPr>
              <w:t>%</w:t>
            </w:r>
          </w:p>
        </w:tc>
        <w:tc>
          <w:tcPr>
            <w:tcW w:w="1238"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0</w:t>
            </w:r>
            <w:r>
              <w:rPr>
                <w:rFonts w:ascii="宋体" w:eastAsia="宋体" w:hAnsi="宋体"/>
                <w:color w:val="000000"/>
                <w:sz w:val="24"/>
                <w:szCs w:val="24"/>
              </w:rPr>
              <w:t>.</w:t>
            </w:r>
            <w:r>
              <w:rPr>
                <w:rFonts w:ascii="宋体" w:eastAsia="宋体" w:hAnsi="宋体" w:hint="eastAsia"/>
                <w:color w:val="000000"/>
                <w:sz w:val="24"/>
                <w:szCs w:val="24"/>
              </w:rPr>
              <w:t>8</w:t>
            </w:r>
            <w:r>
              <w:rPr>
                <w:rFonts w:ascii="宋体" w:eastAsia="宋体" w:hAnsi="宋体"/>
                <w:color w:val="000000"/>
                <w:sz w:val="24"/>
                <w:szCs w:val="24"/>
              </w:rPr>
              <w:t>0%</w:t>
            </w:r>
          </w:p>
        </w:tc>
      </w:tr>
      <w:tr w:rsidR="00ED36DF">
        <w:trPr>
          <w:jc w:val="center"/>
        </w:trPr>
        <w:tc>
          <w:tcPr>
            <w:tcW w:w="2303"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100</w:t>
            </w:r>
            <w:r>
              <w:rPr>
                <w:rFonts w:ascii="宋体" w:eastAsia="宋体" w:hAnsi="宋体"/>
                <w:color w:val="000000"/>
                <w:sz w:val="24"/>
                <w:szCs w:val="24"/>
              </w:rPr>
              <w:t>万（含）</w:t>
            </w:r>
            <w:r>
              <w:rPr>
                <w:rFonts w:ascii="宋体" w:eastAsia="宋体" w:hAnsi="宋体"/>
                <w:color w:val="000000"/>
                <w:sz w:val="24"/>
                <w:szCs w:val="24"/>
              </w:rPr>
              <w:t>—</w:t>
            </w:r>
            <w:r>
              <w:rPr>
                <w:rFonts w:ascii="宋体" w:eastAsia="宋体" w:hAnsi="宋体" w:hint="eastAsia"/>
                <w:color w:val="000000"/>
                <w:sz w:val="24"/>
                <w:szCs w:val="24"/>
              </w:rPr>
              <w:t>3</w:t>
            </w:r>
            <w:r>
              <w:rPr>
                <w:rFonts w:ascii="宋体" w:eastAsia="宋体" w:hAnsi="宋体"/>
                <w:color w:val="000000"/>
                <w:sz w:val="24"/>
                <w:szCs w:val="24"/>
              </w:rPr>
              <w:t>00</w:t>
            </w:r>
            <w:r>
              <w:rPr>
                <w:rFonts w:ascii="宋体" w:eastAsia="宋体" w:hAnsi="宋体"/>
                <w:color w:val="000000"/>
                <w:sz w:val="24"/>
                <w:szCs w:val="24"/>
              </w:rPr>
              <w:t>万</w:t>
            </w:r>
          </w:p>
        </w:tc>
        <w:tc>
          <w:tcPr>
            <w:tcW w:w="1459" w:type="pct"/>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15</w:t>
            </w:r>
            <w:r>
              <w:rPr>
                <w:rFonts w:ascii="宋体" w:eastAsia="宋体" w:hAnsi="宋体"/>
                <w:color w:val="000000"/>
                <w:sz w:val="24"/>
                <w:szCs w:val="24"/>
              </w:rPr>
              <w:t>%</w:t>
            </w:r>
          </w:p>
        </w:tc>
        <w:tc>
          <w:tcPr>
            <w:tcW w:w="1238"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0</w:t>
            </w:r>
            <w:r>
              <w:rPr>
                <w:rFonts w:ascii="宋体" w:eastAsia="宋体" w:hAnsi="宋体"/>
                <w:color w:val="000000"/>
                <w:sz w:val="24"/>
                <w:szCs w:val="24"/>
              </w:rPr>
              <w:t>.</w:t>
            </w:r>
            <w:r>
              <w:rPr>
                <w:rFonts w:ascii="宋体" w:eastAsia="宋体" w:hAnsi="宋体" w:hint="eastAsia"/>
                <w:color w:val="000000"/>
                <w:sz w:val="24"/>
                <w:szCs w:val="24"/>
              </w:rPr>
              <w:t>5</w:t>
            </w:r>
            <w:r>
              <w:rPr>
                <w:rFonts w:ascii="宋体" w:eastAsia="宋体" w:hAnsi="宋体"/>
                <w:color w:val="000000"/>
                <w:sz w:val="24"/>
                <w:szCs w:val="24"/>
              </w:rPr>
              <w:t>0%</w:t>
            </w:r>
          </w:p>
        </w:tc>
      </w:tr>
      <w:tr w:rsidR="00ED36DF">
        <w:trPr>
          <w:jc w:val="center"/>
        </w:trPr>
        <w:tc>
          <w:tcPr>
            <w:tcW w:w="2303"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00</w:t>
            </w:r>
            <w:r>
              <w:rPr>
                <w:rFonts w:ascii="宋体" w:eastAsia="宋体" w:hAnsi="宋体"/>
                <w:color w:val="000000"/>
                <w:sz w:val="24"/>
                <w:szCs w:val="24"/>
              </w:rPr>
              <w:t>万（含）</w:t>
            </w:r>
            <w:r>
              <w:rPr>
                <w:rFonts w:ascii="宋体" w:eastAsia="宋体" w:hAnsi="宋体"/>
                <w:color w:val="000000"/>
                <w:sz w:val="24"/>
                <w:szCs w:val="24"/>
              </w:rPr>
              <w:t>—</w:t>
            </w:r>
            <w:r>
              <w:rPr>
                <w:rFonts w:ascii="宋体" w:eastAsia="宋体" w:hAnsi="宋体" w:hint="eastAsia"/>
                <w:color w:val="000000"/>
                <w:sz w:val="24"/>
                <w:szCs w:val="24"/>
              </w:rPr>
              <w:t>5</w:t>
            </w:r>
            <w:r>
              <w:rPr>
                <w:rFonts w:ascii="宋体" w:eastAsia="宋体" w:hAnsi="宋体"/>
                <w:color w:val="000000"/>
                <w:sz w:val="24"/>
                <w:szCs w:val="24"/>
              </w:rPr>
              <w:t>00</w:t>
            </w:r>
            <w:r>
              <w:rPr>
                <w:rFonts w:ascii="宋体" w:eastAsia="宋体" w:hAnsi="宋体"/>
                <w:color w:val="000000"/>
                <w:sz w:val="24"/>
                <w:szCs w:val="24"/>
              </w:rPr>
              <w:t>万</w:t>
            </w:r>
          </w:p>
        </w:tc>
        <w:tc>
          <w:tcPr>
            <w:tcW w:w="1459" w:type="pct"/>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0.09%</w:t>
            </w:r>
          </w:p>
        </w:tc>
        <w:tc>
          <w:tcPr>
            <w:tcW w:w="1238"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0.30%</w:t>
            </w:r>
          </w:p>
        </w:tc>
      </w:tr>
      <w:tr w:rsidR="00ED36DF">
        <w:trPr>
          <w:jc w:val="center"/>
        </w:trPr>
        <w:tc>
          <w:tcPr>
            <w:tcW w:w="2303"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500</w:t>
            </w:r>
            <w:r>
              <w:rPr>
                <w:rFonts w:ascii="宋体" w:eastAsia="宋体" w:hAnsi="宋体"/>
                <w:color w:val="000000"/>
                <w:sz w:val="24"/>
                <w:szCs w:val="24"/>
              </w:rPr>
              <w:t>万（含）以上</w:t>
            </w:r>
          </w:p>
        </w:tc>
        <w:tc>
          <w:tcPr>
            <w:tcW w:w="1459" w:type="pct"/>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300</w:t>
            </w:r>
            <w:r>
              <w:rPr>
                <w:rFonts w:ascii="宋体" w:eastAsia="宋体" w:hAnsi="宋体"/>
                <w:color w:val="000000"/>
                <w:sz w:val="24"/>
                <w:szCs w:val="24"/>
              </w:rPr>
              <w:t>元</w:t>
            </w:r>
            <w:r>
              <w:rPr>
                <w:rFonts w:ascii="宋体" w:eastAsia="宋体" w:hAnsi="宋体"/>
                <w:color w:val="000000"/>
                <w:sz w:val="24"/>
                <w:szCs w:val="24"/>
              </w:rPr>
              <w:t>/</w:t>
            </w:r>
            <w:r>
              <w:rPr>
                <w:rFonts w:ascii="宋体" w:eastAsia="宋体" w:hAnsi="宋体"/>
                <w:color w:val="000000"/>
                <w:sz w:val="24"/>
                <w:szCs w:val="24"/>
              </w:rPr>
              <w:t>笔</w:t>
            </w:r>
          </w:p>
        </w:tc>
        <w:tc>
          <w:tcPr>
            <w:tcW w:w="1238" w:type="pct"/>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w:t>
            </w:r>
            <w:r>
              <w:rPr>
                <w:rFonts w:ascii="宋体" w:eastAsia="宋体" w:hAnsi="宋体"/>
                <w:color w:val="000000"/>
                <w:sz w:val="24"/>
                <w:szCs w:val="24"/>
              </w:rPr>
              <w:t>000</w:t>
            </w:r>
            <w:r>
              <w:rPr>
                <w:rFonts w:ascii="宋体" w:eastAsia="宋体" w:hAnsi="宋体"/>
                <w:color w:val="000000"/>
                <w:sz w:val="24"/>
                <w:szCs w:val="24"/>
              </w:rPr>
              <w:t>元</w:t>
            </w:r>
            <w:r>
              <w:rPr>
                <w:rFonts w:ascii="宋体" w:eastAsia="宋体" w:hAnsi="宋体"/>
                <w:color w:val="000000"/>
                <w:sz w:val="24"/>
                <w:szCs w:val="24"/>
              </w:rPr>
              <w:t>/</w:t>
            </w:r>
            <w:r>
              <w:rPr>
                <w:rFonts w:ascii="宋体" w:eastAsia="宋体" w:hAnsi="宋体"/>
                <w:color w:val="000000"/>
                <w:sz w:val="24"/>
                <w:szCs w:val="24"/>
              </w:rPr>
              <w:t>笔</w:t>
            </w:r>
          </w:p>
        </w:tc>
      </w:tr>
    </w:tbl>
    <w:p w:rsidR="00ED36DF" w:rsidRDefault="00ED36DF">
      <w:pPr>
        <w:spacing w:line="560" w:lineRule="exact"/>
        <w:jc w:val="center"/>
        <w:rPr>
          <w:rFonts w:ascii="宋体" w:eastAsia="宋体" w:hAnsi="宋体"/>
          <w:color w:val="000000"/>
          <w:sz w:val="24"/>
          <w:szCs w:val="24"/>
        </w:rPr>
      </w:pPr>
    </w:p>
    <w:p w:rsidR="00ED36DF" w:rsidRDefault="00503F43">
      <w:pPr>
        <w:spacing w:line="560" w:lineRule="exact"/>
        <w:rPr>
          <w:rFonts w:ascii="宋体" w:eastAsia="宋体" w:hAnsi="宋体"/>
          <w:b/>
          <w:color w:val="000000"/>
          <w:sz w:val="24"/>
          <w:szCs w:val="24"/>
        </w:rPr>
      </w:pPr>
      <w:r>
        <w:rPr>
          <w:rFonts w:ascii="宋体" w:eastAsia="宋体" w:hAnsi="宋体" w:hint="eastAsia"/>
          <w:b/>
          <w:color w:val="000000"/>
          <w:sz w:val="24"/>
          <w:szCs w:val="24"/>
        </w:rPr>
        <w:t>3</w:t>
      </w:r>
      <w:r>
        <w:rPr>
          <w:rFonts w:ascii="宋体" w:eastAsia="宋体" w:hAnsi="宋体"/>
          <w:b/>
          <w:color w:val="000000"/>
          <w:sz w:val="24"/>
          <w:szCs w:val="24"/>
        </w:rPr>
        <w:t>.</w:t>
      </w:r>
      <w:r>
        <w:rPr>
          <w:rFonts w:ascii="宋体" w:eastAsia="宋体" w:hAnsi="宋体" w:hint="eastAsia"/>
          <w:b/>
          <w:color w:val="000000"/>
          <w:sz w:val="24"/>
          <w:szCs w:val="24"/>
        </w:rPr>
        <w:t>3</w:t>
      </w:r>
      <w:r>
        <w:rPr>
          <w:rFonts w:ascii="宋体" w:eastAsia="宋体" w:hAnsi="宋体"/>
          <w:b/>
          <w:color w:val="000000"/>
          <w:sz w:val="24"/>
          <w:szCs w:val="24"/>
        </w:rPr>
        <w:t xml:space="preserve"> </w:t>
      </w:r>
      <w:r>
        <w:rPr>
          <w:rFonts w:ascii="宋体" w:eastAsia="宋体" w:hAnsi="宋体"/>
          <w:b/>
          <w:color w:val="000000"/>
          <w:sz w:val="24"/>
          <w:szCs w:val="24"/>
        </w:rPr>
        <w:t>其他与申购相关的事项</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基金管理人应以交易时间结束前受理有效申购申请的当天作为申购申请日（</w:t>
      </w:r>
      <w:r>
        <w:rPr>
          <w:rFonts w:ascii="宋体" w:eastAsia="宋体" w:hAnsi="宋体"/>
          <w:color w:val="000000"/>
          <w:sz w:val="24"/>
          <w:szCs w:val="24"/>
        </w:rPr>
        <w:t>T</w:t>
      </w:r>
      <w:r>
        <w:rPr>
          <w:rFonts w:ascii="宋体" w:eastAsia="宋体" w:hAnsi="宋体"/>
          <w:color w:val="000000"/>
          <w:sz w:val="24"/>
          <w:szCs w:val="24"/>
        </w:rPr>
        <w:t>日），在正常情况下，本基金登记机构在</w:t>
      </w:r>
      <w:r>
        <w:rPr>
          <w:rFonts w:ascii="宋体" w:eastAsia="宋体" w:hAnsi="宋体"/>
          <w:color w:val="000000"/>
          <w:sz w:val="24"/>
          <w:szCs w:val="24"/>
        </w:rPr>
        <w:t>T+1</w:t>
      </w:r>
      <w:r>
        <w:rPr>
          <w:rFonts w:ascii="宋体" w:eastAsia="宋体" w:hAnsi="宋体"/>
          <w:color w:val="000000"/>
          <w:sz w:val="24"/>
          <w:szCs w:val="24"/>
        </w:rPr>
        <w:t>日内（包括该日）对该交易的有效性进行确认。投资人应在</w:t>
      </w:r>
      <w:r>
        <w:rPr>
          <w:rFonts w:ascii="宋体" w:eastAsia="宋体" w:hAnsi="宋体"/>
          <w:color w:val="000000"/>
          <w:sz w:val="24"/>
          <w:szCs w:val="24"/>
        </w:rPr>
        <w:t>T+2</w:t>
      </w:r>
      <w:r>
        <w:rPr>
          <w:rFonts w:ascii="宋体" w:eastAsia="宋体" w:hAnsi="宋体"/>
          <w:color w:val="000000"/>
          <w:sz w:val="24"/>
          <w:szCs w:val="24"/>
        </w:rPr>
        <w:t>日后（包括该日）及时到销售网点柜台或以销售机构规定的其他方式查询申请的确认情况。若申购不成功，则申购款项本金退还给投资人。</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销售机构对申购申请的受理并不代表该申请一定成功，而仅代表销售机构确实接收到申请。申购的确认以登记机构的确认结果为准。对于申请的确认情况，投资者应及时查询，否则如因申请未得到登记机构的确认而产生的后果，由投资人自行承担。</w:t>
      </w:r>
    </w:p>
    <w:p w:rsidR="00ED36DF" w:rsidRDefault="00503F43">
      <w:pPr>
        <w:pStyle w:val="2"/>
        <w:spacing w:line="560" w:lineRule="exact"/>
        <w:rPr>
          <w:rFonts w:ascii="宋体" w:eastAsia="宋体" w:hAnsi="宋体"/>
          <w:bCs w:val="0"/>
          <w:color w:val="000000"/>
          <w:sz w:val="24"/>
          <w:szCs w:val="24"/>
        </w:rPr>
      </w:pPr>
      <w:bookmarkStart w:id="4" w:name="_Toc275961398"/>
      <w:r>
        <w:rPr>
          <w:rFonts w:ascii="宋体" w:eastAsia="宋体" w:hAnsi="宋体" w:hint="eastAsia"/>
          <w:bCs w:val="0"/>
          <w:color w:val="000000"/>
          <w:sz w:val="24"/>
          <w:szCs w:val="24"/>
        </w:rPr>
        <w:t>4</w:t>
      </w:r>
      <w:r>
        <w:rPr>
          <w:rFonts w:ascii="宋体" w:eastAsia="宋体" w:hAnsi="宋体"/>
          <w:bCs w:val="0"/>
          <w:color w:val="000000"/>
          <w:sz w:val="24"/>
          <w:szCs w:val="24"/>
        </w:rPr>
        <w:t xml:space="preserve"> </w:t>
      </w:r>
      <w:r>
        <w:rPr>
          <w:rFonts w:ascii="宋体" w:eastAsia="宋体" w:hAnsi="宋体"/>
          <w:bCs w:val="0"/>
          <w:color w:val="000000"/>
          <w:sz w:val="24"/>
          <w:szCs w:val="24"/>
        </w:rPr>
        <w:t>日常赎回业务</w:t>
      </w:r>
      <w:bookmarkEnd w:id="4"/>
    </w:p>
    <w:p w:rsidR="00ED36DF" w:rsidRDefault="00503F43">
      <w:pPr>
        <w:spacing w:line="560" w:lineRule="exact"/>
        <w:rPr>
          <w:rFonts w:ascii="宋体" w:eastAsia="宋体" w:hAnsi="宋体"/>
          <w:b/>
          <w:color w:val="000000"/>
          <w:sz w:val="24"/>
          <w:szCs w:val="24"/>
        </w:rPr>
      </w:pPr>
      <w:r>
        <w:rPr>
          <w:rFonts w:ascii="宋体" w:eastAsia="宋体" w:hAnsi="宋体" w:hint="eastAsia"/>
          <w:b/>
          <w:color w:val="000000"/>
          <w:sz w:val="24"/>
          <w:szCs w:val="24"/>
        </w:rPr>
        <w:t>4</w:t>
      </w:r>
      <w:r>
        <w:rPr>
          <w:rFonts w:ascii="宋体" w:eastAsia="宋体" w:hAnsi="宋体"/>
          <w:b/>
          <w:color w:val="000000"/>
          <w:sz w:val="24"/>
          <w:szCs w:val="24"/>
        </w:rPr>
        <w:t>.</w:t>
      </w:r>
      <w:r>
        <w:rPr>
          <w:rFonts w:ascii="宋体" w:eastAsia="宋体" w:hAnsi="宋体" w:hint="eastAsia"/>
          <w:b/>
          <w:color w:val="000000"/>
          <w:sz w:val="24"/>
          <w:szCs w:val="24"/>
        </w:rPr>
        <w:t>1</w:t>
      </w:r>
      <w:r>
        <w:rPr>
          <w:rFonts w:ascii="宋体" w:eastAsia="宋体" w:hAnsi="宋体"/>
          <w:b/>
          <w:color w:val="000000"/>
          <w:sz w:val="24"/>
          <w:szCs w:val="24"/>
        </w:rPr>
        <w:t xml:space="preserve"> </w:t>
      </w:r>
      <w:r>
        <w:rPr>
          <w:rFonts w:ascii="宋体" w:eastAsia="宋体" w:hAnsi="宋体"/>
          <w:b/>
          <w:color w:val="000000"/>
          <w:sz w:val="24"/>
          <w:szCs w:val="24"/>
        </w:rPr>
        <w:t>赎回份额限制</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基金份额持有人在销售机构赎回时，每笔赎回申请不得低于</w:t>
      </w:r>
      <w:r>
        <w:rPr>
          <w:rFonts w:ascii="宋体" w:eastAsia="宋体" w:hAnsi="宋体"/>
          <w:color w:val="000000"/>
          <w:sz w:val="24"/>
          <w:szCs w:val="24"/>
        </w:rPr>
        <w:t>1</w:t>
      </w:r>
      <w:r>
        <w:rPr>
          <w:rFonts w:ascii="宋体" w:eastAsia="宋体" w:hAnsi="宋体"/>
          <w:color w:val="000000"/>
          <w:sz w:val="24"/>
          <w:szCs w:val="24"/>
        </w:rPr>
        <w:t>份基金份额（但交易账户内剩余基金份额不足</w:t>
      </w:r>
      <w:r>
        <w:rPr>
          <w:rFonts w:ascii="宋体" w:eastAsia="宋体" w:hAnsi="宋体"/>
          <w:color w:val="000000"/>
          <w:sz w:val="24"/>
          <w:szCs w:val="24"/>
        </w:rPr>
        <w:t>1</w:t>
      </w:r>
      <w:r>
        <w:rPr>
          <w:rFonts w:ascii="宋体" w:eastAsia="宋体" w:hAnsi="宋体"/>
          <w:color w:val="000000"/>
          <w:sz w:val="24"/>
          <w:szCs w:val="24"/>
        </w:rPr>
        <w:t>份的除外）；基金份额持有人在销售机构（网点）的某一交易账户内基金份额不足</w:t>
      </w:r>
      <w:r>
        <w:rPr>
          <w:rFonts w:ascii="宋体" w:eastAsia="宋体" w:hAnsi="宋体"/>
          <w:color w:val="000000"/>
          <w:sz w:val="24"/>
          <w:szCs w:val="24"/>
        </w:rPr>
        <w:t>1</w:t>
      </w:r>
      <w:r>
        <w:rPr>
          <w:rFonts w:ascii="宋体" w:eastAsia="宋体" w:hAnsi="宋体"/>
          <w:color w:val="000000"/>
          <w:sz w:val="24"/>
          <w:szCs w:val="24"/>
        </w:rPr>
        <w:t>份的，应一次性全部赎回。</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基金管理人可在法律法规允许的情况下，调整上述规定赎回份额的数量限制。基金管理人必须在调整前依照《信息披露办法》的有关规定在</w:t>
      </w:r>
      <w:r>
        <w:rPr>
          <w:rFonts w:ascii="宋体" w:eastAsia="宋体" w:hAnsi="宋体" w:hint="eastAsia"/>
          <w:color w:val="000000"/>
          <w:sz w:val="24"/>
          <w:szCs w:val="24"/>
        </w:rPr>
        <w:t>规</w:t>
      </w:r>
      <w:r>
        <w:rPr>
          <w:rFonts w:ascii="宋体" w:eastAsia="宋体" w:hAnsi="宋体"/>
          <w:color w:val="000000"/>
          <w:sz w:val="24"/>
          <w:szCs w:val="24"/>
        </w:rPr>
        <w:t>定媒介上公告。</w:t>
      </w:r>
    </w:p>
    <w:p w:rsidR="00ED36DF" w:rsidRDefault="00503F43">
      <w:pPr>
        <w:spacing w:line="560" w:lineRule="exact"/>
        <w:rPr>
          <w:rFonts w:ascii="宋体" w:eastAsia="宋体" w:hAnsi="宋体"/>
          <w:b/>
          <w:color w:val="000000"/>
          <w:sz w:val="24"/>
          <w:szCs w:val="24"/>
        </w:rPr>
      </w:pPr>
      <w:r>
        <w:rPr>
          <w:rFonts w:ascii="宋体" w:eastAsia="宋体" w:hAnsi="宋体" w:hint="eastAsia"/>
          <w:b/>
          <w:color w:val="000000"/>
          <w:sz w:val="24"/>
          <w:szCs w:val="24"/>
        </w:rPr>
        <w:t>4</w:t>
      </w:r>
      <w:r>
        <w:rPr>
          <w:rFonts w:ascii="宋体" w:eastAsia="宋体" w:hAnsi="宋体"/>
          <w:b/>
          <w:color w:val="000000"/>
          <w:sz w:val="24"/>
          <w:szCs w:val="24"/>
        </w:rPr>
        <w:t>.</w:t>
      </w:r>
      <w:r>
        <w:rPr>
          <w:rFonts w:ascii="宋体" w:eastAsia="宋体" w:hAnsi="宋体" w:hint="eastAsia"/>
          <w:b/>
          <w:color w:val="000000"/>
          <w:sz w:val="24"/>
          <w:szCs w:val="24"/>
        </w:rPr>
        <w:t>2</w:t>
      </w:r>
      <w:r>
        <w:rPr>
          <w:rFonts w:ascii="宋体" w:eastAsia="宋体" w:hAnsi="宋体"/>
          <w:b/>
          <w:color w:val="000000"/>
          <w:sz w:val="24"/>
          <w:szCs w:val="24"/>
        </w:rPr>
        <w:t xml:space="preserve"> </w:t>
      </w:r>
      <w:r>
        <w:rPr>
          <w:rFonts w:ascii="宋体" w:eastAsia="宋体" w:hAnsi="宋体"/>
          <w:b/>
          <w:color w:val="000000"/>
          <w:sz w:val="24"/>
          <w:szCs w:val="24"/>
        </w:rPr>
        <w:t>赎回费率</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本基金的赎回费率如下表：</w:t>
      </w:r>
    </w:p>
    <w:tbl>
      <w:tblPr>
        <w:tblW w:w="4907" w:type="pct"/>
        <w:jc w:val="center"/>
        <w:tblBorders>
          <w:top w:val="single" w:sz="12" w:space="0" w:color="0000FF"/>
          <w:bottom w:val="single" w:sz="12" w:space="0" w:color="0000FF"/>
          <w:insideH w:val="single" w:sz="6" w:space="0" w:color="0000FF"/>
        </w:tblBorders>
        <w:tblCellMar>
          <w:left w:w="0" w:type="dxa"/>
          <w:right w:w="0" w:type="dxa"/>
        </w:tblCellMar>
        <w:tblLook w:val="04A0"/>
      </w:tblPr>
      <w:tblGrid>
        <w:gridCol w:w="4166"/>
        <w:gridCol w:w="4091"/>
      </w:tblGrid>
      <w:tr w:rsidR="00ED36DF">
        <w:trPr>
          <w:jc w:val="center"/>
        </w:trPr>
        <w:tc>
          <w:tcPr>
            <w:tcW w:w="2523" w:type="pct"/>
            <w:tcBorders>
              <w:top w:val="single" w:sz="12" w:space="0" w:color="0000FF"/>
              <w:left w:val="nil"/>
              <w:bottom w:val="single" w:sz="6" w:space="0" w:color="0000FF"/>
              <w:right w:val="nil"/>
            </w:tcBorders>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持有期限</w:t>
            </w:r>
          </w:p>
        </w:tc>
        <w:tc>
          <w:tcPr>
            <w:tcW w:w="2477" w:type="pct"/>
            <w:tcBorders>
              <w:top w:val="single" w:sz="12" w:space="0" w:color="0000FF"/>
              <w:left w:val="nil"/>
              <w:bottom w:val="single" w:sz="6" w:space="0" w:color="0000FF"/>
            </w:tcBorders>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赎回费率</w:t>
            </w:r>
          </w:p>
        </w:tc>
      </w:tr>
      <w:tr w:rsidR="00ED36DF">
        <w:trPr>
          <w:jc w:val="center"/>
        </w:trPr>
        <w:tc>
          <w:tcPr>
            <w:tcW w:w="2523" w:type="pct"/>
            <w:tcBorders>
              <w:top w:val="single" w:sz="6" w:space="0" w:color="0000FF"/>
              <w:left w:val="nil"/>
              <w:bottom w:val="single" w:sz="6" w:space="0" w:color="0000FF"/>
              <w:right w:val="nil"/>
            </w:tcBorders>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7</w:t>
            </w:r>
            <w:r>
              <w:rPr>
                <w:rFonts w:ascii="宋体" w:eastAsia="宋体" w:hAnsi="宋体"/>
                <w:color w:val="000000"/>
                <w:sz w:val="24"/>
                <w:szCs w:val="24"/>
              </w:rPr>
              <w:t>日以内</w:t>
            </w:r>
          </w:p>
        </w:tc>
        <w:tc>
          <w:tcPr>
            <w:tcW w:w="2477" w:type="pct"/>
            <w:tcBorders>
              <w:top w:val="single" w:sz="6" w:space="0" w:color="0000FF"/>
              <w:left w:val="nil"/>
              <w:bottom w:val="single" w:sz="6" w:space="0" w:color="0000FF"/>
            </w:tcBorders>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1.50%</w:t>
            </w:r>
          </w:p>
        </w:tc>
      </w:tr>
      <w:tr w:rsidR="00ED36DF">
        <w:trPr>
          <w:jc w:val="center"/>
        </w:trPr>
        <w:tc>
          <w:tcPr>
            <w:tcW w:w="2523" w:type="pct"/>
            <w:tcBorders>
              <w:top w:val="single" w:sz="6" w:space="0" w:color="0000FF"/>
              <w:left w:val="nil"/>
              <w:bottom w:val="single" w:sz="6" w:space="0" w:color="0000FF"/>
              <w:right w:val="nil"/>
            </w:tcBorders>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7</w:t>
            </w:r>
            <w:r>
              <w:rPr>
                <w:rFonts w:ascii="宋体" w:eastAsia="宋体" w:hAnsi="宋体"/>
                <w:color w:val="000000"/>
                <w:sz w:val="24"/>
                <w:szCs w:val="24"/>
              </w:rPr>
              <w:t>日（含）</w:t>
            </w:r>
            <w:r>
              <w:rPr>
                <w:rFonts w:ascii="宋体" w:eastAsia="宋体" w:hAnsi="宋体"/>
                <w:color w:val="000000"/>
                <w:sz w:val="24"/>
                <w:szCs w:val="24"/>
              </w:rPr>
              <w:t>—90</w:t>
            </w:r>
            <w:r>
              <w:rPr>
                <w:rFonts w:ascii="宋体" w:eastAsia="宋体" w:hAnsi="宋体"/>
                <w:color w:val="000000"/>
                <w:sz w:val="24"/>
                <w:szCs w:val="24"/>
              </w:rPr>
              <w:t>日</w:t>
            </w:r>
          </w:p>
        </w:tc>
        <w:tc>
          <w:tcPr>
            <w:tcW w:w="2477" w:type="pct"/>
            <w:tcBorders>
              <w:top w:val="single" w:sz="6" w:space="0" w:color="0000FF"/>
              <w:left w:val="nil"/>
              <w:bottom w:val="single" w:sz="6" w:space="0" w:color="0000FF"/>
            </w:tcBorders>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10</w:t>
            </w:r>
            <w:r>
              <w:rPr>
                <w:rFonts w:ascii="宋体" w:eastAsia="宋体" w:hAnsi="宋体"/>
                <w:color w:val="000000"/>
                <w:sz w:val="24"/>
                <w:szCs w:val="24"/>
              </w:rPr>
              <w:t>%</w:t>
            </w:r>
          </w:p>
        </w:tc>
      </w:tr>
      <w:tr w:rsidR="00ED36DF">
        <w:trPr>
          <w:jc w:val="center"/>
        </w:trPr>
        <w:tc>
          <w:tcPr>
            <w:tcW w:w="2523" w:type="pct"/>
            <w:tcBorders>
              <w:top w:val="single" w:sz="6" w:space="0" w:color="0000FF"/>
              <w:left w:val="nil"/>
              <w:bottom w:val="single" w:sz="12" w:space="0" w:color="0000FF"/>
              <w:right w:val="nil"/>
            </w:tcBorders>
            <w:tcMar>
              <w:top w:w="0" w:type="dxa"/>
              <w:left w:w="108" w:type="dxa"/>
              <w:bottom w:w="0" w:type="dxa"/>
              <w:right w:w="108" w:type="dxa"/>
            </w:tcMar>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90</w:t>
            </w:r>
            <w:r>
              <w:rPr>
                <w:rFonts w:ascii="宋体" w:eastAsia="宋体" w:hAnsi="宋体"/>
                <w:color w:val="000000"/>
                <w:sz w:val="24"/>
                <w:szCs w:val="24"/>
              </w:rPr>
              <w:t>日（含）以上</w:t>
            </w:r>
          </w:p>
        </w:tc>
        <w:tc>
          <w:tcPr>
            <w:tcW w:w="2477" w:type="pct"/>
            <w:tcBorders>
              <w:top w:val="single" w:sz="6" w:space="0" w:color="0000FF"/>
              <w:left w:val="nil"/>
              <w:bottom w:val="single" w:sz="12" w:space="0" w:color="0000FF"/>
            </w:tcBorders>
            <w:vAlign w:val="center"/>
          </w:tcPr>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0.00%</w:t>
            </w:r>
          </w:p>
        </w:tc>
      </w:tr>
    </w:tbl>
    <w:p w:rsidR="00ED36DF" w:rsidRDefault="00503F43">
      <w:pPr>
        <w:spacing w:line="560" w:lineRule="exact"/>
        <w:rPr>
          <w:rFonts w:ascii="宋体" w:eastAsia="宋体" w:hAnsi="宋体"/>
          <w:b/>
          <w:color w:val="000000"/>
          <w:sz w:val="24"/>
          <w:szCs w:val="24"/>
        </w:rPr>
      </w:pPr>
      <w:r>
        <w:rPr>
          <w:rFonts w:ascii="宋体" w:eastAsia="宋体" w:hAnsi="宋体" w:hint="eastAsia"/>
          <w:b/>
          <w:color w:val="000000"/>
          <w:sz w:val="24"/>
          <w:szCs w:val="24"/>
        </w:rPr>
        <w:t>4</w:t>
      </w:r>
      <w:r>
        <w:rPr>
          <w:rFonts w:ascii="宋体" w:eastAsia="宋体" w:hAnsi="宋体"/>
          <w:b/>
          <w:color w:val="000000"/>
          <w:sz w:val="24"/>
          <w:szCs w:val="24"/>
        </w:rPr>
        <w:t>.</w:t>
      </w:r>
      <w:r>
        <w:rPr>
          <w:rFonts w:ascii="宋体" w:eastAsia="宋体" w:hAnsi="宋体" w:hint="eastAsia"/>
          <w:b/>
          <w:color w:val="000000"/>
          <w:sz w:val="24"/>
          <w:szCs w:val="24"/>
        </w:rPr>
        <w:t>3</w:t>
      </w:r>
      <w:r>
        <w:rPr>
          <w:rFonts w:ascii="宋体" w:eastAsia="宋体" w:hAnsi="宋体"/>
          <w:b/>
          <w:color w:val="000000"/>
          <w:sz w:val="24"/>
          <w:szCs w:val="24"/>
        </w:rPr>
        <w:t xml:space="preserve"> </w:t>
      </w:r>
      <w:r>
        <w:rPr>
          <w:rFonts w:ascii="宋体" w:eastAsia="宋体" w:hAnsi="宋体"/>
          <w:b/>
          <w:color w:val="000000"/>
          <w:sz w:val="24"/>
          <w:szCs w:val="24"/>
        </w:rPr>
        <w:t>其他与赎回相关的事项</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基金管理人应以交易时间结束前受理有效赎回申请的当天作为赎回申请日（</w:t>
      </w:r>
      <w:r>
        <w:rPr>
          <w:rFonts w:ascii="宋体" w:eastAsia="宋体" w:hAnsi="宋体"/>
          <w:color w:val="000000"/>
          <w:sz w:val="24"/>
          <w:szCs w:val="24"/>
        </w:rPr>
        <w:t>T</w:t>
      </w:r>
      <w:r>
        <w:rPr>
          <w:rFonts w:ascii="宋体" w:eastAsia="宋体" w:hAnsi="宋体"/>
          <w:color w:val="000000"/>
          <w:sz w:val="24"/>
          <w:szCs w:val="24"/>
        </w:rPr>
        <w:t>日），在正常情况下，本基金登记机构在</w:t>
      </w:r>
      <w:r>
        <w:rPr>
          <w:rFonts w:ascii="宋体" w:eastAsia="宋体" w:hAnsi="宋体"/>
          <w:color w:val="000000"/>
          <w:sz w:val="24"/>
          <w:szCs w:val="24"/>
        </w:rPr>
        <w:t>T+1</w:t>
      </w:r>
      <w:r>
        <w:rPr>
          <w:rFonts w:ascii="宋体" w:eastAsia="宋体" w:hAnsi="宋体"/>
          <w:color w:val="000000"/>
          <w:sz w:val="24"/>
          <w:szCs w:val="24"/>
        </w:rPr>
        <w:t>日内（包括该日）对该交易的有效性进行确认。投资人应在</w:t>
      </w:r>
      <w:r>
        <w:rPr>
          <w:rFonts w:ascii="宋体" w:eastAsia="宋体" w:hAnsi="宋体"/>
          <w:color w:val="000000"/>
          <w:sz w:val="24"/>
          <w:szCs w:val="24"/>
        </w:rPr>
        <w:t>T+2</w:t>
      </w:r>
      <w:r>
        <w:rPr>
          <w:rFonts w:ascii="宋体" w:eastAsia="宋体" w:hAnsi="宋体"/>
          <w:color w:val="000000"/>
          <w:sz w:val="24"/>
          <w:szCs w:val="24"/>
        </w:rPr>
        <w:t>日后（包括该日）及时到销售网点柜台或以销售机构规定的其他方式查询申请的确认情况。</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销售机构对赎回申请的受理并不代表该申请一定成功，而仅代表销售机构确实接收到申请。赎回的确认以登记机构的确认结果为准。对于申请的确认情况，投资者应及时查询，否则如因申请未得到登记机构的确认而产生的后果，由投资人自行承担。</w:t>
      </w:r>
    </w:p>
    <w:p w:rsidR="00ED36DF" w:rsidRDefault="00503F43">
      <w:pPr>
        <w:spacing w:line="560" w:lineRule="exact"/>
        <w:rPr>
          <w:rFonts w:ascii="宋体" w:eastAsia="宋体" w:hAnsi="宋体"/>
          <w:b/>
          <w:color w:val="000000"/>
          <w:sz w:val="24"/>
          <w:szCs w:val="24"/>
        </w:rPr>
      </w:pPr>
      <w:r>
        <w:rPr>
          <w:rFonts w:ascii="宋体" w:eastAsia="宋体" w:hAnsi="宋体"/>
          <w:b/>
          <w:color w:val="000000"/>
          <w:sz w:val="24"/>
          <w:szCs w:val="24"/>
        </w:rPr>
        <w:t>5.</w:t>
      </w:r>
      <w:r>
        <w:rPr>
          <w:rFonts w:ascii="宋体" w:eastAsia="宋体" w:hAnsi="宋体" w:hint="eastAsia"/>
          <w:b/>
          <w:color w:val="000000"/>
          <w:sz w:val="24"/>
          <w:szCs w:val="24"/>
        </w:rPr>
        <w:t>1</w:t>
      </w:r>
      <w:r>
        <w:rPr>
          <w:rFonts w:ascii="宋体" w:eastAsia="宋体" w:hAnsi="宋体"/>
          <w:b/>
          <w:color w:val="000000"/>
          <w:sz w:val="24"/>
          <w:szCs w:val="24"/>
        </w:rPr>
        <w:t xml:space="preserve"> </w:t>
      </w:r>
      <w:r>
        <w:rPr>
          <w:rFonts w:ascii="宋体" w:eastAsia="宋体" w:hAnsi="宋体"/>
          <w:b/>
          <w:color w:val="000000"/>
          <w:sz w:val="24"/>
          <w:szCs w:val="24"/>
        </w:rPr>
        <w:t>场外销售机构</w:t>
      </w:r>
    </w:p>
    <w:p w:rsidR="00ED36DF" w:rsidRDefault="00503F43">
      <w:pPr>
        <w:spacing w:line="560" w:lineRule="exact"/>
        <w:rPr>
          <w:rFonts w:ascii="宋体" w:eastAsia="宋体" w:hAnsi="宋体"/>
          <w:b/>
          <w:color w:val="000000"/>
          <w:sz w:val="24"/>
          <w:szCs w:val="24"/>
        </w:rPr>
      </w:pPr>
      <w:r>
        <w:rPr>
          <w:rFonts w:ascii="宋体" w:eastAsia="宋体" w:hAnsi="宋体"/>
          <w:b/>
          <w:color w:val="000000"/>
          <w:sz w:val="24"/>
          <w:szCs w:val="24"/>
        </w:rPr>
        <w:t>5.</w:t>
      </w:r>
      <w:r>
        <w:rPr>
          <w:rFonts w:ascii="宋体" w:eastAsia="宋体" w:hAnsi="宋体" w:hint="eastAsia"/>
          <w:b/>
          <w:color w:val="000000"/>
          <w:sz w:val="24"/>
          <w:szCs w:val="24"/>
        </w:rPr>
        <w:t>1</w:t>
      </w:r>
      <w:r>
        <w:rPr>
          <w:rFonts w:ascii="宋体" w:eastAsia="宋体" w:hAnsi="宋体"/>
          <w:b/>
          <w:color w:val="000000"/>
          <w:sz w:val="24"/>
          <w:szCs w:val="24"/>
        </w:rPr>
        <w:t>.</w:t>
      </w:r>
      <w:r>
        <w:rPr>
          <w:rFonts w:ascii="宋体" w:eastAsia="宋体" w:hAnsi="宋体" w:hint="eastAsia"/>
          <w:b/>
          <w:color w:val="000000"/>
          <w:sz w:val="24"/>
          <w:szCs w:val="24"/>
        </w:rPr>
        <w:t>1</w:t>
      </w:r>
      <w:r>
        <w:rPr>
          <w:rFonts w:ascii="宋体" w:eastAsia="宋体" w:hAnsi="宋体"/>
          <w:b/>
          <w:color w:val="000000"/>
          <w:sz w:val="24"/>
          <w:szCs w:val="24"/>
        </w:rPr>
        <w:t xml:space="preserve"> </w:t>
      </w:r>
      <w:r>
        <w:rPr>
          <w:rFonts w:ascii="宋体" w:eastAsia="宋体" w:hAnsi="宋体"/>
          <w:b/>
          <w:color w:val="000000"/>
          <w:sz w:val="24"/>
          <w:szCs w:val="24"/>
        </w:rPr>
        <w:t>直销机构</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申万菱信基金管理有限公司直销中心</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地址：上海市中山南路</w:t>
      </w:r>
      <w:r>
        <w:rPr>
          <w:rFonts w:ascii="宋体" w:eastAsia="宋体" w:hAnsi="宋体"/>
          <w:color w:val="000000"/>
          <w:sz w:val="24"/>
          <w:szCs w:val="24"/>
        </w:rPr>
        <w:t>100</w:t>
      </w:r>
      <w:r>
        <w:rPr>
          <w:rFonts w:ascii="宋体" w:eastAsia="宋体" w:hAnsi="宋体"/>
          <w:color w:val="000000"/>
          <w:sz w:val="24"/>
          <w:szCs w:val="24"/>
        </w:rPr>
        <w:t>号</w:t>
      </w:r>
      <w:r>
        <w:rPr>
          <w:rFonts w:ascii="宋体" w:eastAsia="宋体" w:hAnsi="宋体"/>
          <w:color w:val="000000"/>
          <w:sz w:val="24"/>
          <w:szCs w:val="24"/>
        </w:rPr>
        <w:t>10</w:t>
      </w:r>
      <w:r>
        <w:rPr>
          <w:rFonts w:ascii="宋体" w:eastAsia="宋体" w:hAnsi="宋体"/>
          <w:color w:val="000000"/>
          <w:sz w:val="24"/>
          <w:szCs w:val="24"/>
        </w:rPr>
        <w:t>层（</w:t>
      </w:r>
      <w:r>
        <w:rPr>
          <w:rFonts w:ascii="宋体" w:eastAsia="宋体" w:hAnsi="宋体"/>
          <w:color w:val="000000"/>
          <w:sz w:val="24"/>
          <w:szCs w:val="24"/>
        </w:rPr>
        <w:t>200010</w:t>
      </w:r>
      <w:r>
        <w:rPr>
          <w:rFonts w:ascii="宋体" w:eastAsia="宋体" w:hAnsi="宋体"/>
          <w:color w:val="000000"/>
          <w:sz w:val="24"/>
          <w:szCs w:val="24"/>
        </w:rPr>
        <w:t>）</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电话：</w:t>
      </w:r>
      <w:r>
        <w:rPr>
          <w:rFonts w:ascii="宋体" w:eastAsia="宋体" w:hAnsi="宋体"/>
          <w:color w:val="000000"/>
          <w:sz w:val="24"/>
          <w:szCs w:val="24"/>
        </w:rPr>
        <w:t>400 880 8588</w:t>
      </w:r>
      <w:r>
        <w:rPr>
          <w:rFonts w:ascii="宋体" w:eastAsia="宋体" w:hAnsi="宋体"/>
          <w:color w:val="000000"/>
          <w:sz w:val="24"/>
          <w:szCs w:val="24"/>
        </w:rPr>
        <w:t>（免长途话费）或</w:t>
      </w:r>
      <w:r>
        <w:rPr>
          <w:rFonts w:ascii="宋体" w:eastAsia="宋体" w:hAnsi="宋体"/>
          <w:color w:val="000000"/>
          <w:sz w:val="24"/>
          <w:szCs w:val="24"/>
        </w:rPr>
        <w:t>021-962299</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传真：</w:t>
      </w:r>
      <w:r>
        <w:rPr>
          <w:rFonts w:ascii="宋体" w:eastAsia="宋体" w:hAnsi="宋体"/>
          <w:color w:val="000000"/>
          <w:sz w:val="24"/>
          <w:szCs w:val="24"/>
        </w:rPr>
        <w:t>86-21-23261199</w:t>
      </w:r>
    </w:p>
    <w:p w:rsidR="00ED36DF" w:rsidRDefault="00503F43">
      <w:pPr>
        <w:spacing w:line="560" w:lineRule="exact"/>
        <w:rPr>
          <w:rFonts w:ascii="宋体" w:eastAsia="宋体" w:hAnsi="宋体"/>
          <w:b/>
          <w:color w:val="000000"/>
          <w:sz w:val="24"/>
          <w:szCs w:val="24"/>
        </w:rPr>
      </w:pPr>
      <w:r>
        <w:rPr>
          <w:rFonts w:ascii="宋体" w:eastAsia="宋体" w:hAnsi="宋体"/>
          <w:b/>
          <w:color w:val="000000"/>
          <w:sz w:val="24"/>
          <w:szCs w:val="24"/>
        </w:rPr>
        <w:t>5.</w:t>
      </w:r>
      <w:r>
        <w:rPr>
          <w:rFonts w:ascii="宋体" w:eastAsia="宋体" w:hAnsi="宋体" w:hint="eastAsia"/>
          <w:b/>
          <w:color w:val="000000"/>
          <w:sz w:val="24"/>
          <w:szCs w:val="24"/>
        </w:rPr>
        <w:t>1</w:t>
      </w:r>
      <w:r>
        <w:rPr>
          <w:rFonts w:ascii="宋体" w:eastAsia="宋体" w:hAnsi="宋体"/>
          <w:b/>
          <w:color w:val="000000"/>
          <w:sz w:val="24"/>
          <w:szCs w:val="24"/>
        </w:rPr>
        <w:t>.</w:t>
      </w:r>
      <w:r>
        <w:rPr>
          <w:rFonts w:ascii="宋体" w:eastAsia="宋体" w:hAnsi="宋体" w:hint="eastAsia"/>
          <w:b/>
          <w:color w:val="000000"/>
          <w:sz w:val="24"/>
          <w:szCs w:val="24"/>
        </w:rPr>
        <w:t>2</w:t>
      </w:r>
      <w:r>
        <w:rPr>
          <w:rFonts w:ascii="宋体" w:eastAsia="宋体" w:hAnsi="宋体"/>
          <w:b/>
          <w:color w:val="000000"/>
          <w:sz w:val="24"/>
          <w:szCs w:val="24"/>
        </w:rPr>
        <w:t xml:space="preserve"> </w:t>
      </w:r>
      <w:r>
        <w:rPr>
          <w:rFonts w:ascii="宋体" w:eastAsia="宋体" w:hAnsi="宋体"/>
          <w:b/>
          <w:color w:val="000000"/>
          <w:sz w:val="24"/>
          <w:szCs w:val="24"/>
        </w:rPr>
        <w:t>场外非直销机构</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详见本公司官方网站的公示。</w:t>
      </w:r>
      <w:r>
        <w:rPr>
          <w:rFonts w:ascii="宋体" w:eastAsia="宋体" w:hAnsi="宋体"/>
          <w:color w:val="000000"/>
          <w:sz w:val="24"/>
          <w:szCs w:val="24"/>
        </w:rPr>
        <w:t>基金</w:t>
      </w:r>
      <w:r>
        <w:rPr>
          <w:rFonts w:ascii="宋体" w:eastAsia="宋体" w:hAnsi="宋体"/>
          <w:color w:val="000000"/>
          <w:sz w:val="24"/>
          <w:szCs w:val="24"/>
        </w:rPr>
        <w:t>管理人可根据有关法律法规要求，根据实情，选择其他符合要求的机构销售本基金或变更上述销售机构，并在基金管理人网站公示。具体请以各发售机构实际情况为准。</w:t>
      </w:r>
    </w:p>
    <w:p w:rsidR="00ED36DF" w:rsidRDefault="00503F43">
      <w:pPr>
        <w:spacing w:line="560" w:lineRule="exact"/>
        <w:rPr>
          <w:rFonts w:ascii="宋体" w:eastAsia="宋体" w:hAnsi="宋体"/>
          <w:b/>
          <w:color w:val="000000"/>
          <w:sz w:val="24"/>
          <w:szCs w:val="24"/>
        </w:rPr>
      </w:pPr>
      <w:r>
        <w:rPr>
          <w:rFonts w:ascii="宋体" w:eastAsia="宋体" w:hAnsi="宋体" w:hint="eastAsia"/>
          <w:b/>
          <w:color w:val="000000"/>
          <w:sz w:val="24"/>
          <w:szCs w:val="24"/>
        </w:rPr>
        <w:t>7</w:t>
      </w:r>
      <w:r>
        <w:rPr>
          <w:rFonts w:ascii="宋体" w:eastAsia="宋体" w:hAnsi="宋体"/>
          <w:b/>
          <w:color w:val="000000"/>
          <w:sz w:val="24"/>
          <w:szCs w:val="24"/>
        </w:rPr>
        <w:t>.</w:t>
      </w:r>
      <w:r>
        <w:rPr>
          <w:rFonts w:ascii="宋体" w:eastAsia="宋体" w:hAnsi="宋体" w:hint="eastAsia"/>
          <w:b/>
          <w:color w:val="000000"/>
          <w:sz w:val="24"/>
          <w:szCs w:val="24"/>
        </w:rPr>
        <w:t>2</w:t>
      </w:r>
      <w:r>
        <w:rPr>
          <w:rFonts w:ascii="宋体" w:eastAsia="宋体" w:hAnsi="宋体"/>
          <w:b/>
          <w:color w:val="000000"/>
          <w:sz w:val="24"/>
          <w:szCs w:val="24"/>
        </w:rPr>
        <w:t xml:space="preserve"> </w:t>
      </w:r>
      <w:r>
        <w:rPr>
          <w:rFonts w:ascii="宋体" w:eastAsia="宋体" w:hAnsi="宋体"/>
          <w:b/>
          <w:color w:val="000000"/>
          <w:sz w:val="24"/>
          <w:szCs w:val="24"/>
        </w:rPr>
        <w:t>场内销售机构</w:t>
      </w:r>
    </w:p>
    <w:p w:rsidR="00ED36DF" w:rsidRDefault="00503F43">
      <w:pPr>
        <w:pStyle w:val="2"/>
        <w:spacing w:line="560" w:lineRule="exact"/>
        <w:rPr>
          <w:rStyle w:val="a7"/>
          <w:rFonts w:ascii="宋体" w:eastAsia="宋体" w:hAnsi="宋体"/>
          <w:color w:val="000000"/>
          <w:sz w:val="24"/>
          <w:szCs w:val="24"/>
        </w:rPr>
      </w:pPr>
      <w:bookmarkStart w:id="5" w:name="_Toc275961402"/>
      <w:r>
        <w:rPr>
          <w:rFonts w:ascii="宋体" w:eastAsia="宋体" w:hAnsi="宋体"/>
          <w:bCs w:val="0"/>
          <w:color w:val="000000"/>
          <w:sz w:val="24"/>
          <w:szCs w:val="24"/>
        </w:rPr>
        <w:t xml:space="preserve">6 </w:t>
      </w:r>
      <w:r>
        <w:rPr>
          <w:rFonts w:ascii="宋体" w:eastAsia="宋体" w:hAnsi="宋体"/>
          <w:bCs w:val="0"/>
          <w:color w:val="000000"/>
          <w:sz w:val="24"/>
          <w:szCs w:val="24"/>
        </w:rPr>
        <w:t>基金份额净值公告</w:t>
      </w:r>
      <w:r>
        <w:rPr>
          <w:rFonts w:ascii="宋体" w:eastAsia="宋体" w:hAnsi="宋体"/>
          <w:bCs w:val="0"/>
          <w:color w:val="000000"/>
          <w:sz w:val="24"/>
          <w:szCs w:val="24"/>
        </w:rPr>
        <w:t>/</w:t>
      </w:r>
      <w:r>
        <w:rPr>
          <w:rFonts w:ascii="宋体" w:eastAsia="宋体" w:hAnsi="宋体"/>
          <w:bCs w:val="0"/>
          <w:color w:val="000000"/>
          <w:sz w:val="24"/>
          <w:szCs w:val="24"/>
        </w:rPr>
        <w:t>基金收益公告的披露安排</w:t>
      </w:r>
      <w:bookmarkEnd w:id="5"/>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基金合同生效后，在基金封闭期内，基金管理人应当至少每周在规定网站披露一次基金份额净值和基金份额累计净值。</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基金管理人应在不晚于基金开放期前最后一个工作日的次日，披露开放期前最后一个工作日的基金份额净值和基金份额累计净值。</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基金管理人应当在不晚于基金开放期每个开放日的次日，通过规定网站、基金销售机构网站或者营业网点披露开放日的基金份额净值和基金份额累计净值。</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基金管理人应当在不晚于半年度和年度最后一日的次日，在规定网站披露半年度和年度最后一日的基金份额净值和基金份额累计净值。</w:t>
      </w:r>
    </w:p>
    <w:p w:rsidR="00ED36DF" w:rsidRDefault="00503F43">
      <w:pPr>
        <w:pStyle w:val="2"/>
        <w:spacing w:line="560" w:lineRule="exact"/>
        <w:rPr>
          <w:rFonts w:ascii="宋体" w:eastAsia="宋体" w:hAnsi="宋体"/>
          <w:bCs w:val="0"/>
          <w:color w:val="000000"/>
          <w:sz w:val="24"/>
          <w:szCs w:val="24"/>
        </w:rPr>
      </w:pPr>
      <w:bookmarkStart w:id="6" w:name="_Toc275961403"/>
      <w:r>
        <w:rPr>
          <w:rFonts w:ascii="宋体" w:eastAsia="宋体" w:hAnsi="宋体"/>
          <w:bCs w:val="0"/>
          <w:color w:val="000000"/>
          <w:sz w:val="24"/>
          <w:szCs w:val="24"/>
        </w:rPr>
        <w:t xml:space="preserve">7 </w:t>
      </w:r>
      <w:r>
        <w:rPr>
          <w:rFonts w:ascii="宋体" w:eastAsia="宋体" w:hAnsi="宋体"/>
          <w:bCs w:val="0"/>
          <w:color w:val="000000"/>
          <w:sz w:val="24"/>
          <w:szCs w:val="24"/>
        </w:rPr>
        <w:t>其他需要提示的事项</w:t>
      </w:r>
      <w:bookmarkEnd w:id="6"/>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本公告仅对本基金办理申赎、赎回业务相关事项予以说明。投资者欲了解本基金的详细情况，请认真阅读刊登在本公司网站（</w:t>
      </w:r>
      <w:r>
        <w:rPr>
          <w:rFonts w:ascii="宋体" w:eastAsia="宋体" w:hAnsi="宋体"/>
          <w:color w:val="000000"/>
          <w:sz w:val="24"/>
          <w:szCs w:val="24"/>
        </w:rPr>
        <w:t>www.swsmu.com</w:t>
      </w:r>
      <w:r>
        <w:rPr>
          <w:rFonts w:ascii="宋体" w:eastAsia="宋体" w:hAnsi="宋体"/>
          <w:color w:val="000000"/>
          <w:sz w:val="24"/>
          <w:szCs w:val="24"/>
        </w:rPr>
        <w:t>）、基金电子披露网站（</w:t>
      </w:r>
      <w:r>
        <w:rPr>
          <w:rFonts w:ascii="宋体" w:eastAsia="宋体" w:hAnsi="宋体"/>
          <w:color w:val="000000"/>
          <w:sz w:val="24"/>
          <w:szCs w:val="24"/>
        </w:rPr>
        <w:t>http://eid.csrc.org.cn/fund</w:t>
      </w:r>
      <w:r>
        <w:rPr>
          <w:rFonts w:ascii="宋体" w:eastAsia="宋体" w:hAnsi="宋体"/>
          <w:color w:val="000000"/>
          <w:sz w:val="24"/>
          <w:szCs w:val="24"/>
        </w:rPr>
        <w:t>）的本基金的基金合</w:t>
      </w:r>
      <w:r>
        <w:rPr>
          <w:rFonts w:ascii="宋体" w:eastAsia="宋体" w:hAnsi="宋体"/>
          <w:color w:val="000000"/>
          <w:sz w:val="24"/>
          <w:szCs w:val="24"/>
        </w:rPr>
        <w:t>同、招募说明书等法律文件。</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投资者可通过以下途径咨询：</w:t>
      </w:r>
      <w:r>
        <w:rPr>
          <w:rFonts w:ascii="宋体" w:eastAsia="宋体" w:hAnsi="宋体"/>
          <w:color w:val="000000"/>
          <w:sz w:val="24"/>
          <w:szCs w:val="24"/>
        </w:rPr>
        <w:t xml:space="preserve"> </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申万菱信基金管理有限公司</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客服电话：</w:t>
      </w:r>
      <w:r>
        <w:rPr>
          <w:rFonts w:ascii="宋体" w:eastAsia="宋体" w:hAnsi="宋体"/>
          <w:color w:val="000000"/>
          <w:sz w:val="24"/>
          <w:szCs w:val="24"/>
        </w:rPr>
        <w:t>400-880-8588</w:t>
      </w:r>
      <w:r>
        <w:rPr>
          <w:rFonts w:ascii="宋体" w:eastAsia="宋体" w:hAnsi="宋体"/>
          <w:color w:val="000000"/>
          <w:sz w:val="24"/>
          <w:szCs w:val="24"/>
        </w:rPr>
        <w:t>（免长途话费）或</w:t>
      </w:r>
      <w:r>
        <w:rPr>
          <w:rFonts w:ascii="宋体" w:eastAsia="宋体" w:hAnsi="宋体"/>
          <w:color w:val="000000"/>
          <w:sz w:val="24"/>
          <w:szCs w:val="24"/>
        </w:rPr>
        <w:t xml:space="preserve"> 021-962299 </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公司网址：</w:t>
      </w:r>
      <w:r>
        <w:rPr>
          <w:rFonts w:ascii="宋体" w:eastAsia="宋体" w:hAnsi="宋体"/>
          <w:color w:val="000000"/>
          <w:sz w:val="24"/>
          <w:szCs w:val="24"/>
        </w:rPr>
        <w:t xml:space="preserve">www.swsmu.com </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风险提示：</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基金管理人承诺以诚实信用、勤勉尽责的原则管理和运用基金资产，但不保证基金一定盈利，也不保证最低收益。投资者欲了解基金产品的详细情况，请仔细阅读基金的基金合同、招募说明书、基金产品资料概要等信息披露文件，敬请投资者注意投资风险。</w:t>
      </w:r>
    </w:p>
    <w:p w:rsidR="00ED36DF" w:rsidRDefault="00503F43">
      <w:pPr>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本公告解释权归本公司所有。</w:t>
      </w:r>
    </w:p>
    <w:p w:rsidR="00ED36DF" w:rsidRDefault="00ED36DF">
      <w:pPr>
        <w:rPr>
          <w:rFonts w:ascii="宋体" w:eastAsia="宋体" w:hAnsi="宋体"/>
          <w:sz w:val="24"/>
          <w:szCs w:val="24"/>
        </w:rPr>
      </w:pPr>
    </w:p>
    <w:sectPr w:rsidR="00ED36DF" w:rsidSect="00ED36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2A7753"/>
    <w:rsid w:val="002A7753"/>
    <w:rsid w:val="00503F43"/>
    <w:rsid w:val="00BB006E"/>
    <w:rsid w:val="00ED36DF"/>
    <w:rsid w:val="09D829B2"/>
    <w:rsid w:val="10E30181"/>
    <w:rsid w:val="4A4F0FFA"/>
    <w:rsid w:val="4AFA43BA"/>
    <w:rsid w:val="4F5D7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6DF"/>
    <w:pPr>
      <w:widowControl w:val="0"/>
      <w:jc w:val="both"/>
    </w:pPr>
    <w:rPr>
      <w:rFonts w:ascii="Times New Roman" w:eastAsia="方正仿宋简体" w:hAnsi="Times New Roman" w:cs="Times New Roman"/>
      <w:kern w:val="2"/>
      <w:sz w:val="32"/>
    </w:rPr>
  </w:style>
  <w:style w:type="paragraph" w:styleId="2">
    <w:name w:val="heading 2"/>
    <w:basedOn w:val="a"/>
    <w:next w:val="a"/>
    <w:link w:val="2Char"/>
    <w:autoRedefine/>
    <w:qFormat/>
    <w:rsid w:val="00ED36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qFormat/>
    <w:rsid w:val="00ED36DF"/>
    <w:rPr>
      <w:sz w:val="18"/>
      <w:szCs w:val="18"/>
    </w:rPr>
  </w:style>
  <w:style w:type="paragraph" w:styleId="a4">
    <w:name w:val="footer"/>
    <w:basedOn w:val="a"/>
    <w:link w:val="Char0"/>
    <w:autoRedefine/>
    <w:uiPriority w:val="99"/>
    <w:qFormat/>
    <w:rsid w:val="00ED36DF"/>
    <w:pPr>
      <w:tabs>
        <w:tab w:val="center" w:pos="4153"/>
        <w:tab w:val="right" w:pos="8306"/>
      </w:tabs>
      <w:snapToGrid w:val="0"/>
      <w:jc w:val="left"/>
    </w:pPr>
    <w:rPr>
      <w:sz w:val="18"/>
      <w:szCs w:val="18"/>
    </w:rPr>
  </w:style>
  <w:style w:type="paragraph" w:styleId="a5">
    <w:name w:val="header"/>
    <w:basedOn w:val="a"/>
    <w:link w:val="Char1"/>
    <w:autoRedefine/>
    <w:uiPriority w:val="99"/>
    <w:qFormat/>
    <w:rsid w:val="00ED36DF"/>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autoRedefine/>
    <w:qFormat/>
    <w:rsid w:val="00ED36DF"/>
    <w:pPr>
      <w:snapToGrid w:val="0"/>
      <w:jc w:val="left"/>
    </w:pPr>
    <w:rPr>
      <w:rFonts w:eastAsia="宋体"/>
      <w:sz w:val="18"/>
    </w:rPr>
  </w:style>
  <w:style w:type="character" w:styleId="a7">
    <w:name w:val="footnote reference"/>
    <w:basedOn w:val="a0"/>
    <w:autoRedefine/>
    <w:qFormat/>
    <w:rsid w:val="00ED36DF"/>
    <w:rPr>
      <w:vertAlign w:val="superscript"/>
    </w:rPr>
  </w:style>
  <w:style w:type="character" w:customStyle="1" w:styleId="2Char">
    <w:name w:val="标题 2 Char"/>
    <w:basedOn w:val="a0"/>
    <w:link w:val="2"/>
    <w:autoRedefine/>
    <w:qFormat/>
    <w:rsid w:val="00ED36DF"/>
    <w:rPr>
      <w:rFonts w:ascii="Arial" w:eastAsia="黑体" w:hAnsi="Arial" w:cs="Times New Roman"/>
      <w:b/>
      <w:bCs/>
      <w:sz w:val="32"/>
      <w:szCs w:val="32"/>
    </w:rPr>
  </w:style>
  <w:style w:type="character" w:customStyle="1" w:styleId="Char2">
    <w:name w:val="脚注文本 Char"/>
    <w:basedOn w:val="a0"/>
    <w:link w:val="a6"/>
    <w:autoRedefine/>
    <w:qFormat/>
    <w:rsid w:val="00ED36DF"/>
    <w:rPr>
      <w:rFonts w:ascii="Times New Roman" w:eastAsia="宋体" w:hAnsi="Times New Roman" w:cs="Times New Roman"/>
      <w:sz w:val="18"/>
      <w:szCs w:val="20"/>
    </w:rPr>
  </w:style>
  <w:style w:type="character" w:customStyle="1" w:styleId="Char">
    <w:name w:val="批注框文本 Char"/>
    <w:basedOn w:val="a0"/>
    <w:link w:val="a3"/>
    <w:uiPriority w:val="99"/>
    <w:qFormat/>
    <w:rsid w:val="00ED36DF"/>
    <w:rPr>
      <w:rFonts w:ascii="Times New Roman" w:eastAsia="方正仿宋简体" w:hAnsi="Times New Roman" w:cs="Times New Roman"/>
      <w:sz w:val="18"/>
      <w:szCs w:val="18"/>
    </w:rPr>
  </w:style>
  <w:style w:type="character" w:customStyle="1" w:styleId="Char1">
    <w:name w:val="页眉 Char"/>
    <w:basedOn w:val="a0"/>
    <w:link w:val="a5"/>
    <w:autoRedefine/>
    <w:uiPriority w:val="99"/>
    <w:qFormat/>
    <w:rsid w:val="00ED36DF"/>
    <w:rPr>
      <w:rFonts w:ascii="Times New Roman" w:eastAsia="方正仿宋简体" w:hAnsi="Times New Roman" w:cs="Times New Roman"/>
      <w:sz w:val="18"/>
      <w:szCs w:val="18"/>
    </w:rPr>
  </w:style>
  <w:style w:type="character" w:customStyle="1" w:styleId="Char0">
    <w:name w:val="页脚 Char"/>
    <w:basedOn w:val="a0"/>
    <w:link w:val="a4"/>
    <w:autoRedefine/>
    <w:uiPriority w:val="99"/>
    <w:qFormat/>
    <w:rsid w:val="00ED36D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2517</Characters>
  <Application>Microsoft Office Word</Application>
  <DocSecurity>4</DocSecurity>
  <Lines>20</Lines>
  <Paragraphs>5</Paragraphs>
  <ScaleCrop>false</ScaleCrop>
  <Company>微软中国</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6D11713F96D1455A94BBAC5EE69D13C8_13</vt:lpwstr>
  </property>
</Properties>
</file>