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ED" w:rsidRDefault="009B59ED">
      <w:pPr>
        <w:pStyle w:val="biaogecenter"/>
        <w:rPr>
          <w:sz w:val="30"/>
          <w:szCs w:val="30"/>
        </w:rPr>
      </w:pPr>
      <w:r>
        <w:rPr>
          <w:rFonts w:hint="eastAsia"/>
          <w:b/>
          <w:bCs/>
          <w:sz w:val="30"/>
          <w:szCs w:val="30"/>
        </w:rPr>
        <w:t>天治中国制造2025灵活配置混合型证券投资基金分红公告</w:t>
      </w:r>
    </w:p>
    <w:p w:rsidR="009B59ED" w:rsidRDefault="009B59ED">
      <w:pPr>
        <w:pStyle w:val="biaogecenter"/>
        <w:rPr>
          <w:rFonts w:hint="eastAsia"/>
        </w:rPr>
      </w:pPr>
    </w:p>
    <w:p w:rsidR="009B59ED" w:rsidRDefault="009B59ED">
      <w:pPr>
        <w:pStyle w:val="biaogecenter"/>
        <w:rPr>
          <w:rFonts w:hint="eastAsia"/>
        </w:rPr>
      </w:pPr>
      <w:r>
        <w:rPr>
          <w:rFonts w:hint="eastAsia"/>
        </w:rPr>
        <w:t>公告送出日期：2024年03月02日</w:t>
      </w:r>
    </w:p>
    <w:p w:rsidR="009B59ED" w:rsidRDefault="009B59ED">
      <w:pPr>
        <w:pStyle w:val="dazhangjie"/>
        <w:rPr>
          <w:rFonts w:hint="eastAsia"/>
        </w:rPr>
      </w:pPr>
      <w:r w:rsidRPr="00465F78">
        <w:rPr>
          <w:rFonts w:hAnsi="Calibri" w:hint="eastAsia"/>
          <w:b/>
          <w:color w:val="000000"/>
        </w:rPr>
        <w:t>1 公告基本信息</w:t>
      </w:r>
    </w:p>
    <w:p w:rsidR="009B59ED" w:rsidRDefault="009B59ED">
      <w:pPr>
        <w:widowControl/>
        <w:jc w:val="left"/>
        <w:rPr>
          <w:rFonts w:ascii="宋体" w:hAnsi="宋体" w:cs="宋体" w:hint="eastAsia"/>
          <w:kern w:val="0"/>
          <w:sz w:val="24"/>
          <w:szCs w:val="24"/>
        </w:rPr>
      </w:pPr>
    </w:p>
    <w:tbl>
      <w:tblPr>
        <w:tblW w:w="8250" w:type="dxa"/>
        <w:tblInd w:w="108" w:type="dxa"/>
        <w:tblLook w:val="04A0"/>
      </w:tblPr>
      <w:tblGrid>
        <w:gridCol w:w="978"/>
        <w:gridCol w:w="2322"/>
        <w:gridCol w:w="4950"/>
      </w:tblGrid>
      <w:tr w:rsidR="009B59ED" w:rsidRPr="00465F78" w:rsidTr="00987B59">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基金名称</w:t>
            </w:r>
          </w:p>
        </w:tc>
        <w:tc>
          <w:tcPr>
            <w:tcW w:w="3000" w:type="pct"/>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天治中国制造2025灵活配置混合型证券投资基金</w:t>
            </w:r>
          </w:p>
        </w:tc>
      </w:tr>
      <w:tr w:rsidR="009B59ED" w:rsidRPr="00465F78" w:rsidTr="00987B59">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基金简称</w:t>
            </w:r>
          </w:p>
        </w:tc>
        <w:tc>
          <w:tcPr>
            <w:tcW w:w="3000" w:type="pct"/>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天治中国制造2025混合</w:t>
            </w:r>
          </w:p>
        </w:tc>
      </w:tr>
      <w:tr w:rsidR="009B59ED" w:rsidRPr="00465F78" w:rsidTr="00987B59">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基金主代码</w:t>
            </w:r>
          </w:p>
        </w:tc>
        <w:tc>
          <w:tcPr>
            <w:tcW w:w="3000" w:type="pct"/>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350005</w:t>
            </w:r>
          </w:p>
        </w:tc>
      </w:tr>
      <w:tr w:rsidR="009B59ED" w:rsidRPr="00465F78" w:rsidTr="00987B59">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基金合同生效日</w:t>
            </w:r>
          </w:p>
        </w:tc>
        <w:tc>
          <w:tcPr>
            <w:tcW w:w="3000" w:type="pct"/>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2016年04月07日</w:t>
            </w:r>
          </w:p>
        </w:tc>
      </w:tr>
      <w:tr w:rsidR="009B59ED" w:rsidRPr="00465F78" w:rsidTr="00987B59">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基金管理人名称</w:t>
            </w:r>
          </w:p>
        </w:tc>
        <w:tc>
          <w:tcPr>
            <w:tcW w:w="3000" w:type="pct"/>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天治基金管理有限公司</w:t>
            </w:r>
          </w:p>
        </w:tc>
      </w:tr>
      <w:tr w:rsidR="009B59ED" w:rsidRPr="00465F78" w:rsidTr="00987B59">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基金托管人名称</w:t>
            </w:r>
          </w:p>
        </w:tc>
        <w:tc>
          <w:tcPr>
            <w:tcW w:w="3000" w:type="pct"/>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交通银行股份有限公司</w:t>
            </w:r>
          </w:p>
        </w:tc>
      </w:tr>
      <w:tr w:rsidR="009B59ED" w:rsidRPr="00465F78" w:rsidTr="00987B59">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公告依据</w:t>
            </w:r>
          </w:p>
        </w:tc>
        <w:tc>
          <w:tcPr>
            <w:tcW w:w="3000" w:type="pct"/>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《公开募集证券投资基金信息披露管理办法》、《天治中国制造2025灵活配置混合型证券投资基金基金合同》、《天治中国制造2025灵活配置混合型证券投资基金招募说明书》</w:t>
            </w:r>
          </w:p>
        </w:tc>
      </w:tr>
      <w:tr w:rsidR="009B59ED" w:rsidRPr="00465F78" w:rsidTr="00987B59">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收益分配基准日</w:t>
            </w:r>
          </w:p>
        </w:tc>
        <w:tc>
          <w:tcPr>
            <w:tcW w:w="3000" w:type="pct"/>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2024年02月28日</w:t>
            </w:r>
          </w:p>
        </w:tc>
      </w:tr>
      <w:tr w:rsidR="009B59ED" w:rsidRPr="00465F78" w:rsidTr="00987B59">
        <w:tc>
          <w:tcPr>
            <w:tcW w:w="593" w:type="pct"/>
            <w:vMerge w:val="restart"/>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截止收益分配基准日的相关指标</w:t>
            </w:r>
          </w:p>
        </w:tc>
        <w:tc>
          <w:tcPr>
            <w:tcW w:w="1407" w:type="pct"/>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基准日基金份额净值（单位:人民币元）</w:t>
            </w:r>
          </w:p>
        </w:tc>
        <w:tc>
          <w:tcPr>
            <w:tcW w:w="3000" w:type="pct"/>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2.7027</w:t>
            </w:r>
          </w:p>
        </w:tc>
      </w:tr>
      <w:tr w:rsidR="009B59ED" w:rsidRPr="00465F78" w:rsidTr="00987B59">
        <w:tc>
          <w:tcPr>
            <w:tcW w:w="593" w:type="pct"/>
            <w:vMerge/>
            <w:tcBorders>
              <w:top w:val="single" w:sz="8" w:space="0" w:color="000000"/>
              <w:left w:val="single" w:sz="8" w:space="0" w:color="000000"/>
              <w:bottom w:val="single" w:sz="6" w:space="0" w:color="000000"/>
              <w:right w:val="single" w:sz="8" w:space="0" w:color="000000"/>
            </w:tcBorders>
            <w:vAlign w:val="center"/>
            <w:hideMark/>
          </w:tcPr>
          <w:p w:rsidR="009B59ED" w:rsidRDefault="009B59ED">
            <w:pPr>
              <w:widowControl/>
              <w:jc w:val="left"/>
              <w:rPr>
                <w:rFonts w:ascii="宋体" w:hAnsi="宋体" w:cs="宋体"/>
                <w:kern w:val="0"/>
                <w:sz w:val="24"/>
                <w:szCs w:val="24"/>
              </w:rPr>
            </w:pPr>
          </w:p>
        </w:tc>
        <w:tc>
          <w:tcPr>
            <w:tcW w:w="1407" w:type="pct"/>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基准日基金可供分配利润（单位:人民币元）</w:t>
            </w:r>
          </w:p>
        </w:tc>
        <w:tc>
          <w:tcPr>
            <w:tcW w:w="3000" w:type="pct"/>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1,099,864,882.24</w:t>
            </w:r>
          </w:p>
        </w:tc>
      </w:tr>
      <w:tr w:rsidR="009B59ED" w:rsidRPr="00465F78" w:rsidTr="00987B59">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本次分红方案（单位:元/10份基金份额）</w:t>
            </w:r>
          </w:p>
        </w:tc>
        <w:tc>
          <w:tcPr>
            <w:tcW w:w="3000" w:type="pct"/>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7.5670</w:t>
            </w:r>
          </w:p>
        </w:tc>
      </w:tr>
      <w:tr w:rsidR="009B59ED" w:rsidRPr="00465F78" w:rsidTr="00987B59">
        <w:tc>
          <w:tcPr>
            <w:tcW w:w="2000" w:type="pct"/>
            <w:gridSpan w:val="2"/>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有关年度分红次数的说明</w:t>
            </w:r>
          </w:p>
        </w:tc>
        <w:tc>
          <w:tcPr>
            <w:tcW w:w="3000" w:type="pct"/>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本次分红为2024年度的第一次分红</w:t>
            </w:r>
          </w:p>
        </w:tc>
      </w:tr>
    </w:tbl>
    <w:p w:rsidR="009B59ED" w:rsidRDefault="009B59ED">
      <w:pPr>
        <w:pStyle w:val="neirong"/>
        <w:rPr>
          <w:rFonts w:hint="eastAsia"/>
        </w:rPr>
      </w:pPr>
      <w:r>
        <w:rPr>
          <w:rFonts w:hint="eastAsia"/>
        </w:rPr>
        <w:t>注：（1）在符合有关基金分红条件的前提下，本基金每年收益分配次数最多为12次，每次收益分配比例不得低于该次可供分配利润的20%，若《基金合同》生效不满3个月可不进行收益分配；（2）本基金收益分配方式分两种：现金分红与红利再投资，投资者可选择现金红利或将现金红利自动转为基金份额进行再投资；若投资者不选择，本基金默认的收益分配方式是现金分红；（3）基金收益分配后基金份额净值不能低于面值，即基金收益分配基准日的基金份额净值减去每单位基金份额收益分配金额后不能低于</w:t>
      </w:r>
      <w:r>
        <w:rPr>
          <w:rFonts w:hint="eastAsia"/>
        </w:rPr>
        <w:lastRenderedPageBreak/>
        <w:t>面值；（4）每一基金份额享有同等分配权；（5）法律法规或监管机关另有规定的，从其规定。</w:t>
      </w:r>
    </w:p>
    <w:p w:rsidR="009B59ED" w:rsidRDefault="009B59ED">
      <w:pPr>
        <w:widowControl/>
        <w:jc w:val="left"/>
        <w:rPr>
          <w:rFonts w:ascii="宋体" w:hAnsi="宋体" w:cs="宋体" w:hint="eastAsia"/>
          <w:kern w:val="0"/>
          <w:sz w:val="24"/>
          <w:szCs w:val="24"/>
        </w:rPr>
      </w:pPr>
    </w:p>
    <w:p w:rsidR="009B59ED" w:rsidRDefault="009B59ED">
      <w:pPr>
        <w:pStyle w:val="dazhangjie"/>
        <w:divId w:val="461655000"/>
        <w:rPr>
          <w:rFonts w:hint="eastAsia"/>
        </w:rPr>
      </w:pPr>
      <w:r w:rsidRPr="00465F78">
        <w:rPr>
          <w:rFonts w:hAnsi="Calibri" w:hint="eastAsia"/>
          <w:b/>
          <w:color w:val="000000"/>
        </w:rPr>
        <w:t>2 与分红相关的其他信息</w:t>
      </w:r>
    </w:p>
    <w:p w:rsidR="009B59ED" w:rsidRDefault="009B59ED">
      <w:pPr>
        <w:widowControl/>
        <w:jc w:val="left"/>
        <w:divId w:val="461655000"/>
        <w:rPr>
          <w:rFonts w:ascii="宋体" w:hAnsi="宋体" w:cs="宋体" w:hint="eastAsia"/>
          <w:kern w:val="0"/>
          <w:sz w:val="24"/>
          <w:szCs w:val="24"/>
        </w:rPr>
      </w:pPr>
    </w:p>
    <w:tbl>
      <w:tblPr>
        <w:tblW w:w="8250" w:type="dxa"/>
        <w:tblInd w:w="108" w:type="dxa"/>
        <w:tblLook w:val="04A0"/>
      </w:tblPr>
      <w:tblGrid>
        <w:gridCol w:w="3300"/>
        <w:gridCol w:w="4950"/>
      </w:tblGrid>
      <w:tr w:rsidR="009B59ED" w:rsidRPr="00465F78">
        <w:trPr>
          <w:divId w:val="461655000"/>
        </w:trPr>
        <w:tc>
          <w:tcPr>
            <w:tcW w:w="2000" w:type="pct"/>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权益登记日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sidRPr="00465F78">
              <w:rPr>
                <w:rFonts w:hAnsi="Calibri" w:hint="eastAsia"/>
                <w:color w:val="000000"/>
              </w:rPr>
              <w:t>2024年03月05日</w:t>
            </w:r>
          </w:p>
        </w:tc>
      </w:tr>
      <w:tr w:rsidR="00987B59" w:rsidRPr="00465F78">
        <w:trPr>
          <w:divId w:val="461655000"/>
        </w:trPr>
        <w:tc>
          <w:tcPr>
            <w:tcW w:w="0" w:type="auto"/>
            <w:tcBorders>
              <w:top w:val="single" w:sz="8" w:space="0" w:color="000000"/>
              <w:left w:val="single" w:sz="8" w:space="0" w:color="000000"/>
              <w:bottom w:val="single" w:sz="6" w:space="0" w:color="000000"/>
              <w:right w:val="single" w:sz="8" w:space="0" w:color="000000"/>
            </w:tcBorders>
            <w:vAlign w:val="center"/>
            <w:hideMark/>
          </w:tcPr>
          <w:p w:rsidR="00987B59" w:rsidRDefault="00987B59">
            <w:pPr>
              <w:pStyle w:val="biaogeleft"/>
              <w:wordWrap w:val="0"/>
              <w:rPr>
                <w:rFonts w:hint="eastAsia"/>
              </w:rPr>
            </w:pPr>
            <w:r>
              <w:rPr>
                <w:rFonts w:hint="eastAsia"/>
              </w:rPr>
              <w:t>除息日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987B59" w:rsidRDefault="00987B59">
            <w:pPr>
              <w:pStyle w:val="biaogeleft"/>
              <w:wordWrap w:val="0"/>
              <w:rPr>
                <w:rFonts w:hint="eastAsia"/>
              </w:rPr>
            </w:pPr>
            <w:r w:rsidRPr="00465F78">
              <w:rPr>
                <w:rFonts w:hAnsi="Calibri" w:hint="eastAsia"/>
                <w:color w:val="000000"/>
              </w:rPr>
              <w:t>2024年03月05日</w:t>
            </w:r>
          </w:p>
        </w:tc>
      </w:tr>
      <w:tr w:rsidR="009B59ED" w:rsidRPr="00465F78">
        <w:trPr>
          <w:divId w:val="461655000"/>
        </w:trPr>
        <w:tc>
          <w:tcPr>
            <w:tcW w:w="0" w:type="auto"/>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现金红利发放日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sidRPr="00465F78">
              <w:rPr>
                <w:rFonts w:hAnsi="Calibri" w:hint="eastAsia"/>
                <w:color w:val="000000"/>
              </w:rPr>
              <w:t>2024年03月06日</w:t>
            </w:r>
          </w:p>
        </w:tc>
      </w:tr>
      <w:tr w:rsidR="009B59ED" w:rsidRPr="00465F78">
        <w:trPr>
          <w:divId w:val="461655000"/>
        </w:trPr>
        <w:tc>
          <w:tcPr>
            <w:tcW w:w="0" w:type="auto"/>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分红对象</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sidRPr="00465F78">
              <w:rPr>
                <w:rFonts w:hAnsi="Calibri" w:hint="eastAsia"/>
                <w:color w:val="000000"/>
              </w:rPr>
              <w:t>权益登记日在本公司登记在册的本基金全体基金份额持有人。</w:t>
            </w:r>
          </w:p>
        </w:tc>
      </w:tr>
      <w:tr w:rsidR="009B59ED" w:rsidRPr="00465F78">
        <w:trPr>
          <w:divId w:val="461655000"/>
        </w:trPr>
        <w:tc>
          <w:tcPr>
            <w:tcW w:w="0" w:type="auto"/>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红利再投资相关事项的说明</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sidRPr="00465F78">
              <w:rPr>
                <w:rFonts w:hAnsi="Calibri" w:hint="eastAsia"/>
                <w:color w:val="000000"/>
              </w:rPr>
              <w:t>选择红利再投资的投资者其现金红利转换为基金份额的基金份额净值基准日为2024年03月05日，该部分基金份额将于2024年03月06日直接计入其基金账户，投资者可自2024年03月07日起查询、赎回。</w:t>
            </w:r>
          </w:p>
        </w:tc>
      </w:tr>
      <w:tr w:rsidR="009B59ED" w:rsidRPr="00465F78">
        <w:trPr>
          <w:divId w:val="461655000"/>
        </w:trPr>
        <w:tc>
          <w:tcPr>
            <w:tcW w:w="0" w:type="auto"/>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税收相关事项的说明</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根据国家相关规定，基金向投资者分配的基金收益，暂免征收所得税。</w:t>
            </w:r>
          </w:p>
        </w:tc>
      </w:tr>
      <w:tr w:rsidR="009B59ED" w:rsidRPr="00465F78">
        <w:trPr>
          <w:divId w:val="461655000"/>
        </w:trPr>
        <w:tc>
          <w:tcPr>
            <w:tcW w:w="0" w:type="auto"/>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费用相关事项的说明</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9B59ED" w:rsidRDefault="009B59ED">
            <w:pPr>
              <w:pStyle w:val="biaogeleft"/>
              <w:wordWrap w:val="0"/>
              <w:rPr>
                <w:rFonts w:hint="eastAsia"/>
              </w:rPr>
            </w:pPr>
            <w:r>
              <w:rPr>
                <w:rFonts w:hint="eastAsia"/>
              </w:rPr>
              <w:t>本基金本次分红免收分红手续费和红利再投资费用。</w:t>
            </w:r>
          </w:p>
        </w:tc>
      </w:tr>
    </w:tbl>
    <w:p w:rsidR="009B59ED" w:rsidRDefault="009B59ED">
      <w:pPr>
        <w:widowControl/>
        <w:jc w:val="left"/>
        <w:rPr>
          <w:rFonts w:ascii="宋体" w:hAnsi="宋体" w:cs="宋体" w:hint="eastAsia"/>
          <w:kern w:val="0"/>
          <w:sz w:val="24"/>
          <w:szCs w:val="24"/>
        </w:rPr>
      </w:pPr>
    </w:p>
    <w:p w:rsidR="009B59ED" w:rsidRDefault="009B59ED">
      <w:pPr>
        <w:pStyle w:val="dazhangjie"/>
        <w:rPr>
          <w:rFonts w:hint="eastAsia"/>
        </w:rPr>
      </w:pPr>
      <w:r>
        <w:rPr>
          <w:rFonts w:hint="eastAsia"/>
          <w:b/>
          <w:bCs/>
        </w:rPr>
        <w:t>3 其他需要提示的事项</w:t>
      </w:r>
    </w:p>
    <w:p w:rsidR="009B59ED" w:rsidRDefault="009B59ED">
      <w:pPr>
        <w:pStyle w:val="neirong"/>
        <w:rPr>
          <w:rFonts w:hint="eastAsia"/>
        </w:rPr>
      </w:pPr>
      <w:r>
        <w:rPr>
          <w:rFonts w:hint="eastAsia"/>
        </w:rPr>
        <w:t>  （1）权益登记日申购的基金份额不享有本次分红权益，赎回的基金份额享有本次分红权益。 </w:t>
      </w:r>
      <w:r>
        <w:rPr>
          <w:rFonts w:hint="eastAsia"/>
        </w:rPr>
        <w:br/>
        <w:t>  （2）投资者通过任一销售机构按基金交易代码提交的分红方式变更申请，只对投资者在该销售机构指定交易账户下的基金份额有效，并不改变投资者在其他销售机构基金份额的分红方式。如投资者希望变更在其他销售机构基金份额的分红方式，需按基金交易代码通过其他销售机构交易账户提交变更分红方式的业务申请。</w:t>
      </w:r>
      <w:r>
        <w:rPr>
          <w:rFonts w:hint="eastAsia"/>
        </w:rPr>
        <w:br/>
        <w:t>  （3）投资者可通过本公司网站（www.chinanature.com.cn）或客户服务电话（400-098-4800）查询分红方式是否正确，如不正确或希望变更分红方式的，请于权益登记日之前（不含权益登记日）到销售网点或通过电子交易平台办理变更手续。本次分红方式将以投资者在权益登记日之前（不含权益登记日）最后一次选择的分红方式为准。</w:t>
      </w:r>
      <w:r>
        <w:rPr>
          <w:rFonts w:hint="eastAsia"/>
        </w:rPr>
        <w:br/>
        <w:t>  （4）天治中国制造2025灵活配置混合型证券投资基金的销售机构详见本基金更新的</w:t>
      </w:r>
      <w:r>
        <w:rPr>
          <w:rFonts w:hint="eastAsia"/>
        </w:rPr>
        <w:lastRenderedPageBreak/>
        <w:t>招募说明书或相关公告。</w:t>
      </w:r>
      <w:r>
        <w:rPr>
          <w:rFonts w:hint="eastAsia"/>
        </w:rPr>
        <w:br/>
        <w:t>  （5）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r>
        <w:rPr>
          <w:rFonts w:hint="eastAsia"/>
        </w:rPr>
        <w:br/>
        <w:t>  </w:t>
      </w:r>
    </w:p>
    <w:p w:rsidR="009B59ED" w:rsidRDefault="009B59ED">
      <w:pPr>
        <w:pStyle w:val="biaogeright"/>
        <w:rPr>
          <w:rFonts w:hint="eastAsia"/>
        </w:rPr>
      </w:pPr>
      <w:r w:rsidRPr="00465F78">
        <w:rPr>
          <w:rFonts w:hAnsi="Calibri" w:hint="eastAsia"/>
          <w:color w:val="000000"/>
        </w:rPr>
        <w:t>天治基金管理有限公司</w:t>
      </w:r>
    </w:p>
    <w:p w:rsidR="009B59ED" w:rsidRDefault="009B59ED">
      <w:pPr>
        <w:pStyle w:val="biaogeright"/>
        <w:rPr>
          <w:rFonts w:hint="eastAsia"/>
        </w:rPr>
      </w:pPr>
      <w:r w:rsidRPr="00465F78">
        <w:rPr>
          <w:rFonts w:hAnsi="Calibri" w:hint="eastAsia"/>
          <w:color w:val="000000"/>
        </w:rPr>
        <w:t>2024年03月02日</w:t>
      </w:r>
    </w:p>
    <w:sectPr w:rsidR="009B59ED">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764" w:rsidRDefault="00D90764" w:rsidP="00465F78">
      <w:r>
        <w:separator/>
      </w:r>
    </w:p>
  </w:endnote>
  <w:endnote w:type="continuationSeparator" w:id="0">
    <w:p w:rsidR="00D90764" w:rsidRDefault="00D90764" w:rsidP="00465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764" w:rsidRDefault="00D90764" w:rsidP="00465F78">
      <w:r>
        <w:separator/>
      </w:r>
    </w:p>
  </w:footnote>
  <w:footnote w:type="continuationSeparator" w:id="0">
    <w:p w:rsidR="00D90764" w:rsidRDefault="00D90764" w:rsidP="00465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5F78"/>
    <w:rsid w:val="003907BB"/>
    <w:rsid w:val="00465F78"/>
    <w:rsid w:val="00987B59"/>
    <w:rsid w:val="009B59ED"/>
    <w:rsid w:val="00D90764"/>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rFonts w:cs="Times New Roman"/>
      <w:kern w:val="2"/>
      <w:sz w:val="33"/>
      <w:szCs w:val="22"/>
    </w:rPr>
  </w:style>
  <w:style w:type="paragraph" w:customStyle="1" w:styleId="msonormalnone">
    <w:name w:val="msonormal_none"/>
    <w:qFormat/>
    <w:pPr>
      <w:widowControl w:val="0"/>
    </w:pPr>
    <w:rPr>
      <w:rFonts w:cs="Times New Roman"/>
      <w:kern w:val="2"/>
      <w:sz w:val="21"/>
      <w:szCs w:val="22"/>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Pr>
      <w:rFonts w:ascii="Times New Roman" w:hAnsi="Times New Roman" w:cs="Times New Roman" w:hint="default"/>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locked/>
    <w:rPr>
      <w:rFonts w:ascii="Times New Roman" w:hAnsi="Times New Roman" w:cs="Times New Roman" w:hint="default"/>
      <w:sz w:val="18"/>
      <w:szCs w:val="18"/>
    </w:rPr>
  </w:style>
  <w:style w:type="paragraph" w:customStyle="1" w:styleId="msonormal1">
    <w:name w:val="msonormal1"/>
    <w:qFormat/>
    <w:pPr>
      <w:widowControl w:val="0"/>
      <w:jc w:val="both"/>
    </w:pPr>
    <w:rPr>
      <w:rFonts w:cs="Times New Roman"/>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6165500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1354</Characters>
  <Application>Microsoft Office Word</Application>
  <DocSecurity>4</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金俪娜</dc:creator>
  <cp:keywords/>
  <dc:description/>
  <cp:lastModifiedBy>ZHONGM</cp:lastModifiedBy>
  <cp:revision>2</cp:revision>
  <dcterms:created xsi:type="dcterms:W3CDTF">2024-03-01T16:01:00Z</dcterms:created>
  <dcterms:modified xsi:type="dcterms:W3CDTF">2024-03-01T16:01:00Z</dcterms:modified>
</cp:coreProperties>
</file>