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95" w:rsidRPr="00AA2B95" w:rsidRDefault="00AA2B95" w:rsidP="00AA2B95">
      <w:pPr>
        <w:widowControl/>
        <w:spacing w:line="384" w:lineRule="atLeast"/>
        <w:jc w:val="center"/>
        <w:outlineLvl w:val="3"/>
        <w:rPr>
          <w:rFonts w:ascii="黑体" w:eastAsia="黑体" w:hAnsi="黑体" w:cs="宋体"/>
          <w:b/>
          <w:kern w:val="0"/>
          <w:sz w:val="30"/>
          <w:szCs w:val="30"/>
        </w:rPr>
      </w:pPr>
      <w:bookmarkStart w:id="0" w:name="_GoBack"/>
      <w:bookmarkEnd w:id="0"/>
      <w:r w:rsidRPr="00AA2B95">
        <w:rPr>
          <w:rFonts w:ascii="黑体" w:eastAsia="黑体" w:hAnsi="黑体" w:cs="宋体" w:hint="eastAsia"/>
          <w:b/>
          <w:kern w:val="0"/>
          <w:sz w:val="30"/>
          <w:szCs w:val="30"/>
        </w:rPr>
        <w:t>天弘基金管理有限公司关于</w:t>
      </w:r>
      <w:r w:rsidR="00C976AF">
        <w:rPr>
          <w:rFonts w:ascii="黑体" w:eastAsia="黑体" w:hAnsi="黑体" w:cs="宋体" w:hint="eastAsia"/>
          <w:b/>
          <w:kern w:val="0"/>
          <w:sz w:val="30"/>
          <w:szCs w:val="30"/>
        </w:rPr>
        <w:t>天弘消费股票型发起式证券投资基金</w:t>
      </w:r>
      <w:r w:rsidRPr="00AA2B95">
        <w:rPr>
          <w:rFonts w:ascii="黑体" w:eastAsia="黑体" w:hAnsi="黑体" w:cs="宋体" w:hint="eastAsia"/>
          <w:b/>
          <w:kern w:val="0"/>
          <w:sz w:val="30"/>
          <w:szCs w:val="30"/>
        </w:rPr>
        <w:t>暂停申购、定期定额投资及转换转入业务的公告</w:t>
      </w:r>
    </w:p>
    <w:p w:rsidR="00AA2B95" w:rsidRPr="00AA2B95" w:rsidRDefault="00AA2B95" w:rsidP="00AA2B95">
      <w:pPr>
        <w:widowControl/>
        <w:shd w:val="clear" w:color="auto" w:fill="FFFFFF"/>
        <w:spacing w:after="420" w:line="399" w:lineRule="atLeast"/>
        <w:jc w:val="center"/>
        <w:rPr>
          <w:rFonts w:ascii="黑体" w:eastAsia="黑体" w:hAnsi="黑体" w:cs="宋体"/>
          <w:kern w:val="0"/>
          <w:sz w:val="24"/>
          <w:szCs w:val="24"/>
        </w:rPr>
      </w:pPr>
      <w:r w:rsidRPr="00AA2B95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公告送出日期：</w:t>
      </w:r>
      <w:r w:rsidR="00C976A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2024年3月1日</w:t>
      </w:r>
    </w:p>
    <w:p w:rsidR="00AA2B95" w:rsidRPr="00AA2B95" w:rsidRDefault="00AA2B95" w:rsidP="00AA2B95">
      <w:pPr>
        <w:widowControl/>
        <w:shd w:val="clear" w:color="auto" w:fill="FFFFFF"/>
        <w:spacing w:after="420" w:line="399" w:lineRule="atLeast"/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  <w:r w:rsidRPr="00AA2B95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1.公告基本信息</w:t>
      </w:r>
    </w:p>
    <w:tbl>
      <w:tblPr>
        <w:tblW w:w="86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8"/>
        <w:gridCol w:w="1843"/>
        <w:gridCol w:w="2551"/>
        <w:gridCol w:w="2560"/>
      </w:tblGrid>
      <w:tr w:rsidR="00AA2B95" w:rsidRPr="00AA2B95" w:rsidTr="009330E7">
        <w:trPr>
          <w:trHeight w:val="705"/>
        </w:trPr>
        <w:tc>
          <w:tcPr>
            <w:tcW w:w="353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C976AF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天弘消费股票型发起式证券投资基金</w:t>
            </w:r>
          </w:p>
        </w:tc>
      </w:tr>
      <w:tr w:rsidR="00AA2B95" w:rsidRPr="00AA2B95" w:rsidTr="009330E7">
        <w:trPr>
          <w:trHeight w:val="705"/>
        </w:trPr>
        <w:tc>
          <w:tcPr>
            <w:tcW w:w="353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C976AF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天弘消费</w:t>
            </w:r>
          </w:p>
        </w:tc>
      </w:tr>
      <w:tr w:rsidR="00AA2B95" w:rsidRPr="00AA2B95" w:rsidTr="009330E7">
        <w:trPr>
          <w:trHeight w:val="705"/>
        </w:trPr>
        <w:tc>
          <w:tcPr>
            <w:tcW w:w="353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C976AF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010331</w:t>
            </w:r>
          </w:p>
        </w:tc>
      </w:tr>
      <w:tr w:rsidR="00AA2B95" w:rsidRPr="00AA2B95" w:rsidTr="009330E7">
        <w:trPr>
          <w:trHeight w:val="705"/>
        </w:trPr>
        <w:tc>
          <w:tcPr>
            <w:tcW w:w="353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天弘基金管理有限公司</w:t>
            </w:r>
          </w:p>
        </w:tc>
      </w:tr>
      <w:tr w:rsidR="00AA2B95" w:rsidRPr="00AA2B95" w:rsidTr="009330E7">
        <w:trPr>
          <w:trHeight w:val="705"/>
        </w:trPr>
        <w:tc>
          <w:tcPr>
            <w:tcW w:w="353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《中华人民共和国证券投资基金法》、《公开募集证券投资基金运作管理办法》等相关法律法规以及《</w:t>
            </w:r>
            <w:r w:rsidR="00C976AF">
              <w:rPr>
                <w:rFonts w:ascii="仿宋" w:eastAsia="仿宋" w:hAnsi="仿宋" w:cs="宋体"/>
                <w:kern w:val="0"/>
                <w:sz w:val="24"/>
                <w:szCs w:val="24"/>
              </w:rPr>
              <w:t>天弘消费股票型发起式证券投资基金</w:t>
            </w: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基金合同》、《</w:t>
            </w:r>
            <w:r w:rsidR="00C976AF">
              <w:rPr>
                <w:rFonts w:ascii="仿宋" w:eastAsia="仿宋" w:hAnsi="仿宋" w:cs="宋体"/>
                <w:kern w:val="0"/>
                <w:sz w:val="24"/>
                <w:szCs w:val="24"/>
              </w:rPr>
              <w:t>天弘消费股票型发起式证券投资基金</w:t>
            </w: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招募说明书》等相关文件</w:t>
            </w:r>
          </w:p>
        </w:tc>
      </w:tr>
      <w:tr w:rsidR="00AA2B95" w:rsidRPr="00AA2B95" w:rsidTr="009330E7">
        <w:trPr>
          <w:trHeight w:val="705"/>
        </w:trPr>
        <w:tc>
          <w:tcPr>
            <w:tcW w:w="1688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C976AF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2024年3月4日</w:t>
            </w:r>
          </w:p>
        </w:tc>
      </w:tr>
      <w:tr w:rsidR="00AA2B95" w:rsidRPr="00AA2B95" w:rsidTr="009330E7">
        <w:trPr>
          <w:trHeight w:val="705"/>
        </w:trPr>
        <w:tc>
          <w:tcPr>
            <w:tcW w:w="1688" w:type="dxa"/>
            <w:vMerge/>
            <w:shd w:val="clear" w:color="auto" w:fill="FFFFFF"/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暂停转换转入起始日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C976AF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2024年3月4日</w:t>
            </w:r>
          </w:p>
        </w:tc>
      </w:tr>
      <w:tr w:rsidR="00AA2B95" w:rsidRPr="00AA2B95" w:rsidTr="009330E7">
        <w:trPr>
          <w:trHeight w:val="705"/>
        </w:trPr>
        <w:tc>
          <w:tcPr>
            <w:tcW w:w="1688" w:type="dxa"/>
            <w:vMerge/>
            <w:shd w:val="clear" w:color="auto" w:fill="FFFFFF"/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暂停定期定额投资起始日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C976AF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2024年3月4日</w:t>
            </w:r>
          </w:p>
        </w:tc>
      </w:tr>
      <w:tr w:rsidR="00AA2B95" w:rsidRPr="00AA2B95" w:rsidTr="009330E7">
        <w:trPr>
          <w:trHeight w:val="705"/>
        </w:trPr>
        <w:tc>
          <w:tcPr>
            <w:tcW w:w="1688" w:type="dxa"/>
            <w:vMerge/>
            <w:shd w:val="clear" w:color="auto" w:fill="FFFFFF"/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t>暂停申购（转换转入、定期定额</w:t>
            </w: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投资）的原因说明</w:t>
            </w:r>
          </w:p>
        </w:tc>
        <w:tc>
          <w:tcPr>
            <w:tcW w:w="51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B95" w:rsidRPr="00AA2B95" w:rsidRDefault="00AA2B95" w:rsidP="00AA2B9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2B95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保护基金份额持有人利益</w:t>
            </w:r>
          </w:p>
        </w:tc>
      </w:tr>
      <w:tr w:rsidR="00AA2B95" w:rsidRPr="00751A06" w:rsidTr="009330E7">
        <w:tblPrEx>
          <w:jc w:val="center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688" w:type="dxa"/>
            <w:vMerge w:val="restart"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30E7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下属分级基金信息</w:t>
            </w:r>
          </w:p>
        </w:tc>
        <w:tc>
          <w:tcPr>
            <w:tcW w:w="1843" w:type="dxa"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30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下属</w:t>
            </w:r>
            <w:r w:rsidRPr="009330E7">
              <w:rPr>
                <w:rFonts w:ascii="仿宋" w:eastAsia="仿宋" w:hAnsi="仿宋" w:cs="宋体"/>
                <w:kern w:val="0"/>
                <w:sz w:val="24"/>
                <w:szCs w:val="24"/>
              </w:rPr>
              <w:t>分级基金的基金简称</w:t>
            </w:r>
          </w:p>
        </w:tc>
        <w:tc>
          <w:tcPr>
            <w:tcW w:w="2551" w:type="dxa"/>
            <w:shd w:val="clear" w:color="auto" w:fill="auto"/>
          </w:tcPr>
          <w:p w:rsidR="00AA2B95" w:rsidRPr="009330E7" w:rsidRDefault="00C976AF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天弘消费</w:t>
            </w:r>
            <w:r w:rsidR="00AA2B95" w:rsidRPr="009330E7">
              <w:rPr>
                <w:rFonts w:ascii="仿宋" w:eastAsia="仿宋" w:hAnsi="仿宋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2560" w:type="dxa"/>
            <w:shd w:val="clear" w:color="auto" w:fill="auto"/>
          </w:tcPr>
          <w:p w:rsidR="00AA2B95" w:rsidRPr="009330E7" w:rsidRDefault="00C976AF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天弘消费</w:t>
            </w:r>
            <w:r w:rsidR="00AA2B95" w:rsidRPr="009330E7">
              <w:rPr>
                <w:rFonts w:ascii="仿宋" w:eastAsia="仿宋" w:hAnsi="仿宋" w:cs="宋体"/>
                <w:kern w:val="0"/>
                <w:sz w:val="24"/>
                <w:szCs w:val="24"/>
              </w:rPr>
              <w:t>C</w:t>
            </w:r>
          </w:p>
        </w:tc>
      </w:tr>
      <w:tr w:rsidR="00AA2B95" w:rsidRPr="00751A06" w:rsidTr="009330E7">
        <w:tblPrEx>
          <w:jc w:val="center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688" w:type="dxa"/>
            <w:vMerge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30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下属</w:t>
            </w:r>
            <w:r w:rsidRPr="009330E7">
              <w:rPr>
                <w:rFonts w:ascii="仿宋" w:eastAsia="仿宋" w:hAnsi="仿宋" w:cs="宋体"/>
                <w:kern w:val="0"/>
                <w:sz w:val="24"/>
                <w:szCs w:val="24"/>
              </w:rPr>
              <w:t>分级基金的交易代码</w:t>
            </w:r>
          </w:p>
        </w:tc>
        <w:tc>
          <w:tcPr>
            <w:tcW w:w="2551" w:type="dxa"/>
            <w:shd w:val="clear" w:color="auto" w:fill="auto"/>
          </w:tcPr>
          <w:p w:rsidR="00AA2B95" w:rsidRPr="009330E7" w:rsidRDefault="00C976AF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010331</w:t>
            </w:r>
          </w:p>
        </w:tc>
        <w:tc>
          <w:tcPr>
            <w:tcW w:w="2560" w:type="dxa"/>
            <w:shd w:val="clear" w:color="auto" w:fill="auto"/>
          </w:tcPr>
          <w:p w:rsidR="00AA2B95" w:rsidRPr="009330E7" w:rsidRDefault="00C976AF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010332</w:t>
            </w:r>
          </w:p>
        </w:tc>
      </w:tr>
      <w:tr w:rsidR="00AA2B95" w:rsidRPr="00751A06" w:rsidTr="009330E7">
        <w:tblPrEx>
          <w:jc w:val="center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674"/>
          <w:jc w:val="center"/>
        </w:trPr>
        <w:tc>
          <w:tcPr>
            <w:tcW w:w="1688" w:type="dxa"/>
            <w:vMerge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30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该</w:t>
            </w:r>
            <w:r w:rsidRPr="009330E7">
              <w:rPr>
                <w:rFonts w:ascii="仿宋" w:eastAsia="仿宋" w:hAnsi="仿宋" w:cs="宋体"/>
                <w:kern w:val="0"/>
                <w:sz w:val="24"/>
                <w:szCs w:val="24"/>
              </w:rPr>
              <w:t>分级基金</w:t>
            </w:r>
            <w:r w:rsidRPr="009330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是否暂停</w:t>
            </w:r>
            <w:r w:rsidRPr="009330E7">
              <w:rPr>
                <w:rFonts w:ascii="仿宋" w:eastAsia="仿宋" w:hAnsi="仿宋" w:cs="宋体"/>
                <w:kern w:val="0"/>
                <w:sz w:val="24"/>
                <w:szCs w:val="24"/>
              </w:rPr>
              <w:t>申购</w:t>
            </w:r>
            <w:r w:rsidRPr="009330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（转换转入、定期定额投资）</w:t>
            </w:r>
          </w:p>
        </w:tc>
        <w:tc>
          <w:tcPr>
            <w:tcW w:w="2551" w:type="dxa"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30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2560" w:type="dxa"/>
            <w:shd w:val="clear" w:color="auto" w:fill="auto"/>
          </w:tcPr>
          <w:p w:rsidR="00AA2B95" w:rsidRPr="009330E7" w:rsidRDefault="00AA2B95" w:rsidP="009330E7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30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</w:tr>
    </w:tbl>
    <w:p w:rsidR="00AA2B95" w:rsidRDefault="00AA2B95" w:rsidP="00AA2B95">
      <w:pPr>
        <w:widowControl/>
        <w:shd w:val="clear" w:color="auto" w:fill="FFFFFF"/>
        <w:spacing w:line="360" w:lineRule="auto"/>
        <w:ind w:firstLine="360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AA2B95" w:rsidRPr="00AA2B95" w:rsidRDefault="00AA2B95" w:rsidP="00AA2B95">
      <w:pPr>
        <w:widowControl/>
        <w:shd w:val="clear" w:color="auto" w:fill="FFFFFF"/>
        <w:spacing w:line="360" w:lineRule="auto"/>
        <w:ind w:firstLine="360"/>
        <w:rPr>
          <w:rFonts w:ascii="仿宋" w:eastAsia="仿宋" w:hAnsi="仿宋" w:cs="宋体"/>
          <w:b/>
          <w:kern w:val="0"/>
          <w:sz w:val="24"/>
          <w:szCs w:val="24"/>
        </w:rPr>
      </w:pPr>
      <w:r w:rsidRPr="00AA2B95">
        <w:rPr>
          <w:rFonts w:ascii="仿宋" w:eastAsia="仿宋" w:hAnsi="仿宋" w:cs="宋体"/>
          <w:b/>
          <w:kern w:val="0"/>
          <w:sz w:val="24"/>
          <w:szCs w:val="24"/>
        </w:rPr>
        <w:t>2.其他需要提示的事项</w:t>
      </w:r>
    </w:p>
    <w:p w:rsidR="00E35F38" w:rsidRDefault="009F411F" w:rsidP="009330E7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（</w:t>
      </w:r>
      <w:r w:rsidR="00E35F38">
        <w:rPr>
          <w:rFonts w:ascii="仿宋" w:eastAsia="仿宋" w:hAnsi="仿宋" w:cs="宋体" w:hint="eastAsia"/>
          <w:kern w:val="0"/>
          <w:sz w:val="24"/>
          <w:szCs w:val="24"/>
        </w:rPr>
        <w:t>1</w:t>
      </w:r>
      <w:r>
        <w:rPr>
          <w:rFonts w:ascii="仿宋" w:eastAsia="仿宋" w:hAnsi="仿宋" w:cs="宋体" w:hint="eastAsia"/>
          <w:kern w:val="0"/>
          <w:sz w:val="24"/>
          <w:szCs w:val="24"/>
        </w:rPr>
        <w:t>）</w:t>
      </w:r>
      <w:r w:rsidR="00AA2B95" w:rsidRPr="00AA2B95">
        <w:rPr>
          <w:rFonts w:ascii="仿宋" w:eastAsia="仿宋" w:hAnsi="仿宋" w:cs="宋体"/>
          <w:kern w:val="0"/>
          <w:sz w:val="24"/>
          <w:szCs w:val="24"/>
        </w:rPr>
        <w:t>天弘基金管理有限公司（以下简称“本公司”）决定自</w:t>
      </w:r>
      <w:r w:rsidR="00C976AF">
        <w:rPr>
          <w:rFonts w:ascii="仿宋" w:eastAsia="仿宋" w:hAnsi="仿宋" w:cs="宋体"/>
          <w:kern w:val="0"/>
          <w:sz w:val="24"/>
          <w:szCs w:val="24"/>
        </w:rPr>
        <w:t>2024年3月4日</w:t>
      </w:r>
      <w:r w:rsidR="00AA2B95" w:rsidRPr="00AA2B95">
        <w:rPr>
          <w:rFonts w:ascii="仿宋" w:eastAsia="仿宋" w:hAnsi="仿宋" w:cs="宋体"/>
          <w:kern w:val="0"/>
          <w:sz w:val="24"/>
          <w:szCs w:val="24"/>
        </w:rPr>
        <w:t>起暂停</w:t>
      </w:r>
      <w:r w:rsidR="0007387F" w:rsidRPr="0007387F">
        <w:rPr>
          <w:rFonts w:ascii="仿宋" w:eastAsia="仿宋" w:hAnsi="仿宋" w:cs="宋体" w:hint="eastAsia"/>
          <w:kern w:val="0"/>
          <w:sz w:val="24"/>
          <w:szCs w:val="24"/>
        </w:rPr>
        <w:t>天弘消费股票型发起式证券投资基金</w:t>
      </w:r>
      <w:r w:rsidR="0007387F" w:rsidRPr="00AA2B95">
        <w:rPr>
          <w:rFonts w:ascii="仿宋" w:eastAsia="仿宋" w:hAnsi="仿宋" w:cs="宋体"/>
          <w:kern w:val="0"/>
          <w:sz w:val="24"/>
          <w:szCs w:val="24"/>
        </w:rPr>
        <w:t>（以下简称“</w:t>
      </w:r>
      <w:r w:rsidR="0007387F">
        <w:rPr>
          <w:rFonts w:ascii="仿宋" w:eastAsia="仿宋" w:hAnsi="仿宋" w:cs="宋体"/>
          <w:kern w:val="0"/>
          <w:sz w:val="24"/>
          <w:szCs w:val="24"/>
        </w:rPr>
        <w:t>本</w:t>
      </w:r>
      <w:r w:rsidR="0007387F">
        <w:rPr>
          <w:rFonts w:ascii="仿宋" w:eastAsia="仿宋" w:hAnsi="仿宋" w:cs="宋体" w:hint="eastAsia"/>
          <w:kern w:val="0"/>
          <w:sz w:val="24"/>
          <w:szCs w:val="24"/>
        </w:rPr>
        <w:t>基金</w:t>
      </w:r>
      <w:r w:rsidR="0007387F" w:rsidRPr="00AA2B95">
        <w:rPr>
          <w:rFonts w:ascii="仿宋" w:eastAsia="仿宋" w:hAnsi="仿宋" w:cs="宋体"/>
          <w:kern w:val="0"/>
          <w:sz w:val="24"/>
          <w:szCs w:val="24"/>
        </w:rPr>
        <w:t>”）</w:t>
      </w:r>
      <w:r w:rsidR="00AA2B95" w:rsidRPr="00AA2B95">
        <w:rPr>
          <w:rFonts w:ascii="仿宋" w:eastAsia="仿宋" w:hAnsi="仿宋" w:cs="宋体"/>
          <w:kern w:val="0"/>
          <w:sz w:val="24"/>
          <w:szCs w:val="24"/>
        </w:rPr>
        <w:t>的申购、定期定额投资及转换转入业务</w:t>
      </w:r>
      <w:r w:rsidR="00E35F38">
        <w:rPr>
          <w:rFonts w:ascii="仿宋" w:eastAsia="仿宋" w:hAnsi="仿宋" w:cs="宋体"/>
          <w:kern w:val="0"/>
          <w:sz w:val="24"/>
          <w:szCs w:val="24"/>
        </w:rPr>
        <w:t>。</w:t>
      </w:r>
    </w:p>
    <w:p w:rsidR="00AA2B95" w:rsidRDefault="009F411F" w:rsidP="009330E7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（</w:t>
      </w:r>
      <w:r w:rsidR="00E35F38">
        <w:rPr>
          <w:rFonts w:ascii="仿宋" w:eastAsia="仿宋" w:hAnsi="仿宋" w:cs="宋体"/>
          <w:kern w:val="0"/>
          <w:sz w:val="24"/>
          <w:szCs w:val="24"/>
        </w:rPr>
        <w:t>2</w:t>
      </w:r>
      <w:r>
        <w:rPr>
          <w:rFonts w:ascii="仿宋" w:eastAsia="仿宋" w:hAnsi="仿宋" w:cs="宋体"/>
          <w:kern w:val="0"/>
          <w:sz w:val="24"/>
          <w:szCs w:val="24"/>
        </w:rPr>
        <w:t>）</w:t>
      </w:r>
      <w:r w:rsidR="00AA2B95" w:rsidRPr="00AA2B95">
        <w:rPr>
          <w:rFonts w:ascii="仿宋" w:eastAsia="仿宋" w:hAnsi="仿宋" w:cs="宋体"/>
          <w:kern w:val="0"/>
          <w:sz w:val="24"/>
          <w:szCs w:val="24"/>
        </w:rPr>
        <w:t>暂停上述业务期间，本基金的赎回及转换转出业务按照本基金基金合同、招募说明书的规定正常办理。</w:t>
      </w:r>
    </w:p>
    <w:p w:rsidR="00AA2B95" w:rsidRPr="00AA2B95" w:rsidRDefault="009F411F" w:rsidP="009330E7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（</w:t>
      </w:r>
      <w:r w:rsidR="00E35F38">
        <w:rPr>
          <w:rFonts w:ascii="仿宋" w:eastAsia="仿宋" w:hAnsi="仿宋" w:cs="宋体"/>
          <w:kern w:val="0"/>
          <w:sz w:val="24"/>
          <w:szCs w:val="24"/>
        </w:rPr>
        <w:t>3</w:t>
      </w:r>
      <w:r>
        <w:rPr>
          <w:rFonts w:ascii="仿宋" w:eastAsia="仿宋" w:hAnsi="仿宋" w:cs="宋体"/>
          <w:kern w:val="0"/>
          <w:sz w:val="24"/>
          <w:szCs w:val="24"/>
        </w:rPr>
        <w:t>）</w:t>
      </w:r>
      <w:r w:rsidR="00AA2B95" w:rsidRPr="00AA2B95">
        <w:rPr>
          <w:rFonts w:ascii="仿宋" w:eastAsia="仿宋" w:hAnsi="仿宋" w:cs="宋体"/>
          <w:kern w:val="0"/>
          <w:sz w:val="24"/>
          <w:szCs w:val="24"/>
        </w:rPr>
        <w:t>投资者可登录本公司官方网站（www.thfund.com.cn）或拨打客户服务热线（95046）进行详细咨询。</w:t>
      </w:r>
    </w:p>
    <w:p w:rsidR="00AA2B95" w:rsidRPr="00AA2B95" w:rsidRDefault="00AA2B95" w:rsidP="00AA2B95">
      <w:pPr>
        <w:widowControl/>
        <w:shd w:val="clear" w:color="auto" w:fill="FFFFFF"/>
        <w:spacing w:line="360" w:lineRule="auto"/>
        <w:ind w:firstLine="360"/>
        <w:rPr>
          <w:rFonts w:ascii="仿宋" w:eastAsia="仿宋" w:hAnsi="仿宋" w:cs="宋体"/>
          <w:kern w:val="0"/>
          <w:sz w:val="24"/>
          <w:szCs w:val="24"/>
        </w:rPr>
      </w:pPr>
      <w:r w:rsidRPr="00AA2B95">
        <w:rPr>
          <w:rFonts w:ascii="仿宋" w:eastAsia="仿宋" w:hAnsi="仿宋" w:cs="宋体"/>
          <w:kern w:val="0"/>
          <w:sz w:val="24"/>
          <w:szCs w:val="24"/>
        </w:rPr>
        <w:t>特此公告。</w:t>
      </w:r>
    </w:p>
    <w:p w:rsidR="00AA2B95" w:rsidRPr="00AA2B95" w:rsidRDefault="00AA2B95" w:rsidP="00AA2B95">
      <w:pPr>
        <w:widowControl/>
        <w:shd w:val="clear" w:color="auto" w:fill="FFFFFF"/>
        <w:spacing w:line="360" w:lineRule="auto"/>
        <w:ind w:firstLine="360"/>
        <w:rPr>
          <w:rFonts w:ascii="仿宋" w:eastAsia="仿宋" w:hAnsi="仿宋" w:cs="宋体"/>
          <w:kern w:val="0"/>
          <w:sz w:val="24"/>
          <w:szCs w:val="24"/>
        </w:rPr>
      </w:pPr>
      <w:r w:rsidRPr="00AA2B95">
        <w:rPr>
          <w:rFonts w:ascii="Calibri" w:eastAsia="仿宋" w:hAnsi="Calibri" w:cs="Calibri"/>
          <w:kern w:val="0"/>
          <w:sz w:val="24"/>
          <w:szCs w:val="24"/>
        </w:rPr>
        <w:t> </w:t>
      </w:r>
    </w:p>
    <w:p w:rsidR="00AA2B95" w:rsidRPr="00AA2B95" w:rsidRDefault="00AA2B95" w:rsidP="00AA2B95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AA2B95">
        <w:rPr>
          <w:rFonts w:ascii="仿宋" w:eastAsia="仿宋" w:hAnsi="仿宋" w:cs="宋体"/>
          <w:kern w:val="0"/>
          <w:sz w:val="24"/>
          <w:szCs w:val="24"/>
        </w:rPr>
        <w:t>天弘基金管理有限公司</w:t>
      </w:r>
    </w:p>
    <w:p w:rsidR="00AA2B95" w:rsidRPr="00AA2B95" w:rsidRDefault="00C976AF" w:rsidP="00AA2B95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二〇二四年三月一日</w:t>
      </w:r>
    </w:p>
    <w:p w:rsidR="00264A32" w:rsidRDefault="00264A32"/>
    <w:sectPr w:rsidR="00264A32" w:rsidSect="009C6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95" w:rsidRDefault="007C3D95" w:rsidP="00F633CC">
      <w:r>
        <w:separator/>
      </w:r>
    </w:p>
  </w:endnote>
  <w:endnote w:type="continuationSeparator" w:id="0">
    <w:p w:rsidR="007C3D95" w:rsidRDefault="007C3D95" w:rsidP="00F6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95" w:rsidRDefault="007C3D95" w:rsidP="00F633CC">
      <w:r>
        <w:separator/>
      </w:r>
    </w:p>
  </w:footnote>
  <w:footnote w:type="continuationSeparator" w:id="0">
    <w:p w:rsidR="007C3D95" w:rsidRDefault="007C3D95" w:rsidP="00F63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04C"/>
    <w:rsid w:val="0007387F"/>
    <w:rsid w:val="001068D5"/>
    <w:rsid w:val="0023604C"/>
    <w:rsid w:val="00264A32"/>
    <w:rsid w:val="00411AD0"/>
    <w:rsid w:val="004970E0"/>
    <w:rsid w:val="004B47BD"/>
    <w:rsid w:val="006033AB"/>
    <w:rsid w:val="00635A04"/>
    <w:rsid w:val="006B4DD9"/>
    <w:rsid w:val="006E0C8A"/>
    <w:rsid w:val="007215DC"/>
    <w:rsid w:val="007C3D95"/>
    <w:rsid w:val="008F57FE"/>
    <w:rsid w:val="009330E7"/>
    <w:rsid w:val="009664B3"/>
    <w:rsid w:val="009C60B9"/>
    <w:rsid w:val="009F411F"/>
    <w:rsid w:val="00AA2B95"/>
    <w:rsid w:val="00C976AF"/>
    <w:rsid w:val="00DA22A2"/>
    <w:rsid w:val="00E35F38"/>
    <w:rsid w:val="00EC7F61"/>
    <w:rsid w:val="00F24B29"/>
    <w:rsid w:val="00F51571"/>
    <w:rsid w:val="00F6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B9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AA2B9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A2B95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ostmeta">
    <w:name w:val="postmeta"/>
    <w:basedOn w:val="a"/>
    <w:rsid w:val="00AA2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2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2B95"/>
    <w:rPr>
      <w:b/>
      <w:bCs/>
    </w:rPr>
  </w:style>
  <w:style w:type="paragraph" w:styleId="a5">
    <w:name w:val="header"/>
    <w:basedOn w:val="a"/>
    <w:link w:val="Char"/>
    <w:uiPriority w:val="99"/>
    <w:unhideWhenUsed/>
    <w:rsid w:val="00F63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33C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3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33C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35F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5F3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976A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976A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976A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76A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97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8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965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4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张璨</dc:creator>
  <cp:keywords/>
  <dc:description/>
  <cp:lastModifiedBy>ZHONGM</cp:lastModifiedBy>
  <cp:revision>2</cp:revision>
  <dcterms:created xsi:type="dcterms:W3CDTF">2024-02-29T16:01:00Z</dcterms:created>
  <dcterms:modified xsi:type="dcterms:W3CDTF">2024-02-29T16:01:00Z</dcterms:modified>
</cp:coreProperties>
</file>