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B1" w:rsidRDefault="000B35B1" w:rsidP="00B71894">
      <w:pPr>
        <w:spacing w:line="360" w:lineRule="auto"/>
        <w:jc w:val="center"/>
        <w:rPr>
          <w:rFonts w:ascii="仿宋" w:eastAsia="仿宋" w:hAnsi="仿宋" w:cs="Times New Roman"/>
          <w:b/>
          <w:sz w:val="30"/>
          <w:szCs w:val="30"/>
        </w:rPr>
      </w:pPr>
      <w:r w:rsidRPr="000B35B1">
        <w:rPr>
          <w:rFonts w:ascii="仿宋" w:eastAsia="仿宋" w:hAnsi="仿宋" w:cs="Times New Roman" w:hint="eastAsia"/>
          <w:b/>
          <w:sz w:val="30"/>
          <w:szCs w:val="30"/>
        </w:rPr>
        <w:t>关于增加</w:t>
      </w:r>
      <w:r w:rsidR="0089263D">
        <w:rPr>
          <w:rFonts w:ascii="仿宋" w:eastAsia="仿宋" w:hAnsi="仿宋" w:cs="Times New Roman" w:hint="eastAsia"/>
          <w:b/>
          <w:sz w:val="30"/>
          <w:szCs w:val="30"/>
        </w:rPr>
        <w:t>华福证券有限责任公司</w:t>
      </w:r>
      <w:r w:rsidRPr="000B35B1">
        <w:rPr>
          <w:rFonts w:ascii="仿宋" w:eastAsia="仿宋" w:hAnsi="仿宋" w:cs="Times New Roman" w:hint="eastAsia"/>
          <w:b/>
          <w:sz w:val="30"/>
          <w:szCs w:val="30"/>
        </w:rPr>
        <w:t>为旗下</w:t>
      </w:r>
    </w:p>
    <w:p w:rsidR="00B70287" w:rsidRDefault="000B35B1" w:rsidP="00B71894">
      <w:pPr>
        <w:spacing w:line="360" w:lineRule="auto"/>
        <w:jc w:val="center"/>
        <w:rPr>
          <w:rFonts w:ascii="仿宋" w:eastAsia="仿宋" w:hAnsi="仿宋" w:cs="Times New Roman"/>
          <w:b/>
          <w:sz w:val="30"/>
          <w:szCs w:val="30"/>
        </w:rPr>
      </w:pPr>
      <w:r w:rsidRPr="000B35B1">
        <w:rPr>
          <w:rFonts w:ascii="仿宋" w:eastAsia="仿宋" w:hAnsi="仿宋" w:cs="Times New Roman" w:hint="eastAsia"/>
          <w:b/>
          <w:sz w:val="30"/>
          <w:szCs w:val="30"/>
        </w:rPr>
        <w:t>部分基金销售机构的公告</w:t>
      </w:r>
    </w:p>
    <w:p w:rsidR="000B35B1" w:rsidRPr="000B35B1" w:rsidRDefault="000B35B1" w:rsidP="00B71894">
      <w:pPr>
        <w:spacing w:line="360" w:lineRule="auto"/>
        <w:jc w:val="center"/>
        <w:rPr>
          <w:rFonts w:ascii="仿宋" w:eastAsia="仿宋" w:hAnsi="仿宋" w:cs="Times New Roman"/>
          <w:b/>
          <w:sz w:val="30"/>
          <w:szCs w:val="30"/>
        </w:rPr>
      </w:pPr>
    </w:p>
    <w:p w:rsidR="00144818" w:rsidRDefault="00B70287" w:rsidP="00144818">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w:t>
      </w:r>
      <w:r w:rsidR="0089263D">
        <w:rPr>
          <w:rFonts w:ascii="仿宋" w:eastAsia="仿宋" w:hAnsi="仿宋" w:cs="Times New Roman" w:hint="eastAsia"/>
          <w:color w:val="000000"/>
          <w:kern w:val="0"/>
          <w:sz w:val="24"/>
          <w:szCs w:val="24"/>
        </w:rPr>
        <w:t>华福证券有限责任公司</w:t>
      </w:r>
      <w:r w:rsidR="00B71894">
        <w:rPr>
          <w:rFonts w:ascii="仿宋" w:eastAsia="仿宋" w:hAnsi="仿宋" w:cs="Times New Roman" w:hint="eastAsia"/>
          <w:color w:val="000000"/>
          <w:kern w:val="0"/>
          <w:sz w:val="24"/>
          <w:szCs w:val="24"/>
        </w:rPr>
        <w:t>（以下简称“</w:t>
      </w:r>
      <w:r w:rsidR="0089263D">
        <w:rPr>
          <w:rFonts w:ascii="仿宋" w:eastAsia="仿宋" w:hAnsi="仿宋" w:cs="Times New Roman" w:hint="eastAsia"/>
          <w:color w:val="000000"/>
          <w:kern w:val="0"/>
          <w:sz w:val="24"/>
          <w:szCs w:val="24"/>
        </w:rPr>
        <w:t>华福证券</w:t>
      </w:r>
      <w:r>
        <w:rPr>
          <w:rFonts w:ascii="仿宋" w:eastAsia="仿宋" w:hAnsi="仿宋" w:cs="Times New Roman" w:hint="eastAsia"/>
          <w:color w:val="000000"/>
          <w:kern w:val="0"/>
          <w:sz w:val="24"/>
          <w:szCs w:val="24"/>
        </w:rPr>
        <w:t>”）签订的销售协议，</w:t>
      </w:r>
      <w:r w:rsidRPr="000D4F79">
        <w:rPr>
          <w:rFonts w:ascii="仿宋" w:eastAsia="仿宋" w:hAnsi="仿宋" w:cs="Times New Roman" w:hint="eastAsia"/>
          <w:color w:val="000000"/>
          <w:kern w:val="0"/>
          <w:sz w:val="24"/>
          <w:szCs w:val="24"/>
        </w:rPr>
        <w:t>自</w:t>
      </w:r>
      <w:r w:rsidR="0089263D">
        <w:rPr>
          <w:rFonts w:ascii="仿宋" w:eastAsia="仿宋" w:hAnsi="仿宋" w:cs="Times New Roman" w:hint="eastAsia"/>
          <w:color w:val="000000"/>
          <w:kern w:val="0"/>
          <w:sz w:val="24"/>
          <w:szCs w:val="24"/>
        </w:rPr>
        <w:t>2024年3月1日</w:t>
      </w:r>
      <w:r w:rsidRPr="000D4F79">
        <w:rPr>
          <w:rFonts w:ascii="仿宋" w:eastAsia="仿宋" w:hAnsi="仿宋" w:cs="Times New Roman" w:hint="eastAsia"/>
          <w:color w:val="000000"/>
          <w:kern w:val="0"/>
          <w:sz w:val="24"/>
          <w:szCs w:val="24"/>
        </w:rPr>
        <w:t>起，本公司增加</w:t>
      </w:r>
      <w:r w:rsidR="0089263D">
        <w:rPr>
          <w:rFonts w:ascii="仿宋" w:eastAsia="仿宋" w:hAnsi="仿宋" w:cs="Times New Roman" w:hint="eastAsia"/>
          <w:color w:val="000000"/>
          <w:kern w:val="0"/>
          <w:sz w:val="24"/>
          <w:szCs w:val="24"/>
        </w:rPr>
        <w:t>华福证券</w:t>
      </w:r>
      <w:r w:rsidRPr="000D4F79">
        <w:rPr>
          <w:rFonts w:ascii="仿宋" w:eastAsia="仿宋" w:hAnsi="仿宋" w:cs="Times New Roman" w:hint="eastAsia"/>
          <w:color w:val="000000"/>
          <w:kern w:val="0"/>
          <w:sz w:val="24"/>
          <w:szCs w:val="24"/>
        </w:rPr>
        <w:t>为</w:t>
      </w:r>
      <w:r w:rsidR="00E97557" w:rsidRPr="000D4F79">
        <w:rPr>
          <w:rFonts w:ascii="仿宋" w:eastAsia="仿宋" w:hAnsi="仿宋" w:hint="eastAsia"/>
          <w:sz w:val="24"/>
          <w:szCs w:val="24"/>
        </w:rPr>
        <w:t>旗下部分基金</w:t>
      </w:r>
      <w:r w:rsidR="00E97557" w:rsidRPr="000D4F79">
        <w:rPr>
          <w:rFonts w:ascii="仿宋" w:eastAsia="仿宋" w:hAnsi="仿宋" w:cs="Times New Roman" w:hint="eastAsia"/>
          <w:color w:val="000000"/>
          <w:kern w:val="0"/>
          <w:sz w:val="24"/>
          <w:szCs w:val="24"/>
        </w:rPr>
        <w:t>的销售机构</w:t>
      </w:r>
      <w:r w:rsidR="00144818">
        <w:rPr>
          <w:rFonts w:ascii="仿宋" w:eastAsia="仿宋" w:hAnsi="仿宋" w:cs="Times New Roman" w:hint="eastAsia"/>
          <w:color w:val="000000"/>
          <w:kern w:val="0"/>
          <w:sz w:val="24"/>
          <w:szCs w:val="24"/>
        </w:rPr>
        <w:t>。</w:t>
      </w:r>
    </w:p>
    <w:p w:rsidR="00B70287" w:rsidRDefault="00B70287" w:rsidP="00B70287">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现将具体有关事项公告如下：</w:t>
      </w:r>
    </w:p>
    <w:p w:rsidR="00B71894" w:rsidRPr="000B35B1" w:rsidRDefault="000B35B1" w:rsidP="00F56A51">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一、</w:t>
      </w:r>
      <w:r w:rsidR="00B70287" w:rsidRPr="000B35B1">
        <w:rPr>
          <w:rFonts w:ascii="仿宋" w:eastAsia="仿宋" w:hAnsi="仿宋" w:cs="Times New Roman"/>
          <w:b/>
          <w:sz w:val="24"/>
          <w:szCs w:val="24"/>
        </w:rPr>
        <w:t>适用基金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3260"/>
        <w:gridCol w:w="1497"/>
      </w:tblGrid>
      <w:tr w:rsidR="000B35B1" w:rsidRPr="005F48D6" w:rsidTr="00015A1F">
        <w:trPr>
          <w:trHeight w:val="270"/>
        </w:trPr>
        <w:tc>
          <w:tcPr>
            <w:tcW w:w="3539" w:type="dxa"/>
            <w:tcBorders>
              <w:bottom w:val="single" w:sz="4" w:space="0" w:color="auto"/>
            </w:tcBorders>
            <w:shd w:val="clear" w:color="auto" w:fill="auto"/>
            <w:noWrap/>
            <w:vAlign w:val="center"/>
            <w:hideMark/>
          </w:tcPr>
          <w:p w:rsidR="000B35B1" w:rsidRPr="005F48D6" w:rsidRDefault="000B35B1" w:rsidP="000B35B1">
            <w:pPr>
              <w:widowControl/>
              <w:jc w:val="left"/>
              <w:rPr>
                <w:rFonts w:ascii="仿宋" w:eastAsia="仿宋" w:hAnsi="仿宋" w:cs="宋体"/>
                <w:color w:val="000000"/>
                <w:kern w:val="0"/>
                <w:sz w:val="24"/>
                <w:szCs w:val="24"/>
              </w:rPr>
            </w:pPr>
            <w:r w:rsidRPr="005F48D6">
              <w:rPr>
                <w:rFonts w:ascii="仿宋" w:eastAsia="仿宋" w:hAnsi="仿宋" w:cs="宋体" w:hint="eastAsia"/>
                <w:color w:val="000000"/>
                <w:kern w:val="0"/>
                <w:sz w:val="24"/>
                <w:szCs w:val="24"/>
              </w:rPr>
              <w:t>基金名称</w:t>
            </w:r>
          </w:p>
        </w:tc>
        <w:tc>
          <w:tcPr>
            <w:tcW w:w="3260" w:type="dxa"/>
            <w:shd w:val="clear" w:color="auto" w:fill="auto"/>
            <w:noWrap/>
            <w:vAlign w:val="center"/>
            <w:hideMark/>
          </w:tcPr>
          <w:p w:rsidR="000B35B1" w:rsidRPr="005F48D6" w:rsidRDefault="000B35B1" w:rsidP="000B35B1">
            <w:pPr>
              <w:widowControl/>
              <w:jc w:val="left"/>
              <w:rPr>
                <w:rFonts w:ascii="仿宋" w:eastAsia="仿宋" w:hAnsi="仿宋" w:cs="宋体"/>
                <w:color w:val="000000"/>
                <w:kern w:val="0"/>
                <w:sz w:val="24"/>
                <w:szCs w:val="24"/>
              </w:rPr>
            </w:pPr>
            <w:r w:rsidRPr="005F48D6">
              <w:rPr>
                <w:rFonts w:ascii="仿宋" w:eastAsia="仿宋" w:hAnsi="仿宋" w:cs="宋体" w:hint="eastAsia"/>
                <w:color w:val="000000"/>
                <w:kern w:val="0"/>
                <w:sz w:val="24"/>
                <w:szCs w:val="24"/>
              </w:rPr>
              <w:t>基金简称</w:t>
            </w:r>
          </w:p>
        </w:tc>
        <w:tc>
          <w:tcPr>
            <w:tcW w:w="1497" w:type="dxa"/>
            <w:shd w:val="clear" w:color="auto" w:fill="auto"/>
            <w:noWrap/>
            <w:vAlign w:val="center"/>
            <w:hideMark/>
          </w:tcPr>
          <w:p w:rsidR="000B35B1" w:rsidRPr="005F48D6" w:rsidRDefault="000B35B1" w:rsidP="000B35B1">
            <w:pPr>
              <w:widowControl/>
              <w:jc w:val="left"/>
              <w:rPr>
                <w:rFonts w:ascii="仿宋" w:eastAsia="仿宋" w:hAnsi="仿宋" w:cs="宋体"/>
                <w:color w:val="000000"/>
                <w:kern w:val="0"/>
                <w:sz w:val="24"/>
                <w:szCs w:val="24"/>
              </w:rPr>
            </w:pPr>
            <w:r w:rsidRPr="005F48D6">
              <w:rPr>
                <w:rFonts w:ascii="仿宋" w:eastAsia="仿宋" w:hAnsi="仿宋" w:cs="宋体" w:hint="eastAsia"/>
                <w:color w:val="000000"/>
                <w:kern w:val="0"/>
                <w:sz w:val="24"/>
                <w:szCs w:val="24"/>
              </w:rPr>
              <w:t>基金代码</w:t>
            </w:r>
          </w:p>
        </w:tc>
      </w:tr>
      <w:tr w:rsidR="005F48D6" w:rsidRPr="005F48D6" w:rsidTr="000D29D7">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兴全天添益货币市场基金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兴全天添益货币A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001820</w:t>
            </w:r>
            <w:bookmarkStart w:id="0" w:name="_GoBack"/>
            <w:bookmarkEnd w:id="0"/>
          </w:p>
        </w:tc>
      </w:tr>
      <w:tr w:rsidR="005F48D6" w:rsidRPr="005F48D6" w:rsidTr="000D29D7">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兴全天添益货币B</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001821</w:t>
            </w:r>
          </w:p>
        </w:tc>
      </w:tr>
      <w:tr w:rsidR="005F48D6" w:rsidRPr="005F48D6" w:rsidTr="00440CA7">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兴全稳泰债券型证券投资基金</w:t>
            </w:r>
          </w:p>
          <w:p w:rsidR="005F48D6" w:rsidRPr="005F48D6" w:rsidRDefault="005F48D6" w:rsidP="007F3E9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兴全稳泰债券A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003949</w:t>
            </w:r>
          </w:p>
        </w:tc>
      </w:tr>
      <w:tr w:rsidR="005F48D6" w:rsidRPr="005F48D6" w:rsidTr="00440CA7">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兴全稳泰债券C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008173</w:t>
            </w:r>
          </w:p>
        </w:tc>
      </w:tr>
      <w:tr w:rsidR="005F48D6" w:rsidRPr="005F48D6" w:rsidTr="003C079E">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兴全恒益债券型证券投资基金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兴全恒益债券A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004952</w:t>
            </w:r>
          </w:p>
        </w:tc>
      </w:tr>
      <w:tr w:rsidR="005F48D6" w:rsidRPr="005F48D6" w:rsidTr="003C079E">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兴全恒益债券C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004953</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兴全安泰平衡养老目标三年持有期混合型基金中基金(FOF)A份额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兴全安泰平衡养老三年持有混合FOF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006580</w:t>
            </w:r>
          </w:p>
        </w:tc>
      </w:tr>
      <w:tr w:rsidR="005F48D6" w:rsidRPr="005F48D6" w:rsidTr="002809DC">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兴全恒裕债券型证券投资基金</w:t>
            </w:r>
          </w:p>
          <w:p w:rsidR="005F48D6" w:rsidRPr="005F48D6" w:rsidRDefault="005F48D6" w:rsidP="007F3E9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兴全恒裕债券A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006985</w:t>
            </w:r>
          </w:p>
        </w:tc>
      </w:tr>
      <w:tr w:rsidR="005F48D6" w:rsidRPr="005F48D6" w:rsidTr="002809DC">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tcPr>
          <w:p w:rsidR="005F48D6" w:rsidRPr="005F48D6" w:rsidRDefault="005F48D6" w:rsidP="007F3E9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兴全恒裕债券C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012118</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兴全磐稳增利债券型证券投资基金C份额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兴全磐稳增利债券C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007398</w:t>
            </w:r>
          </w:p>
        </w:tc>
      </w:tr>
      <w:tr w:rsidR="005F48D6" w:rsidRPr="005F48D6" w:rsidTr="004320A8">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lastRenderedPageBreak/>
              <w:t>兴全多维价值混合型证券投资基金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兴全多维价值混合A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007449</w:t>
            </w:r>
          </w:p>
        </w:tc>
      </w:tr>
      <w:tr w:rsidR="005F48D6" w:rsidRPr="005F48D6" w:rsidTr="004320A8">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兴全多维价值混合C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007450</w:t>
            </w:r>
          </w:p>
        </w:tc>
      </w:tr>
      <w:tr w:rsidR="005F48D6" w:rsidRPr="005F48D6" w:rsidTr="002179CA">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 xml:space="preserve">兴全优选进取三个月持有期混合型基金中基金(FOF) </w:t>
            </w:r>
          </w:p>
          <w:p w:rsidR="005F48D6" w:rsidRPr="005F48D6" w:rsidRDefault="005F48D6" w:rsidP="007F3E9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兴全优选进取三个月持有混合FOF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008145</w:t>
            </w:r>
          </w:p>
        </w:tc>
      </w:tr>
      <w:tr w:rsidR="005F48D6" w:rsidRPr="005F48D6" w:rsidTr="002179CA">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兴全优选进取三个月持有混合FOF 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013255</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兴全社会价值三年持有期混合型证券投资基金</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兴全社会价值三年持有混合</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008378</w:t>
            </w:r>
          </w:p>
        </w:tc>
      </w:tr>
      <w:tr w:rsidR="005F48D6" w:rsidRPr="005F48D6" w:rsidTr="00F618B3">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兴全恒鑫债券型证券投资基金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兴全恒鑫债券A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008452</w:t>
            </w:r>
          </w:p>
        </w:tc>
      </w:tr>
      <w:tr w:rsidR="005F48D6" w:rsidRPr="005F48D6" w:rsidTr="00F618B3">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兴全恒鑫债券C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008453</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兴全安泰稳健养老目标一年持有期混合型基金中基金(FOF)A份额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兴全安泰稳健养老一年持有混合FOF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010266</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兴全安泰积极养老目标五年持有期混合型发起式基金中基金(FOF)A份额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兴全安泰积极养老五年持有混合发起式FOF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010267</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兴证全球安悦稳健养老目标一年持有期混合型基金中基金(FOF) A份额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兴证全球安悦稳健养老一年持有混合FOF</w:t>
            </w:r>
            <w:r w:rsidR="00366AB4">
              <w:rPr>
                <w:rFonts w:ascii="仿宋" w:eastAsia="仿宋" w:hAnsi="仿宋" w:cs="宋体"/>
                <w:color w:val="000000"/>
                <w:kern w:val="0"/>
                <w:sz w:val="24"/>
                <w:szCs w:val="24"/>
              </w:rPr>
              <w:t xml:space="preserve"> </w:t>
            </w:r>
            <w:r w:rsidR="00366AB4">
              <w:rPr>
                <w:rFonts w:ascii="仿宋" w:eastAsia="仿宋" w:hAnsi="仿宋" w:cs="宋体" w:hint="eastAsia"/>
                <w:color w:val="000000"/>
                <w:kern w:val="0"/>
                <w:sz w:val="24"/>
                <w:szCs w:val="24"/>
              </w:rPr>
              <w:t>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012509</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兴证全球优选平衡三个月持有期混合型基金中基金(FOF)A份</w:t>
            </w:r>
            <w:r w:rsidRPr="005F48D6">
              <w:rPr>
                <w:rFonts w:ascii="仿宋" w:eastAsia="仿宋" w:hAnsi="仿宋" w:cs="宋体"/>
                <w:color w:val="000000"/>
                <w:kern w:val="0"/>
                <w:sz w:val="24"/>
                <w:szCs w:val="24"/>
              </w:rPr>
              <w:lastRenderedPageBreak/>
              <w:t>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lastRenderedPageBreak/>
              <w:t>兴证全球优选平衡三个月持有混合FOF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012654</w:t>
            </w:r>
          </w:p>
        </w:tc>
      </w:tr>
      <w:tr w:rsidR="005F48D6" w:rsidRPr="005F48D6" w:rsidTr="00681441">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lastRenderedPageBreak/>
              <w:t>兴证全球恒悦180天持有期债券型证券投资基金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兴证全球恒悦180天持有债券A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014086</w:t>
            </w:r>
          </w:p>
        </w:tc>
      </w:tr>
      <w:tr w:rsidR="005F48D6" w:rsidRPr="005F48D6" w:rsidTr="00681441">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兴证全球恒悦180天持有债券C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014087</w:t>
            </w:r>
          </w:p>
        </w:tc>
      </w:tr>
      <w:tr w:rsidR="005F48D6" w:rsidRPr="005F48D6" w:rsidTr="00E6789C">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兴证全球合衡三年持有期混合型证券投资基金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兴证全球合衡三年持有混合A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014639</w:t>
            </w:r>
          </w:p>
        </w:tc>
      </w:tr>
      <w:tr w:rsidR="005F48D6" w:rsidRPr="005F48D6" w:rsidTr="00E6789C">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兴证全球合衡三年持有混合C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014640</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兴证全球优选平衡三个月持有期混合型基金中基金(FOF)C份额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兴证全球优选平衡三个月持有混合FOF 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016460</w:t>
            </w:r>
          </w:p>
        </w:tc>
      </w:tr>
      <w:tr w:rsidR="005F48D6" w:rsidRPr="005F48D6" w:rsidTr="00EC63B6">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兴证全球恒信债券型证券投资基金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兴证全球恒信债券A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016481</w:t>
            </w:r>
          </w:p>
        </w:tc>
      </w:tr>
      <w:tr w:rsidR="005F48D6" w:rsidRPr="005F48D6" w:rsidTr="00EC63B6">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兴证全球恒信债券C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016482</w:t>
            </w:r>
          </w:p>
        </w:tc>
      </w:tr>
      <w:tr w:rsidR="005F48D6" w:rsidRPr="005F48D6" w:rsidTr="005F48D6">
        <w:trPr>
          <w:trHeight w:val="27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兴证全球安悦平衡养老目标三年持有期混合型基金中基金（FOF）A份额</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兴证全球安悦平衡养老三年持有混合FOF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017264</w:t>
            </w:r>
          </w:p>
        </w:tc>
      </w:tr>
      <w:tr w:rsidR="005F48D6" w:rsidRPr="005F48D6" w:rsidTr="00B77B79">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兴证全球恒远债券型证券投资基金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兴证全球恒远债券A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018196</w:t>
            </w:r>
          </w:p>
        </w:tc>
      </w:tr>
      <w:tr w:rsidR="005F48D6" w:rsidRPr="005F48D6" w:rsidTr="00B77B79">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兴证全球恒远债券C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018197</w:t>
            </w:r>
          </w:p>
        </w:tc>
      </w:tr>
      <w:tr w:rsidR="005F48D6" w:rsidRPr="005F48D6" w:rsidTr="004F269C">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兴证全球招益债券型证券投资基金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兴证全球招益债券A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018597</w:t>
            </w:r>
          </w:p>
        </w:tc>
      </w:tr>
      <w:tr w:rsidR="005F48D6" w:rsidRPr="005F48D6" w:rsidTr="004F269C">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兴证全球招益债券C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018598</w:t>
            </w:r>
          </w:p>
        </w:tc>
      </w:tr>
      <w:tr w:rsidR="005F48D6" w:rsidRPr="005F48D6" w:rsidTr="005D638A">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兴证全球品质甄选混合型证券投资基金</w:t>
            </w:r>
          </w:p>
          <w:p w:rsidR="005F48D6" w:rsidRPr="005F48D6" w:rsidRDefault="005F48D6" w:rsidP="005F48D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兴证全球品质甄选混合A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018868</w:t>
            </w:r>
          </w:p>
        </w:tc>
      </w:tr>
      <w:tr w:rsidR="005F48D6" w:rsidRPr="005F48D6" w:rsidTr="005D638A">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兴证全球品质甄选混合C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018869</w:t>
            </w:r>
          </w:p>
        </w:tc>
      </w:tr>
      <w:tr w:rsidR="005F48D6" w:rsidRPr="005F48D6" w:rsidTr="00580C53">
        <w:trPr>
          <w:trHeight w:val="270"/>
        </w:trPr>
        <w:tc>
          <w:tcPr>
            <w:tcW w:w="3539" w:type="dxa"/>
            <w:vMerge w:val="restart"/>
            <w:tcBorders>
              <w:top w:val="single" w:sz="4" w:space="0" w:color="auto"/>
              <w:left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 xml:space="preserve">兴证全球积极配置三年封闭运作混合型基金中基金(FOF-LOF) </w:t>
            </w:r>
          </w:p>
          <w:p w:rsidR="005F48D6" w:rsidRPr="005F48D6" w:rsidRDefault="005F48D6" w:rsidP="007F3E96">
            <w:pPr>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兴证全球积极配置三年封闭混合FOF-LOF A</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5F48D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501215</w:t>
            </w:r>
          </w:p>
        </w:tc>
      </w:tr>
      <w:tr w:rsidR="005F48D6" w:rsidRPr="005F48D6" w:rsidTr="00580C53">
        <w:trPr>
          <w:trHeight w:val="270"/>
        </w:trPr>
        <w:tc>
          <w:tcPr>
            <w:tcW w:w="3539" w:type="dxa"/>
            <w:vMerge/>
            <w:tcBorders>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兴证全球积极配置三年封闭混合FOF-LOF C</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48D6" w:rsidRPr="005F48D6" w:rsidRDefault="005F48D6" w:rsidP="007F3E96">
            <w:pPr>
              <w:widowControl/>
              <w:jc w:val="left"/>
              <w:rPr>
                <w:rFonts w:ascii="仿宋" w:eastAsia="仿宋" w:hAnsi="仿宋" w:cs="宋体"/>
                <w:color w:val="000000"/>
                <w:kern w:val="0"/>
                <w:sz w:val="24"/>
                <w:szCs w:val="24"/>
              </w:rPr>
            </w:pPr>
            <w:r w:rsidRPr="005F48D6">
              <w:rPr>
                <w:rFonts w:ascii="仿宋" w:eastAsia="仿宋" w:hAnsi="仿宋" w:cs="宋体"/>
                <w:color w:val="000000"/>
                <w:kern w:val="0"/>
                <w:sz w:val="24"/>
                <w:szCs w:val="24"/>
              </w:rPr>
              <w:t>013786</w:t>
            </w:r>
          </w:p>
        </w:tc>
      </w:tr>
    </w:tbl>
    <w:p w:rsidR="0015369F" w:rsidRPr="00536A92" w:rsidRDefault="0015369F" w:rsidP="00334700">
      <w:pPr>
        <w:spacing w:line="360" w:lineRule="auto"/>
        <w:rPr>
          <w:rFonts w:ascii="仿宋" w:eastAsia="仿宋" w:hAnsi="仿宋" w:cs="Times New Roman"/>
          <w:color w:val="000000"/>
          <w:kern w:val="0"/>
          <w:sz w:val="20"/>
          <w:szCs w:val="24"/>
        </w:rPr>
      </w:pPr>
      <w:r w:rsidRPr="00536A92">
        <w:rPr>
          <w:rFonts w:ascii="仿宋" w:eastAsia="仿宋" w:hAnsi="仿宋" w:cs="Times New Roman" w:hint="eastAsia"/>
          <w:color w:val="000000"/>
          <w:kern w:val="0"/>
          <w:sz w:val="20"/>
          <w:szCs w:val="24"/>
        </w:rPr>
        <w:t>注：本公司与</w:t>
      </w:r>
      <w:r w:rsidR="0089263D">
        <w:rPr>
          <w:rFonts w:ascii="仿宋" w:eastAsia="仿宋" w:hAnsi="仿宋" w:cs="Times New Roman" w:hint="eastAsia"/>
          <w:color w:val="000000"/>
          <w:kern w:val="0"/>
          <w:sz w:val="20"/>
          <w:szCs w:val="24"/>
        </w:rPr>
        <w:t>华福证券</w:t>
      </w:r>
      <w:r w:rsidRPr="00536A92">
        <w:rPr>
          <w:rFonts w:ascii="仿宋" w:eastAsia="仿宋" w:hAnsi="仿宋" w:cs="Times New Roman" w:hint="eastAsia"/>
          <w:color w:val="000000"/>
          <w:kern w:val="0"/>
          <w:sz w:val="20"/>
          <w:szCs w:val="24"/>
        </w:rPr>
        <w:t>就</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的销售建立代销关系，</w:t>
      </w:r>
      <w:r w:rsidR="00E97557">
        <w:rPr>
          <w:rFonts w:ascii="仿宋" w:eastAsia="仿宋" w:hAnsi="仿宋" w:cs="Times New Roman" w:hint="eastAsia"/>
          <w:color w:val="000000"/>
          <w:kern w:val="0"/>
          <w:sz w:val="20"/>
          <w:szCs w:val="24"/>
        </w:rPr>
        <w:t>旗下部分基金</w:t>
      </w:r>
      <w:r w:rsidRPr="00536A92">
        <w:rPr>
          <w:rFonts w:ascii="仿宋" w:eastAsia="仿宋" w:hAnsi="仿宋" w:cs="Times New Roman" w:hint="eastAsia"/>
          <w:color w:val="000000"/>
          <w:kern w:val="0"/>
          <w:sz w:val="20"/>
          <w:szCs w:val="24"/>
        </w:rPr>
        <w:t>的申购、赎回、定投、转换等业务的办理规则以相关基金的公告为准。</w:t>
      </w:r>
    </w:p>
    <w:p w:rsidR="0015369F" w:rsidRPr="001A4A98" w:rsidRDefault="0015369F" w:rsidP="0015369F">
      <w:pPr>
        <w:spacing w:line="360" w:lineRule="auto"/>
        <w:ind w:firstLineChars="200" w:firstLine="480"/>
        <w:jc w:val="left"/>
        <w:rPr>
          <w:rFonts w:ascii="仿宋" w:eastAsia="仿宋" w:hAnsi="仿宋" w:cs="Times New Roman"/>
          <w:color w:val="000000"/>
          <w:kern w:val="0"/>
          <w:sz w:val="24"/>
          <w:szCs w:val="24"/>
        </w:rPr>
      </w:pPr>
    </w:p>
    <w:p w:rsidR="00CF5989" w:rsidRPr="00CF5989" w:rsidRDefault="00CF5989" w:rsidP="00F56A51">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二、定期定额投资业务</w:t>
      </w:r>
    </w:p>
    <w:p w:rsidR="00CF5989" w:rsidRPr="00CF5989" w:rsidRDefault="00CF5989" w:rsidP="007A2AE6">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w:t>
      </w:r>
      <w:r w:rsidR="007A6684">
        <w:rPr>
          <w:rFonts w:ascii="仿宋" w:eastAsia="仿宋" w:hAnsi="仿宋" w:cs="Times New Roman" w:hint="eastAsia"/>
          <w:color w:val="000000"/>
          <w:kern w:val="0"/>
          <w:sz w:val="24"/>
          <w:szCs w:val="24"/>
        </w:rPr>
        <w:t>凡申请办理</w:t>
      </w:r>
      <w:r w:rsidR="00E97557">
        <w:rPr>
          <w:rFonts w:ascii="仿宋" w:eastAsia="仿宋" w:hAnsi="仿宋" w:cs="Times New Roman" w:hint="eastAsia"/>
          <w:color w:val="000000"/>
          <w:kern w:val="0"/>
          <w:sz w:val="24"/>
          <w:szCs w:val="24"/>
        </w:rPr>
        <w:t>旗下部分基金</w:t>
      </w:r>
      <w:r w:rsidR="007A6684">
        <w:rPr>
          <w:rFonts w:ascii="仿宋" w:eastAsia="仿宋" w:hAnsi="仿宋" w:cs="Times New Roman" w:hint="eastAsia"/>
          <w:color w:val="000000"/>
          <w:kern w:val="0"/>
          <w:sz w:val="24"/>
          <w:szCs w:val="24"/>
        </w:rPr>
        <w:t>定投业务的投资者，须开立本公司</w:t>
      </w:r>
      <w:r w:rsidR="007A2AE6" w:rsidRPr="007A2AE6">
        <w:rPr>
          <w:rFonts w:ascii="仿宋" w:eastAsia="仿宋" w:hAnsi="仿宋" w:cs="Times New Roman" w:hint="eastAsia"/>
          <w:color w:val="000000"/>
          <w:kern w:val="0"/>
          <w:sz w:val="24"/>
          <w:szCs w:val="24"/>
        </w:rPr>
        <w:t>和</w:t>
      </w:r>
      <w:r w:rsidR="007A2AE6" w:rsidRPr="007A2AE6">
        <w:rPr>
          <w:rFonts w:ascii="仿宋" w:eastAsia="仿宋" w:hAnsi="仿宋" w:cs="Times New Roman"/>
          <w:color w:val="000000"/>
          <w:kern w:val="0"/>
          <w:sz w:val="24"/>
          <w:szCs w:val="24"/>
        </w:rPr>
        <w:t>/或中国证券登</w:t>
      </w:r>
      <w:r w:rsidR="007A2AE6" w:rsidRPr="007A2AE6">
        <w:rPr>
          <w:rFonts w:ascii="仿宋" w:eastAsia="仿宋" w:hAnsi="仿宋" w:cs="Times New Roman" w:hint="eastAsia"/>
          <w:color w:val="000000"/>
          <w:kern w:val="0"/>
          <w:sz w:val="24"/>
          <w:szCs w:val="24"/>
        </w:rPr>
        <w:t>记结算有限责任公司</w:t>
      </w:r>
      <w:r w:rsidR="007A6684">
        <w:rPr>
          <w:rFonts w:ascii="仿宋" w:eastAsia="仿宋" w:hAnsi="仿宋" w:cs="Times New Roman" w:hint="eastAsia"/>
          <w:color w:val="000000"/>
          <w:kern w:val="0"/>
          <w:sz w:val="24"/>
          <w:szCs w:val="24"/>
        </w:rPr>
        <w:t>开放式基金账户，具体开户程序遵循</w:t>
      </w:r>
      <w:r w:rsidR="0089263D">
        <w:rPr>
          <w:rFonts w:ascii="仿宋" w:eastAsia="仿宋" w:hAnsi="仿宋" w:cs="Times New Roman" w:hint="eastAsia"/>
          <w:color w:val="000000"/>
          <w:kern w:val="0"/>
          <w:sz w:val="24"/>
          <w:szCs w:val="24"/>
        </w:rPr>
        <w:t>华福证券</w:t>
      </w:r>
      <w:r w:rsidR="007A6684">
        <w:rPr>
          <w:rFonts w:ascii="仿宋" w:eastAsia="仿宋" w:hAnsi="仿宋" w:cs="Times New Roman" w:hint="eastAsia"/>
          <w:color w:val="000000"/>
          <w:kern w:val="0"/>
          <w:sz w:val="24"/>
          <w:szCs w:val="24"/>
        </w:rPr>
        <w:t>的相关规定。</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的每期扣款（申购）最低金额为人民币0.1元(含申购费)，具体办理要求以</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3、定期定额申购的申购费率和计费方式与日常申购业务相同，详见各相关基金的《招募说明书》（更新）。</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4、关于基金定期定额投资业务的具体规则，敬请投资者详细阅读本公司相关公告。</w:t>
      </w:r>
    </w:p>
    <w:p w:rsidR="008E4FF4" w:rsidRDefault="008E4FF4" w:rsidP="008E4FF4">
      <w:pPr>
        <w:spacing w:line="360" w:lineRule="auto"/>
        <w:jc w:val="left"/>
      </w:pPr>
    </w:p>
    <w:p w:rsidR="00CF5989" w:rsidRPr="00CF5989" w:rsidRDefault="00CF5989" w:rsidP="00F56A51">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三、基金转换业务</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转换是指投资者可将其通过销售机构购买并持有的本公司旗下某只开放式基金的全部或部分基金份额，转换为本公司管理的，同一销售机构销售的且属同一注册登记机构的另一只开放式基金的份额的行为。</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转换费用由转出基金赎回费和转换补差费组成，即：基金转换费=转出基金赎回费+转换补差费。从申购费用低的基金向申购费用高的基金转换时，收取转换补差费；从申购费用高的基金向申购费用低的基金转换时，不收取转换补差费。</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3、基金管理人规定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最低转换转出及最低持有份额为0.1份。在</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办理基金转换业务时，具体办理要求以</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转换最低份额，当基金份额持有人申请将账户中该基金全部份额进行转换为另一只基金时，不受上述转换最低份额限制。当基金份额持有人的某笔转换申请导致单个基金账户的基金份额余额少于上述最低持有份额时，基金管理人有权将余额部分基金份额强制赎回。</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4、因注册登记机构不同，仅允许注册登记在相同注册登记机构的基金进行转换。FOF基金与非FOF基金之间不能相互转换。</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5、本公司将不对转换补差费率设折扣限制，原转换补差费率为固定费用的，则按原费率执行。具体转换补差费折扣以销售机构为准。</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6、同一基金不同类别的基金份额间不开放相互转换业务。</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CF5989" w:rsidRPr="00CF5989" w:rsidRDefault="00CF5989" w:rsidP="00F56A51">
      <w:pPr>
        <w:pStyle w:val="a3"/>
        <w:spacing w:line="360" w:lineRule="auto"/>
        <w:ind w:firstLine="480"/>
        <w:rPr>
          <w:rFonts w:ascii="仿宋" w:eastAsia="仿宋" w:hAnsi="仿宋" w:cs="Times New Roman"/>
          <w:b/>
          <w:sz w:val="24"/>
          <w:szCs w:val="24"/>
        </w:rPr>
      </w:pPr>
      <w:r w:rsidRPr="00CF5989">
        <w:rPr>
          <w:rFonts w:ascii="仿宋" w:eastAsia="仿宋" w:hAnsi="仿宋" w:cs="Times New Roman" w:hint="eastAsia"/>
          <w:b/>
          <w:sz w:val="24"/>
          <w:szCs w:val="24"/>
        </w:rPr>
        <w:t>四、最低申购、赎回、持有份额限制</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1、基金管理人规定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每个基金账户首笔申购的最低金额为人民币0.1元，每笔追加申购的最低金额为人民币0.1元。投资者在</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办理申购业务时，具体办理要求以</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2、基金管理人规定</w:t>
      </w:r>
      <w:r w:rsidR="00E97557">
        <w:rPr>
          <w:rFonts w:ascii="仿宋" w:eastAsia="仿宋" w:hAnsi="仿宋" w:cs="Times New Roman" w:hint="eastAsia"/>
          <w:color w:val="000000"/>
          <w:kern w:val="0"/>
          <w:sz w:val="24"/>
          <w:szCs w:val="24"/>
        </w:rPr>
        <w:t>旗下部分基金</w:t>
      </w:r>
      <w:r w:rsidRPr="00CF5989">
        <w:rPr>
          <w:rFonts w:ascii="仿宋" w:eastAsia="仿宋" w:hAnsi="仿宋" w:cs="Times New Roman" w:hint="eastAsia"/>
          <w:color w:val="000000"/>
          <w:kern w:val="0"/>
          <w:sz w:val="24"/>
          <w:szCs w:val="24"/>
        </w:rPr>
        <w:t>最低赎回、最低持有份额为0.1份。投资者在</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办理赎回业务时，具体办理要求以</w:t>
      </w:r>
      <w:r w:rsidR="0089263D">
        <w:rPr>
          <w:rFonts w:ascii="仿宋" w:eastAsia="仿宋" w:hAnsi="仿宋" w:cs="Times New Roman" w:hint="eastAsia"/>
          <w:color w:val="000000"/>
          <w:kern w:val="0"/>
          <w:sz w:val="24"/>
          <w:szCs w:val="24"/>
        </w:rPr>
        <w:t>华福证券</w:t>
      </w:r>
      <w:r w:rsidRPr="00CF5989">
        <w:rPr>
          <w:rFonts w:ascii="仿宋" w:eastAsia="仿宋" w:hAnsi="仿宋" w:cs="Times New Roman" w:hint="eastAsia"/>
          <w:color w:val="000000"/>
          <w:kern w:val="0"/>
          <w:sz w:val="24"/>
          <w:szCs w:val="24"/>
        </w:rPr>
        <w:t>的交易细则为准，但不得低于基金管理人规定的最低限额。</w:t>
      </w:r>
    </w:p>
    <w:p w:rsidR="00CF5989" w:rsidRPr="00CF5989" w:rsidRDefault="00CF5989" w:rsidP="00CF5989">
      <w:pPr>
        <w:spacing w:line="360" w:lineRule="auto"/>
        <w:ind w:firstLineChars="200" w:firstLine="480"/>
        <w:rPr>
          <w:rFonts w:ascii="仿宋" w:eastAsia="仿宋" w:hAnsi="仿宋" w:cs="Times New Roman"/>
          <w:color w:val="000000"/>
          <w:kern w:val="0"/>
          <w:sz w:val="24"/>
          <w:szCs w:val="24"/>
        </w:rPr>
      </w:pPr>
      <w:r w:rsidRPr="00CF5989">
        <w:rPr>
          <w:rFonts w:ascii="仿宋" w:eastAsia="仿宋" w:hAnsi="仿宋" w:cs="Times New Roman" w:hint="eastAsia"/>
          <w:color w:val="000000"/>
          <w:kern w:val="0"/>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34F94" w:rsidRDefault="00734F94" w:rsidP="00CF5989">
      <w:pPr>
        <w:pStyle w:val="s17"/>
        <w:spacing w:before="0" w:beforeAutospacing="0" w:after="0" w:afterAutospacing="0"/>
        <w:jc w:val="both"/>
        <w:rPr>
          <w:sz w:val="27"/>
          <w:szCs w:val="27"/>
        </w:rPr>
      </w:pPr>
    </w:p>
    <w:p w:rsidR="00734F94" w:rsidRDefault="00734F94" w:rsidP="00F56A51">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E700B2" w:rsidRDefault="00E700B2" w:rsidP="00772414">
      <w:pPr>
        <w:spacing w:line="360" w:lineRule="auto"/>
        <w:ind w:firstLineChars="225" w:firstLine="540"/>
        <w:rPr>
          <w:rFonts w:ascii="仿宋" w:eastAsia="仿宋" w:hAnsi="仿宋"/>
          <w:sz w:val="24"/>
          <w:szCs w:val="24"/>
        </w:rPr>
      </w:pPr>
      <w:r w:rsidRPr="002A6C9A">
        <w:rPr>
          <w:rFonts w:ascii="仿宋" w:eastAsia="仿宋" w:hAnsi="仿宋" w:hint="eastAsia"/>
          <w:sz w:val="24"/>
          <w:szCs w:val="24"/>
        </w:rPr>
        <w:t>自</w:t>
      </w:r>
      <w:r w:rsidR="0089263D">
        <w:rPr>
          <w:rFonts w:ascii="仿宋" w:eastAsia="仿宋" w:hAnsi="仿宋"/>
          <w:sz w:val="24"/>
          <w:szCs w:val="24"/>
        </w:rPr>
        <w:t>2024年3月1日</w:t>
      </w:r>
      <w:r w:rsidRPr="002A6C9A">
        <w:rPr>
          <w:rFonts w:ascii="仿宋" w:eastAsia="仿宋" w:hAnsi="仿宋"/>
          <w:sz w:val="24"/>
          <w:szCs w:val="24"/>
        </w:rPr>
        <w:t>起</w:t>
      </w:r>
      <w:r w:rsidRPr="00E700B2">
        <w:rPr>
          <w:rFonts w:ascii="仿宋" w:eastAsia="仿宋" w:hAnsi="仿宋"/>
          <w:sz w:val="24"/>
          <w:szCs w:val="24"/>
        </w:rPr>
        <w:t>，投资者通过</w:t>
      </w:r>
      <w:r w:rsidR="0089263D">
        <w:rPr>
          <w:rFonts w:ascii="仿宋" w:eastAsia="仿宋" w:hAnsi="仿宋" w:hint="eastAsia"/>
          <w:sz w:val="24"/>
          <w:szCs w:val="24"/>
        </w:rPr>
        <w:t>华福证券</w:t>
      </w:r>
      <w:r w:rsidRPr="00E700B2">
        <w:rPr>
          <w:rFonts w:ascii="仿宋" w:eastAsia="仿宋" w:hAnsi="仿宋"/>
          <w:sz w:val="24"/>
          <w:szCs w:val="24"/>
        </w:rPr>
        <w:t>申购（包括定期定额申购）</w:t>
      </w:r>
      <w:r w:rsidR="00E97557">
        <w:rPr>
          <w:rFonts w:ascii="仿宋" w:eastAsia="仿宋" w:hAnsi="仿宋"/>
          <w:sz w:val="24"/>
          <w:szCs w:val="24"/>
        </w:rPr>
        <w:t>旗下</w:t>
      </w:r>
      <w:r w:rsidR="00772414" w:rsidRPr="00772414">
        <w:rPr>
          <w:rFonts w:ascii="仿宋" w:eastAsia="仿宋" w:hAnsi="仿宋" w:hint="eastAsia"/>
          <w:sz w:val="24"/>
          <w:szCs w:val="24"/>
        </w:rPr>
        <w:t>兴证全球招益债券型证券投资基金</w:t>
      </w:r>
      <w:r w:rsidRPr="00E700B2">
        <w:rPr>
          <w:rFonts w:ascii="仿宋" w:eastAsia="仿宋" w:hAnsi="仿宋"/>
          <w:sz w:val="24"/>
          <w:szCs w:val="24"/>
        </w:rPr>
        <w:t>，本公司将不对申购（包括定期定额申购）费率设折扣限制，原申购费率为固定费用的，则按原费率执行。具体优惠费率以</w:t>
      </w:r>
      <w:r w:rsidR="0089263D">
        <w:rPr>
          <w:rFonts w:ascii="仿宋" w:eastAsia="仿宋" w:hAnsi="仿宋"/>
          <w:sz w:val="24"/>
          <w:szCs w:val="24"/>
        </w:rPr>
        <w:t>华福证券</w:t>
      </w:r>
      <w:r w:rsidRPr="00E700B2">
        <w:rPr>
          <w:rFonts w:ascii="仿宋" w:eastAsia="仿宋" w:hAnsi="仿宋"/>
          <w:sz w:val="24"/>
          <w:szCs w:val="24"/>
        </w:rPr>
        <w:t>官方公告为准。</w:t>
      </w:r>
    </w:p>
    <w:p w:rsidR="00772414" w:rsidRPr="00E700B2" w:rsidRDefault="00772414" w:rsidP="00772414">
      <w:pPr>
        <w:spacing w:line="360" w:lineRule="auto"/>
        <w:ind w:firstLineChars="225" w:firstLine="540"/>
        <w:rPr>
          <w:rFonts w:ascii="仿宋" w:eastAsia="仿宋" w:hAnsi="仿宋"/>
          <w:sz w:val="24"/>
          <w:szCs w:val="24"/>
        </w:rPr>
      </w:pPr>
      <w:r w:rsidRPr="00772414">
        <w:rPr>
          <w:rFonts w:ascii="仿宋" w:eastAsia="仿宋" w:hAnsi="仿宋" w:hint="eastAsia"/>
          <w:sz w:val="24"/>
          <w:szCs w:val="24"/>
        </w:rPr>
        <w:t>投资者通过</w:t>
      </w:r>
      <w:r w:rsidR="0089263D">
        <w:rPr>
          <w:rFonts w:ascii="仿宋" w:eastAsia="仿宋" w:hAnsi="仿宋" w:hint="eastAsia"/>
          <w:sz w:val="24"/>
          <w:szCs w:val="24"/>
        </w:rPr>
        <w:t>华福证券</w:t>
      </w:r>
      <w:r w:rsidRPr="00772414">
        <w:rPr>
          <w:rFonts w:ascii="仿宋" w:eastAsia="仿宋" w:hAnsi="仿宋" w:hint="eastAsia"/>
          <w:sz w:val="24"/>
          <w:szCs w:val="24"/>
        </w:rPr>
        <w:t>申购（包括定期定额申购）兴证全球招益债券型证券投资基金</w:t>
      </w:r>
      <w:r w:rsidRPr="00772414">
        <w:rPr>
          <w:rFonts w:ascii="仿宋" w:eastAsia="仿宋" w:hAnsi="仿宋"/>
          <w:sz w:val="24"/>
          <w:szCs w:val="24"/>
        </w:rPr>
        <w:t>，不享受申购、定投费率优惠。</w:t>
      </w:r>
    </w:p>
    <w:p w:rsidR="00734F94" w:rsidRDefault="00734F94" w:rsidP="00734F9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w:t>
      </w:r>
      <w:r w:rsidR="0089263D">
        <w:rPr>
          <w:rFonts w:ascii="仿宋" w:eastAsia="仿宋" w:hAnsi="仿宋" w:hint="eastAsia"/>
          <w:sz w:val="24"/>
          <w:szCs w:val="24"/>
        </w:rPr>
        <w:t>华福证券</w:t>
      </w:r>
      <w:r>
        <w:rPr>
          <w:rFonts w:ascii="仿宋" w:eastAsia="仿宋" w:hAnsi="仿宋" w:hint="eastAsia"/>
          <w:sz w:val="24"/>
          <w:szCs w:val="24"/>
        </w:rPr>
        <w:t>所有。</w:t>
      </w:r>
    </w:p>
    <w:p w:rsidR="00CF5989" w:rsidRDefault="00CF5989" w:rsidP="00CF5989">
      <w:pPr>
        <w:pStyle w:val="s17"/>
        <w:spacing w:before="0" w:beforeAutospacing="0" w:after="0" w:afterAutospacing="0"/>
        <w:jc w:val="both"/>
        <w:rPr>
          <w:sz w:val="27"/>
          <w:szCs w:val="27"/>
        </w:rPr>
      </w:pPr>
      <w:r>
        <w:rPr>
          <w:rFonts w:hint="eastAsia"/>
          <w:sz w:val="27"/>
          <w:szCs w:val="27"/>
        </w:rPr>
        <w:t> </w:t>
      </w:r>
    </w:p>
    <w:p w:rsidR="0062169D" w:rsidRDefault="0062169D" w:rsidP="0062169D">
      <w:pPr>
        <w:pStyle w:val="a3"/>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8D397C" w:rsidRDefault="0089263D" w:rsidP="0062169D">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华福证券有限责任公司</w:t>
      </w:r>
    </w:p>
    <w:p w:rsidR="00F64D77" w:rsidRDefault="0062169D" w:rsidP="008D397C">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公司网站：</w:t>
      </w:r>
      <w:r w:rsidR="0089263D" w:rsidRPr="0089263D">
        <w:rPr>
          <w:rFonts w:ascii="仿宋" w:eastAsia="仿宋" w:hAnsi="仿宋" w:cs="Times New Roman"/>
          <w:bCs/>
          <w:sz w:val="24"/>
          <w:szCs w:val="24"/>
        </w:rPr>
        <w:t>https://www.hfzq.com.cn/</w:t>
      </w:r>
      <w:r w:rsidR="0089263D" w:rsidRPr="00DE011E">
        <w:rPr>
          <w:rFonts w:ascii="仿宋" w:eastAsia="仿宋" w:hAnsi="仿宋" w:cs="Times New Roman"/>
          <w:bCs/>
          <w:sz w:val="24"/>
          <w:szCs w:val="24"/>
        </w:rPr>
        <w:t xml:space="preserve"> </w:t>
      </w:r>
    </w:p>
    <w:p w:rsidR="00AF0F63" w:rsidRDefault="0062169D" w:rsidP="006F6710">
      <w:pPr>
        <w:spacing w:line="360" w:lineRule="auto"/>
        <w:ind w:firstLineChars="200" w:firstLine="480"/>
        <w:rPr>
          <w:rFonts w:ascii="仿宋" w:eastAsia="仿宋" w:hAnsi="仿宋" w:cs="Times New Roman"/>
          <w:bCs/>
          <w:sz w:val="24"/>
          <w:szCs w:val="24"/>
        </w:rPr>
      </w:pPr>
      <w:r w:rsidRPr="00080D70">
        <w:rPr>
          <w:rFonts w:ascii="仿宋" w:eastAsia="仿宋" w:hAnsi="仿宋" w:cs="Times New Roman" w:hint="eastAsia"/>
          <w:bCs/>
          <w:sz w:val="24"/>
          <w:szCs w:val="24"/>
        </w:rPr>
        <w:t>客服电话：</w:t>
      </w:r>
      <w:r w:rsidR="0089263D" w:rsidRPr="0089263D">
        <w:rPr>
          <w:rFonts w:ascii="仿宋" w:eastAsia="仿宋" w:hAnsi="仿宋" w:cs="Times New Roman"/>
          <w:bCs/>
          <w:sz w:val="24"/>
          <w:szCs w:val="24"/>
        </w:rPr>
        <w:t>95547</w:t>
      </w:r>
      <w:r w:rsidR="0089263D" w:rsidRPr="0089263D">
        <w:rPr>
          <w:rFonts w:ascii="仿宋" w:eastAsia="仿宋" w:hAnsi="仿宋" w:cs="Times New Roman"/>
          <w:bCs/>
          <w:sz w:val="24"/>
          <w:szCs w:val="24"/>
        </w:rPr>
        <w:tab/>
      </w:r>
      <w:r w:rsidR="00DE011E" w:rsidRPr="00DE011E">
        <w:rPr>
          <w:rFonts w:ascii="仿宋" w:eastAsia="仿宋" w:hAnsi="仿宋" w:cs="Times New Roman"/>
          <w:bCs/>
          <w:sz w:val="24"/>
          <w:szCs w:val="24"/>
        </w:rPr>
        <w:t xml:space="preserve"> </w:t>
      </w:r>
    </w:p>
    <w:p w:rsidR="0062169D" w:rsidRDefault="0062169D" w:rsidP="00F56A51">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以上机构</w:t>
      </w:r>
      <w:r>
        <w:rPr>
          <w:rFonts w:ascii="仿宋" w:eastAsia="仿宋" w:hAnsi="仿宋" w:cs="Times New Roman"/>
          <w:b/>
          <w:sz w:val="24"/>
          <w:szCs w:val="24"/>
        </w:rPr>
        <w:t>已取得中国证监会颁发的基金销售业务资格证书</w:t>
      </w:r>
    </w:p>
    <w:p w:rsidR="0062169D" w:rsidRDefault="0062169D" w:rsidP="0062169D">
      <w:pPr>
        <w:spacing w:line="360" w:lineRule="auto"/>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兴证全球基金管理有限公司客服电话：400-678-0099（免长话</w:t>
      </w:r>
      <w:r>
        <w:rPr>
          <w:rFonts w:ascii="仿宋" w:eastAsia="仿宋" w:hAnsi="仿宋" w:cs="Times New Roman" w:hint="eastAsia"/>
          <w:sz w:val="24"/>
          <w:szCs w:val="24"/>
        </w:rPr>
        <w:t>费</w:t>
      </w:r>
      <w:r>
        <w:rPr>
          <w:rFonts w:ascii="仿宋" w:eastAsia="仿宋" w:hAnsi="仿宋" w:cs="Times New Roman"/>
          <w:sz w:val="24"/>
          <w:szCs w:val="24"/>
        </w:rPr>
        <w:t>）、021-38824536</w:t>
      </w:r>
    </w:p>
    <w:p w:rsidR="0062169D" w:rsidRDefault="0062169D" w:rsidP="0062169D">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62169D" w:rsidRDefault="0062169D" w:rsidP="0062169D">
      <w:pPr>
        <w:spacing w:line="360" w:lineRule="auto"/>
        <w:ind w:firstLineChars="200" w:firstLine="480"/>
        <w:rPr>
          <w:rFonts w:ascii="仿宋" w:eastAsia="仿宋" w:hAnsi="仿宋" w:cs="Times New Roman"/>
          <w:sz w:val="24"/>
          <w:szCs w:val="24"/>
        </w:rPr>
      </w:pP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62169D" w:rsidRDefault="0062169D" w:rsidP="0062169D">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62169D" w:rsidRDefault="0062169D" w:rsidP="00380972">
      <w:pPr>
        <w:spacing w:line="360" w:lineRule="auto"/>
        <w:ind w:right="1920"/>
        <w:rPr>
          <w:rFonts w:ascii="仿宋" w:eastAsia="仿宋" w:hAnsi="仿宋" w:cs="Times New Roman"/>
          <w:sz w:val="24"/>
          <w:szCs w:val="24"/>
        </w:rPr>
      </w:pPr>
    </w:p>
    <w:p w:rsidR="0062169D" w:rsidRDefault="0062169D" w:rsidP="0062169D">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62169D" w:rsidRDefault="0089263D" w:rsidP="0062169D">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2024年3月1日</w:t>
      </w:r>
    </w:p>
    <w:p w:rsidR="00CF5989" w:rsidRPr="00CF5989" w:rsidRDefault="00CF5989" w:rsidP="008E4FF4">
      <w:pPr>
        <w:spacing w:line="360" w:lineRule="auto"/>
        <w:jc w:val="left"/>
      </w:pPr>
    </w:p>
    <w:sectPr w:rsidR="00CF5989" w:rsidRPr="00CF5989" w:rsidSect="002C76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8A" w:rsidRDefault="00B8658A" w:rsidP="00D45BEC">
      <w:r>
        <w:separator/>
      </w:r>
    </w:p>
  </w:endnote>
  <w:endnote w:type="continuationSeparator" w:id="0">
    <w:p w:rsidR="00B8658A" w:rsidRDefault="00B8658A" w:rsidP="00D4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8A" w:rsidRDefault="00B8658A" w:rsidP="00D45BEC">
      <w:r>
        <w:separator/>
      </w:r>
    </w:p>
  </w:footnote>
  <w:footnote w:type="continuationSeparator" w:id="0">
    <w:p w:rsidR="00B8658A" w:rsidRDefault="00B8658A" w:rsidP="00D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0F9"/>
    <w:multiLevelType w:val="hybridMultilevel"/>
    <w:tmpl w:val="8C40DCC6"/>
    <w:lvl w:ilvl="0" w:tplc="1D5EEBA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E2B"/>
    <w:rsid w:val="00015A1F"/>
    <w:rsid w:val="0002677F"/>
    <w:rsid w:val="000423DA"/>
    <w:rsid w:val="00070E2B"/>
    <w:rsid w:val="000A60EC"/>
    <w:rsid w:val="000B35B1"/>
    <w:rsid w:val="000C1090"/>
    <w:rsid w:val="000E0449"/>
    <w:rsid w:val="00144818"/>
    <w:rsid w:val="0015369F"/>
    <w:rsid w:val="0018443F"/>
    <w:rsid w:val="00184648"/>
    <w:rsid w:val="001A4A98"/>
    <w:rsid w:val="001B111F"/>
    <w:rsid w:val="00231A3B"/>
    <w:rsid w:val="00261CD9"/>
    <w:rsid w:val="00271DDE"/>
    <w:rsid w:val="0028010F"/>
    <w:rsid w:val="00285129"/>
    <w:rsid w:val="002A6C9A"/>
    <w:rsid w:val="002C76CF"/>
    <w:rsid w:val="002E55E0"/>
    <w:rsid w:val="002F3417"/>
    <w:rsid w:val="002F3AB9"/>
    <w:rsid w:val="003049FF"/>
    <w:rsid w:val="00334700"/>
    <w:rsid w:val="00366AB4"/>
    <w:rsid w:val="00380972"/>
    <w:rsid w:val="00386DB6"/>
    <w:rsid w:val="00393AC0"/>
    <w:rsid w:val="003A4A08"/>
    <w:rsid w:val="003A4C9F"/>
    <w:rsid w:val="003E6A10"/>
    <w:rsid w:val="00432AE6"/>
    <w:rsid w:val="00460695"/>
    <w:rsid w:val="004B38E8"/>
    <w:rsid w:val="004D2305"/>
    <w:rsid w:val="004F6EFD"/>
    <w:rsid w:val="005030A3"/>
    <w:rsid w:val="005145E5"/>
    <w:rsid w:val="00517AA0"/>
    <w:rsid w:val="005408D9"/>
    <w:rsid w:val="00540D7A"/>
    <w:rsid w:val="00555FFF"/>
    <w:rsid w:val="00592A5B"/>
    <w:rsid w:val="005A31ED"/>
    <w:rsid w:val="005C1815"/>
    <w:rsid w:val="005C6313"/>
    <w:rsid w:val="005D2FFA"/>
    <w:rsid w:val="005E2910"/>
    <w:rsid w:val="005F48D6"/>
    <w:rsid w:val="00605A58"/>
    <w:rsid w:val="00616068"/>
    <w:rsid w:val="0062169D"/>
    <w:rsid w:val="0068296F"/>
    <w:rsid w:val="00693602"/>
    <w:rsid w:val="006A05F1"/>
    <w:rsid w:val="006B08EE"/>
    <w:rsid w:val="006F6654"/>
    <w:rsid w:val="006F6710"/>
    <w:rsid w:val="00734F94"/>
    <w:rsid w:val="00764C6D"/>
    <w:rsid w:val="007650ED"/>
    <w:rsid w:val="00772414"/>
    <w:rsid w:val="007A2AE6"/>
    <w:rsid w:val="007A2E12"/>
    <w:rsid w:val="007A6684"/>
    <w:rsid w:val="008124DA"/>
    <w:rsid w:val="00822CFC"/>
    <w:rsid w:val="008455DE"/>
    <w:rsid w:val="00870112"/>
    <w:rsid w:val="008851AB"/>
    <w:rsid w:val="008857C0"/>
    <w:rsid w:val="0089263D"/>
    <w:rsid w:val="00896617"/>
    <w:rsid w:val="008D397C"/>
    <w:rsid w:val="008E4FF4"/>
    <w:rsid w:val="008F17B2"/>
    <w:rsid w:val="008F5004"/>
    <w:rsid w:val="00900DE7"/>
    <w:rsid w:val="0091507F"/>
    <w:rsid w:val="00976EA7"/>
    <w:rsid w:val="00986CFE"/>
    <w:rsid w:val="0099508E"/>
    <w:rsid w:val="00A01F69"/>
    <w:rsid w:val="00A74249"/>
    <w:rsid w:val="00AF0F63"/>
    <w:rsid w:val="00B14DE5"/>
    <w:rsid w:val="00B27C08"/>
    <w:rsid w:val="00B32657"/>
    <w:rsid w:val="00B70287"/>
    <w:rsid w:val="00B71894"/>
    <w:rsid w:val="00B8658A"/>
    <w:rsid w:val="00BA212E"/>
    <w:rsid w:val="00BA2F04"/>
    <w:rsid w:val="00BA7355"/>
    <w:rsid w:val="00BB2BAF"/>
    <w:rsid w:val="00BC7F04"/>
    <w:rsid w:val="00BE3639"/>
    <w:rsid w:val="00C02778"/>
    <w:rsid w:val="00C03539"/>
    <w:rsid w:val="00C07C9B"/>
    <w:rsid w:val="00C16CED"/>
    <w:rsid w:val="00C201CD"/>
    <w:rsid w:val="00C23D53"/>
    <w:rsid w:val="00C54412"/>
    <w:rsid w:val="00C9267F"/>
    <w:rsid w:val="00C94404"/>
    <w:rsid w:val="00CC4F0B"/>
    <w:rsid w:val="00CC5D6B"/>
    <w:rsid w:val="00CC7D6F"/>
    <w:rsid w:val="00CF5989"/>
    <w:rsid w:val="00CF65A8"/>
    <w:rsid w:val="00D00452"/>
    <w:rsid w:val="00D05EC1"/>
    <w:rsid w:val="00D310D4"/>
    <w:rsid w:val="00D45BEC"/>
    <w:rsid w:val="00D641EE"/>
    <w:rsid w:val="00D714C8"/>
    <w:rsid w:val="00D96D92"/>
    <w:rsid w:val="00DD6D04"/>
    <w:rsid w:val="00DE011E"/>
    <w:rsid w:val="00E03D84"/>
    <w:rsid w:val="00E06E52"/>
    <w:rsid w:val="00E07E7C"/>
    <w:rsid w:val="00E14815"/>
    <w:rsid w:val="00E17731"/>
    <w:rsid w:val="00E700B2"/>
    <w:rsid w:val="00E74409"/>
    <w:rsid w:val="00E90A7B"/>
    <w:rsid w:val="00E94339"/>
    <w:rsid w:val="00E97557"/>
    <w:rsid w:val="00EA781A"/>
    <w:rsid w:val="00EB180B"/>
    <w:rsid w:val="00EC0DEC"/>
    <w:rsid w:val="00ED6FC0"/>
    <w:rsid w:val="00EF4EFA"/>
    <w:rsid w:val="00EF68ED"/>
    <w:rsid w:val="00F05E20"/>
    <w:rsid w:val="00F14796"/>
    <w:rsid w:val="00F373A6"/>
    <w:rsid w:val="00F56A51"/>
    <w:rsid w:val="00F64D77"/>
    <w:rsid w:val="00F860E1"/>
    <w:rsid w:val="00FE3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87"/>
    <w:pPr>
      <w:ind w:firstLineChars="200" w:firstLine="420"/>
    </w:pPr>
  </w:style>
  <w:style w:type="paragraph" w:customStyle="1" w:styleId="s6">
    <w:name w:val="s6"/>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8">
    <w:name w:val="s18"/>
    <w:basedOn w:val="a"/>
    <w:rsid w:val="00CF5989"/>
    <w:pPr>
      <w:widowControl/>
      <w:spacing w:before="100" w:beforeAutospacing="1" w:after="100" w:afterAutospacing="1"/>
      <w:jc w:val="left"/>
    </w:pPr>
    <w:rPr>
      <w:rFonts w:ascii="宋体" w:eastAsia="宋体" w:hAnsi="宋体" w:cs="宋体"/>
      <w:kern w:val="0"/>
      <w:sz w:val="24"/>
      <w:szCs w:val="24"/>
    </w:rPr>
  </w:style>
  <w:style w:type="paragraph" w:customStyle="1" w:styleId="s17">
    <w:name w:val="s17"/>
    <w:basedOn w:val="a"/>
    <w:rsid w:val="00CF598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B111F"/>
    <w:rPr>
      <w:color w:val="0563C1" w:themeColor="hyperlink"/>
      <w:u w:val="single"/>
    </w:rPr>
  </w:style>
  <w:style w:type="paragraph" w:styleId="a5">
    <w:name w:val="header"/>
    <w:basedOn w:val="a"/>
    <w:link w:val="Char"/>
    <w:uiPriority w:val="99"/>
    <w:unhideWhenUsed/>
    <w:rsid w:val="00D45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5BEC"/>
    <w:rPr>
      <w:sz w:val="18"/>
      <w:szCs w:val="18"/>
    </w:rPr>
  </w:style>
  <w:style w:type="paragraph" w:styleId="a6">
    <w:name w:val="footer"/>
    <w:basedOn w:val="a"/>
    <w:link w:val="Char0"/>
    <w:uiPriority w:val="99"/>
    <w:unhideWhenUsed/>
    <w:rsid w:val="00D45BEC"/>
    <w:pPr>
      <w:tabs>
        <w:tab w:val="center" w:pos="4153"/>
        <w:tab w:val="right" w:pos="8306"/>
      </w:tabs>
      <w:snapToGrid w:val="0"/>
      <w:jc w:val="left"/>
    </w:pPr>
    <w:rPr>
      <w:sz w:val="18"/>
      <w:szCs w:val="18"/>
    </w:rPr>
  </w:style>
  <w:style w:type="character" w:customStyle="1" w:styleId="Char0">
    <w:name w:val="页脚 Char"/>
    <w:basedOn w:val="a0"/>
    <w:link w:val="a6"/>
    <w:uiPriority w:val="99"/>
    <w:rsid w:val="00D45BEC"/>
    <w:rPr>
      <w:sz w:val="18"/>
      <w:szCs w:val="18"/>
    </w:rPr>
  </w:style>
  <w:style w:type="paragraph" w:styleId="a7">
    <w:name w:val="Balloon Text"/>
    <w:basedOn w:val="a"/>
    <w:link w:val="Char1"/>
    <w:uiPriority w:val="99"/>
    <w:semiHidden/>
    <w:unhideWhenUsed/>
    <w:rsid w:val="007A2AE6"/>
    <w:rPr>
      <w:sz w:val="18"/>
      <w:szCs w:val="18"/>
    </w:rPr>
  </w:style>
  <w:style w:type="character" w:customStyle="1" w:styleId="Char1">
    <w:name w:val="批注框文本 Char"/>
    <w:basedOn w:val="a0"/>
    <w:link w:val="a7"/>
    <w:uiPriority w:val="99"/>
    <w:semiHidden/>
    <w:rsid w:val="007A2AE6"/>
    <w:rPr>
      <w:sz w:val="18"/>
      <w:szCs w:val="18"/>
    </w:rPr>
  </w:style>
  <w:style w:type="paragraph" w:styleId="a8">
    <w:name w:val="Revision"/>
    <w:hidden/>
    <w:uiPriority w:val="99"/>
    <w:semiHidden/>
    <w:rsid w:val="00015A1F"/>
  </w:style>
</w:styles>
</file>

<file path=word/webSettings.xml><?xml version="1.0" encoding="utf-8"?>
<w:webSettings xmlns:r="http://schemas.openxmlformats.org/officeDocument/2006/relationships" xmlns:w="http://schemas.openxmlformats.org/wordprocessingml/2006/main">
  <w:divs>
    <w:div w:id="144518212">
      <w:bodyDiv w:val="1"/>
      <w:marLeft w:val="0"/>
      <w:marRight w:val="0"/>
      <w:marTop w:val="0"/>
      <w:marBottom w:val="0"/>
      <w:divBdr>
        <w:top w:val="none" w:sz="0" w:space="0" w:color="auto"/>
        <w:left w:val="none" w:sz="0" w:space="0" w:color="auto"/>
        <w:bottom w:val="none" w:sz="0" w:space="0" w:color="auto"/>
        <w:right w:val="none" w:sz="0" w:space="0" w:color="auto"/>
      </w:divBdr>
    </w:div>
    <w:div w:id="145630451">
      <w:bodyDiv w:val="1"/>
      <w:marLeft w:val="0"/>
      <w:marRight w:val="0"/>
      <w:marTop w:val="0"/>
      <w:marBottom w:val="0"/>
      <w:divBdr>
        <w:top w:val="none" w:sz="0" w:space="0" w:color="auto"/>
        <w:left w:val="none" w:sz="0" w:space="0" w:color="auto"/>
        <w:bottom w:val="none" w:sz="0" w:space="0" w:color="auto"/>
        <w:right w:val="none" w:sz="0" w:space="0" w:color="auto"/>
      </w:divBdr>
    </w:div>
    <w:div w:id="178005002">
      <w:bodyDiv w:val="1"/>
      <w:marLeft w:val="0"/>
      <w:marRight w:val="0"/>
      <w:marTop w:val="0"/>
      <w:marBottom w:val="0"/>
      <w:divBdr>
        <w:top w:val="none" w:sz="0" w:space="0" w:color="auto"/>
        <w:left w:val="none" w:sz="0" w:space="0" w:color="auto"/>
        <w:bottom w:val="none" w:sz="0" w:space="0" w:color="auto"/>
        <w:right w:val="none" w:sz="0" w:space="0" w:color="auto"/>
      </w:divBdr>
    </w:div>
    <w:div w:id="187178127">
      <w:bodyDiv w:val="1"/>
      <w:marLeft w:val="0"/>
      <w:marRight w:val="0"/>
      <w:marTop w:val="0"/>
      <w:marBottom w:val="0"/>
      <w:divBdr>
        <w:top w:val="none" w:sz="0" w:space="0" w:color="auto"/>
        <w:left w:val="none" w:sz="0" w:space="0" w:color="auto"/>
        <w:bottom w:val="none" w:sz="0" w:space="0" w:color="auto"/>
        <w:right w:val="none" w:sz="0" w:space="0" w:color="auto"/>
      </w:divBdr>
    </w:div>
    <w:div w:id="273752701">
      <w:bodyDiv w:val="1"/>
      <w:marLeft w:val="0"/>
      <w:marRight w:val="0"/>
      <w:marTop w:val="0"/>
      <w:marBottom w:val="0"/>
      <w:divBdr>
        <w:top w:val="none" w:sz="0" w:space="0" w:color="auto"/>
        <w:left w:val="none" w:sz="0" w:space="0" w:color="auto"/>
        <w:bottom w:val="none" w:sz="0" w:space="0" w:color="auto"/>
        <w:right w:val="none" w:sz="0" w:space="0" w:color="auto"/>
      </w:divBdr>
    </w:div>
    <w:div w:id="386688397">
      <w:bodyDiv w:val="1"/>
      <w:marLeft w:val="0"/>
      <w:marRight w:val="0"/>
      <w:marTop w:val="0"/>
      <w:marBottom w:val="0"/>
      <w:divBdr>
        <w:top w:val="none" w:sz="0" w:space="0" w:color="auto"/>
        <w:left w:val="none" w:sz="0" w:space="0" w:color="auto"/>
        <w:bottom w:val="none" w:sz="0" w:space="0" w:color="auto"/>
        <w:right w:val="none" w:sz="0" w:space="0" w:color="auto"/>
      </w:divBdr>
    </w:div>
    <w:div w:id="638846701">
      <w:bodyDiv w:val="1"/>
      <w:marLeft w:val="0"/>
      <w:marRight w:val="0"/>
      <w:marTop w:val="0"/>
      <w:marBottom w:val="0"/>
      <w:divBdr>
        <w:top w:val="none" w:sz="0" w:space="0" w:color="auto"/>
        <w:left w:val="none" w:sz="0" w:space="0" w:color="auto"/>
        <w:bottom w:val="none" w:sz="0" w:space="0" w:color="auto"/>
        <w:right w:val="none" w:sz="0" w:space="0" w:color="auto"/>
      </w:divBdr>
    </w:div>
    <w:div w:id="859120728">
      <w:bodyDiv w:val="1"/>
      <w:marLeft w:val="0"/>
      <w:marRight w:val="0"/>
      <w:marTop w:val="0"/>
      <w:marBottom w:val="0"/>
      <w:divBdr>
        <w:top w:val="none" w:sz="0" w:space="0" w:color="auto"/>
        <w:left w:val="none" w:sz="0" w:space="0" w:color="auto"/>
        <w:bottom w:val="none" w:sz="0" w:space="0" w:color="auto"/>
        <w:right w:val="none" w:sz="0" w:space="0" w:color="auto"/>
      </w:divBdr>
    </w:div>
    <w:div w:id="934291627">
      <w:bodyDiv w:val="1"/>
      <w:marLeft w:val="0"/>
      <w:marRight w:val="0"/>
      <w:marTop w:val="0"/>
      <w:marBottom w:val="0"/>
      <w:divBdr>
        <w:top w:val="none" w:sz="0" w:space="0" w:color="auto"/>
        <w:left w:val="none" w:sz="0" w:space="0" w:color="auto"/>
        <w:bottom w:val="none" w:sz="0" w:space="0" w:color="auto"/>
        <w:right w:val="none" w:sz="0" w:space="0" w:color="auto"/>
      </w:divBdr>
    </w:div>
    <w:div w:id="1313680047">
      <w:bodyDiv w:val="1"/>
      <w:marLeft w:val="0"/>
      <w:marRight w:val="0"/>
      <w:marTop w:val="0"/>
      <w:marBottom w:val="0"/>
      <w:divBdr>
        <w:top w:val="none" w:sz="0" w:space="0" w:color="auto"/>
        <w:left w:val="none" w:sz="0" w:space="0" w:color="auto"/>
        <w:bottom w:val="none" w:sz="0" w:space="0" w:color="auto"/>
        <w:right w:val="none" w:sz="0" w:space="0" w:color="auto"/>
      </w:divBdr>
    </w:div>
    <w:div w:id="1331182380">
      <w:bodyDiv w:val="1"/>
      <w:marLeft w:val="0"/>
      <w:marRight w:val="0"/>
      <w:marTop w:val="0"/>
      <w:marBottom w:val="0"/>
      <w:divBdr>
        <w:top w:val="none" w:sz="0" w:space="0" w:color="auto"/>
        <w:left w:val="none" w:sz="0" w:space="0" w:color="auto"/>
        <w:bottom w:val="none" w:sz="0" w:space="0" w:color="auto"/>
        <w:right w:val="none" w:sz="0" w:space="0" w:color="auto"/>
      </w:divBdr>
    </w:div>
    <w:div w:id="1397706644">
      <w:bodyDiv w:val="1"/>
      <w:marLeft w:val="0"/>
      <w:marRight w:val="0"/>
      <w:marTop w:val="0"/>
      <w:marBottom w:val="0"/>
      <w:divBdr>
        <w:top w:val="none" w:sz="0" w:space="0" w:color="auto"/>
        <w:left w:val="none" w:sz="0" w:space="0" w:color="auto"/>
        <w:bottom w:val="none" w:sz="0" w:space="0" w:color="auto"/>
        <w:right w:val="none" w:sz="0" w:space="0" w:color="auto"/>
      </w:divBdr>
    </w:div>
    <w:div w:id="21051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938F-E24A-44FD-A995-5981409C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2870</Characters>
  <Application>Microsoft Office Word</Application>
  <DocSecurity>4</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赵璧倩</dc:creator>
  <cp:keywords/>
  <dc:description/>
  <cp:lastModifiedBy>ZHONGM</cp:lastModifiedBy>
  <cp:revision>2</cp:revision>
  <dcterms:created xsi:type="dcterms:W3CDTF">2024-02-29T16:01:00Z</dcterms:created>
  <dcterms:modified xsi:type="dcterms:W3CDTF">2024-02-29T16:01:00Z</dcterms:modified>
</cp:coreProperties>
</file>