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54" w:rsidRDefault="006D1313">
      <w:pPr>
        <w:widowControl/>
        <w:snapToGrid w:val="0"/>
        <w:spacing w:line="440" w:lineRule="exact"/>
        <w:jc w:val="center"/>
        <w:rPr>
          <w:rFonts w:ascii="宋体" w:hAnsi="宋体"/>
          <w:b/>
          <w:kern w:val="0"/>
          <w:sz w:val="30"/>
          <w:szCs w:val="30"/>
        </w:rPr>
      </w:pPr>
      <w:r>
        <w:rPr>
          <w:rFonts w:ascii="宋体" w:hAnsi="宋体" w:hint="eastAsia"/>
          <w:b/>
          <w:kern w:val="0"/>
          <w:sz w:val="30"/>
          <w:szCs w:val="30"/>
        </w:rPr>
        <w:t>富国基金管理有限公司</w:t>
      </w:r>
      <w:r w:rsidR="00160F1C">
        <w:rPr>
          <w:rFonts w:ascii="宋体" w:hAnsi="宋体" w:hint="eastAsia"/>
          <w:b/>
          <w:kern w:val="0"/>
          <w:sz w:val="30"/>
          <w:szCs w:val="30"/>
        </w:rPr>
        <w:t>关于指定证券投资基金主流动性服务商的公告</w:t>
      </w:r>
    </w:p>
    <w:p w:rsidR="00DD0654" w:rsidRDefault="00DD0654">
      <w:pPr>
        <w:widowControl/>
        <w:snapToGrid w:val="0"/>
        <w:spacing w:line="440" w:lineRule="exact"/>
        <w:ind w:firstLine="600"/>
        <w:jc w:val="center"/>
        <w:rPr>
          <w:rFonts w:ascii="宋体" w:hAnsi="宋体"/>
          <w:kern w:val="0"/>
          <w:sz w:val="30"/>
          <w:szCs w:val="30"/>
        </w:rPr>
      </w:pPr>
    </w:p>
    <w:p w:rsidR="00DD0654" w:rsidRDefault="00160F1C">
      <w:pPr>
        <w:spacing w:line="440" w:lineRule="exact"/>
        <w:ind w:firstLine="420"/>
        <w:rPr>
          <w:rFonts w:ascii="宋体" w:hAnsi="宋体"/>
          <w:szCs w:val="21"/>
        </w:rPr>
      </w:pPr>
      <w:r>
        <w:rPr>
          <w:rFonts w:ascii="宋体" w:hAnsi="宋体" w:hint="eastAsia"/>
          <w:szCs w:val="21"/>
        </w:rPr>
        <w:t>根据《深圳证券交易所证券投资基金业务指引第2号——流动性服务》等有关规定，自</w:t>
      </w:r>
      <w:r w:rsidR="001E6B68">
        <w:rPr>
          <w:rFonts w:ascii="宋体" w:hAnsi="宋体" w:hint="eastAsia"/>
          <w:szCs w:val="21"/>
        </w:rPr>
        <w:t>2024</w:t>
      </w:r>
      <w:r>
        <w:rPr>
          <w:rFonts w:ascii="宋体" w:hAnsi="宋体" w:hint="eastAsia"/>
          <w:szCs w:val="21"/>
        </w:rPr>
        <w:t>年</w:t>
      </w:r>
      <w:r w:rsidR="00457CE0">
        <w:rPr>
          <w:rFonts w:ascii="宋体" w:hAnsi="宋体"/>
          <w:szCs w:val="21"/>
        </w:rPr>
        <w:t>3</w:t>
      </w:r>
      <w:r>
        <w:rPr>
          <w:rFonts w:ascii="宋体" w:hAnsi="宋体" w:hint="eastAsia"/>
          <w:szCs w:val="21"/>
        </w:rPr>
        <w:t>月</w:t>
      </w:r>
      <w:r w:rsidR="00457CE0">
        <w:rPr>
          <w:rFonts w:ascii="宋体" w:hAnsi="宋体" w:hint="eastAsia"/>
          <w:szCs w:val="21"/>
        </w:rPr>
        <w:t>1</w:t>
      </w:r>
      <w:r>
        <w:rPr>
          <w:rFonts w:ascii="宋体" w:hAnsi="宋体" w:hint="eastAsia"/>
          <w:szCs w:val="21"/>
        </w:rPr>
        <w:t>日起，本公司指定下列流动性服务商为相关证券投资基金的主流动性服务商：</w:t>
      </w:r>
    </w:p>
    <w:p w:rsidR="00457CE0" w:rsidRDefault="00457CE0" w:rsidP="00457CE0">
      <w:pPr>
        <w:spacing w:line="440" w:lineRule="exact"/>
        <w:ind w:firstLineChars="200" w:firstLine="420"/>
        <w:rPr>
          <w:rFonts w:ascii="宋体" w:hAnsi="宋体"/>
          <w:szCs w:val="21"/>
        </w:rPr>
      </w:pPr>
      <w:r>
        <w:rPr>
          <w:rFonts w:ascii="宋体" w:hAnsi="宋体" w:hint="eastAsia"/>
          <w:szCs w:val="21"/>
        </w:rPr>
        <w:t>1、</w:t>
      </w:r>
      <w:r w:rsidRPr="00EE784B">
        <w:rPr>
          <w:rFonts w:ascii="宋体" w:hAnsi="宋体" w:hint="eastAsia"/>
          <w:szCs w:val="21"/>
        </w:rPr>
        <w:t>富国深证50交易型开放式指数证券投资基金</w:t>
      </w:r>
      <w:r>
        <w:rPr>
          <w:rFonts w:ascii="宋体" w:hAnsi="宋体" w:hint="eastAsia"/>
          <w:szCs w:val="21"/>
        </w:rPr>
        <w:t>（</w:t>
      </w:r>
      <w:r w:rsidRPr="00EE784B">
        <w:rPr>
          <w:rFonts w:ascii="宋体" w:hAnsi="宋体"/>
          <w:szCs w:val="21"/>
        </w:rPr>
        <w:t>159350</w:t>
      </w:r>
      <w:r>
        <w:rPr>
          <w:rFonts w:ascii="宋体" w:hAnsi="宋体" w:hint="eastAsia"/>
          <w:szCs w:val="21"/>
        </w:rPr>
        <w:t>）：</w:t>
      </w:r>
    </w:p>
    <w:p w:rsidR="00457CE0" w:rsidRDefault="00457CE0" w:rsidP="00457CE0">
      <w:pPr>
        <w:spacing w:line="440" w:lineRule="exact"/>
        <w:rPr>
          <w:rFonts w:ascii="宋体" w:hAnsi="宋体"/>
          <w:szCs w:val="21"/>
        </w:rPr>
      </w:pPr>
      <w:r>
        <w:rPr>
          <w:rFonts w:ascii="宋体" w:hAnsi="宋体" w:hint="eastAsia"/>
          <w:szCs w:val="21"/>
        </w:rPr>
        <w:t xml:space="preserve">      </w:t>
      </w:r>
      <w:r w:rsidRPr="00EE784B">
        <w:rPr>
          <w:rFonts w:ascii="宋体" w:hAnsi="宋体" w:hint="eastAsia"/>
          <w:szCs w:val="21"/>
        </w:rPr>
        <w:t>招商证券股份有限公司</w:t>
      </w:r>
    </w:p>
    <w:p w:rsidR="00457CE0" w:rsidRDefault="00457CE0" w:rsidP="00457CE0">
      <w:pPr>
        <w:spacing w:line="440" w:lineRule="exact"/>
        <w:ind w:firstLineChars="200" w:firstLine="420"/>
        <w:rPr>
          <w:rFonts w:ascii="宋体" w:hAnsi="宋体"/>
          <w:szCs w:val="21"/>
        </w:rPr>
      </w:pPr>
      <w:r>
        <w:rPr>
          <w:rFonts w:ascii="宋体" w:hAnsi="宋体" w:hint="eastAsia"/>
          <w:szCs w:val="21"/>
        </w:rPr>
        <w:t>2、</w:t>
      </w:r>
      <w:r w:rsidRPr="00EE784B">
        <w:rPr>
          <w:rFonts w:ascii="宋体" w:hAnsi="宋体" w:hint="eastAsia"/>
          <w:szCs w:val="21"/>
        </w:rPr>
        <w:t>富国恒生港股通医疗保健交易型开放式指数证券投资基金</w:t>
      </w:r>
      <w:r>
        <w:rPr>
          <w:rFonts w:ascii="宋体" w:hAnsi="宋体" w:hint="eastAsia"/>
          <w:szCs w:val="21"/>
        </w:rPr>
        <w:t>（</w:t>
      </w:r>
      <w:r w:rsidRPr="00EE784B">
        <w:rPr>
          <w:rFonts w:ascii="宋体" w:hAnsi="宋体"/>
          <w:szCs w:val="21"/>
        </w:rPr>
        <w:t>159506</w:t>
      </w:r>
      <w:r>
        <w:rPr>
          <w:rFonts w:ascii="宋体" w:hAnsi="宋体" w:hint="eastAsia"/>
          <w:szCs w:val="21"/>
        </w:rPr>
        <w:t>）：</w:t>
      </w:r>
    </w:p>
    <w:p w:rsidR="00457CE0" w:rsidRDefault="00457CE0" w:rsidP="00457CE0">
      <w:pPr>
        <w:spacing w:line="440" w:lineRule="exact"/>
        <w:rPr>
          <w:rFonts w:ascii="宋体" w:hAnsi="宋体"/>
          <w:szCs w:val="21"/>
        </w:rPr>
      </w:pPr>
      <w:r>
        <w:rPr>
          <w:rFonts w:ascii="宋体" w:hAnsi="宋体" w:hint="eastAsia"/>
          <w:szCs w:val="21"/>
        </w:rPr>
        <w:t xml:space="preserve">      </w:t>
      </w:r>
      <w:r w:rsidRPr="00EE784B">
        <w:rPr>
          <w:rFonts w:ascii="宋体" w:hAnsi="宋体" w:hint="eastAsia"/>
          <w:szCs w:val="21"/>
        </w:rPr>
        <w:t>招商证券股份有限公司</w:t>
      </w:r>
    </w:p>
    <w:p w:rsidR="00457CE0" w:rsidRDefault="00457CE0" w:rsidP="00457CE0">
      <w:pPr>
        <w:spacing w:line="440" w:lineRule="exact"/>
        <w:ind w:firstLineChars="200" w:firstLine="420"/>
        <w:rPr>
          <w:rFonts w:ascii="宋体" w:hAnsi="宋体"/>
          <w:szCs w:val="21"/>
        </w:rPr>
      </w:pPr>
      <w:r>
        <w:rPr>
          <w:rFonts w:ascii="宋体" w:hAnsi="宋体" w:hint="eastAsia"/>
          <w:szCs w:val="21"/>
        </w:rPr>
        <w:t>3、</w:t>
      </w:r>
      <w:r w:rsidRPr="004408AD">
        <w:rPr>
          <w:rFonts w:ascii="宋体" w:hAnsi="宋体" w:hint="eastAsia"/>
          <w:szCs w:val="21"/>
        </w:rPr>
        <w:t>富国中证1000交易型开放式指数证券投资基金</w:t>
      </w:r>
      <w:r>
        <w:rPr>
          <w:rFonts w:ascii="宋体" w:hAnsi="宋体" w:hint="eastAsia"/>
          <w:szCs w:val="21"/>
        </w:rPr>
        <w:t>（</w:t>
      </w:r>
      <w:r w:rsidRPr="004408AD">
        <w:rPr>
          <w:rFonts w:ascii="宋体" w:hAnsi="宋体"/>
          <w:szCs w:val="21"/>
        </w:rPr>
        <w:t>159629</w:t>
      </w:r>
      <w:r>
        <w:rPr>
          <w:rFonts w:ascii="宋体" w:hAnsi="宋体"/>
          <w:szCs w:val="21"/>
        </w:rPr>
        <w:t>）：</w:t>
      </w:r>
    </w:p>
    <w:p w:rsidR="00457CE0" w:rsidRDefault="00457CE0" w:rsidP="00457CE0">
      <w:pPr>
        <w:spacing w:line="440" w:lineRule="exact"/>
        <w:ind w:firstLineChars="200" w:firstLine="420"/>
        <w:rPr>
          <w:rFonts w:ascii="宋体" w:hAnsi="宋体"/>
          <w:szCs w:val="21"/>
        </w:rPr>
      </w:pPr>
      <w:r>
        <w:rPr>
          <w:rFonts w:ascii="宋体" w:hAnsi="宋体" w:hint="eastAsia"/>
          <w:szCs w:val="21"/>
        </w:rPr>
        <w:t xml:space="preserve"> </w:t>
      </w:r>
      <w:r>
        <w:rPr>
          <w:rFonts w:ascii="宋体" w:hAnsi="宋体"/>
          <w:szCs w:val="21"/>
        </w:rPr>
        <w:t xml:space="preserve"> </w:t>
      </w:r>
      <w:r w:rsidRPr="00EE784B">
        <w:rPr>
          <w:rFonts w:ascii="宋体" w:hAnsi="宋体" w:hint="eastAsia"/>
          <w:szCs w:val="21"/>
        </w:rPr>
        <w:t>招商证券股份有限公司</w:t>
      </w:r>
    </w:p>
    <w:p w:rsidR="00457CE0" w:rsidRDefault="00457CE0" w:rsidP="00457CE0">
      <w:pPr>
        <w:spacing w:line="440" w:lineRule="exact"/>
        <w:ind w:firstLineChars="200" w:firstLine="420"/>
        <w:rPr>
          <w:rFonts w:ascii="宋体" w:hAnsi="宋体"/>
          <w:szCs w:val="21"/>
        </w:rPr>
      </w:pPr>
      <w:r>
        <w:rPr>
          <w:rFonts w:ascii="宋体" w:hAnsi="宋体"/>
          <w:szCs w:val="21"/>
        </w:rPr>
        <w:t>4、</w:t>
      </w:r>
      <w:r w:rsidRPr="00EE784B">
        <w:rPr>
          <w:rFonts w:ascii="宋体" w:hAnsi="宋体" w:hint="eastAsia"/>
          <w:szCs w:val="21"/>
        </w:rPr>
        <w:t>富国中证稀土产业交易型开放式指数证券投资基金</w:t>
      </w:r>
      <w:r>
        <w:rPr>
          <w:rFonts w:ascii="宋体" w:hAnsi="宋体" w:hint="eastAsia"/>
          <w:szCs w:val="21"/>
        </w:rPr>
        <w:t>（</w:t>
      </w:r>
      <w:r w:rsidRPr="00EE784B">
        <w:rPr>
          <w:rFonts w:ascii="宋体" w:hAnsi="宋体"/>
          <w:szCs w:val="21"/>
        </w:rPr>
        <w:t>159713</w:t>
      </w:r>
      <w:r>
        <w:rPr>
          <w:rFonts w:ascii="宋体" w:hAnsi="宋体"/>
          <w:szCs w:val="21"/>
        </w:rPr>
        <w:t>）：</w:t>
      </w:r>
    </w:p>
    <w:p w:rsidR="00457CE0" w:rsidRDefault="00457CE0" w:rsidP="00457CE0">
      <w:pPr>
        <w:spacing w:line="440" w:lineRule="exact"/>
        <w:ind w:firstLineChars="200" w:firstLine="420"/>
        <w:rPr>
          <w:rFonts w:ascii="宋体" w:hAnsi="宋体"/>
          <w:szCs w:val="21"/>
        </w:rPr>
      </w:pPr>
      <w:r>
        <w:rPr>
          <w:rFonts w:ascii="宋体" w:hAnsi="宋体" w:hint="eastAsia"/>
          <w:szCs w:val="21"/>
        </w:rPr>
        <w:t xml:space="preserve"> </w:t>
      </w:r>
      <w:r>
        <w:rPr>
          <w:rFonts w:ascii="宋体" w:hAnsi="宋体"/>
          <w:szCs w:val="21"/>
        </w:rPr>
        <w:t xml:space="preserve"> </w:t>
      </w:r>
      <w:r w:rsidRPr="00EE784B">
        <w:rPr>
          <w:rFonts w:ascii="宋体" w:hAnsi="宋体" w:hint="eastAsia"/>
          <w:szCs w:val="21"/>
        </w:rPr>
        <w:t>招商证券股份有限公司</w:t>
      </w:r>
    </w:p>
    <w:p w:rsidR="00457CE0" w:rsidRDefault="00457CE0" w:rsidP="00457CE0">
      <w:pPr>
        <w:spacing w:line="440" w:lineRule="exact"/>
        <w:ind w:firstLine="420"/>
        <w:rPr>
          <w:rFonts w:ascii="宋体" w:hAnsi="宋体"/>
          <w:szCs w:val="21"/>
        </w:rPr>
      </w:pPr>
      <w:r>
        <w:rPr>
          <w:rFonts w:ascii="宋体" w:hAnsi="宋体"/>
          <w:szCs w:val="21"/>
        </w:rPr>
        <w:t>5、</w:t>
      </w:r>
      <w:r w:rsidRPr="00EE784B">
        <w:rPr>
          <w:rFonts w:ascii="宋体" w:hAnsi="宋体" w:hint="eastAsia"/>
          <w:szCs w:val="21"/>
        </w:rPr>
        <w:t>富国中证沪港深创新药产业交易型开放式指数证券投资基金</w:t>
      </w:r>
      <w:r>
        <w:rPr>
          <w:rFonts w:ascii="宋体" w:hAnsi="宋体" w:hint="eastAsia"/>
          <w:szCs w:val="21"/>
        </w:rPr>
        <w:t>（</w:t>
      </w:r>
      <w:r w:rsidRPr="00EE784B">
        <w:rPr>
          <w:rFonts w:ascii="宋体" w:hAnsi="宋体"/>
          <w:szCs w:val="21"/>
        </w:rPr>
        <w:t>159748</w:t>
      </w:r>
      <w:r>
        <w:rPr>
          <w:rFonts w:ascii="宋体" w:hAnsi="宋体"/>
          <w:szCs w:val="21"/>
        </w:rPr>
        <w:t>）：</w:t>
      </w:r>
    </w:p>
    <w:p w:rsidR="00457CE0" w:rsidRDefault="00457CE0" w:rsidP="00457CE0">
      <w:pPr>
        <w:spacing w:line="440" w:lineRule="exact"/>
        <w:ind w:firstLine="420"/>
        <w:rPr>
          <w:rFonts w:ascii="宋体" w:hAnsi="宋体"/>
          <w:szCs w:val="21"/>
        </w:rPr>
      </w:pPr>
      <w:r>
        <w:rPr>
          <w:rFonts w:ascii="宋体" w:hAnsi="宋体"/>
          <w:szCs w:val="21"/>
        </w:rPr>
        <w:t xml:space="preserve">  </w:t>
      </w:r>
      <w:r w:rsidRPr="00EE784B">
        <w:rPr>
          <w:rFonts w:ascii="宋体" w:hAnsi="宋体" w:hint="eastAsia"/>
          <w:szCs w:val="21"/>
        </w:rPr>
        <w:t>招商证券股份有限公司</w:t>
      </w:r>
    </w:p>
    <w:p w:rsidR="00457CE0" w:rsidRDefault="00457CE0" w:rsidP="00457CE0">
      <w:pPr>
        <w:spacing w:line="440" w:lineRule="exact"/>
        <w:ind w:firstLine="420"/>
        <w:rPr>
          <w:rFonts w:ascii="宋体" w:hAnsi="宋体"/>
          <w:szCs w:val="21"/>
        </w:rPr>
      </w:pPr>
      <w:r>
        <w:rPr>
          <w:rFonts w:ascii="宋体" w:hAnsi="宋体"/>
          <w:szCs w:val="21"/>
        </w:rPr>
        <w:t>6、</w:t>
      </w:r>
      <w:r w:rsidRPr="004408AD">
        <w:rPr>
          <w:rFonts w:ascii="宋体" w:hAnsi="宋体" w:hint="eastAsia"/>
          <w:szCs w:val="21"/>
        </w:rPr>
        <w:t>富国中证港股通互联网交易型开放式指数证券投资基金</w:t>
      </w:r>
      <w:r>
        <w:rPr>
          <w:rFonts w:ascii="宋体" w:hAnsi="宋体" w:hint="eastAsia"/>
          <w:szCs w:val="21"/>
        </w:rPr>
        <w:t>（</w:t>
      </w:r>
      <w:r w:rsidRPr="004408AD">
        <w:rPr>
          <w:rFonts w:ascii="宋体" w:hAnsi="宋体"/>
          <w:szCs w:val="21"/>
        </w:rPr>
        <w:t>159792</w:t>
      </w:r>
      <w:r>
        <w:rPr>
          <w:rFonts w:ascii="宋体" w:hAnsi="宋体"/>
          <w:szCs w:val="21"/>
        </w:rPr>
        <w:t>）：</w:t>
      </w:r>
    </w:p>
    <w:p w:rsidR="00457CE0" w:rsidRDefault="00457CE0" w:rsidP="00457CE0">
      <w:pPr>
        <w:spacing w:line="440" w:lineRule="exact"/>
        <w:ind w:firstLineChars="300" w:firstLine="630"/>
        <w:rPr>
          <w:rFonts w:ascii="宋体" w:hAnsi="宋体"/>
          <w:szCs w:val="21"/>
        </w:rPr>
      </w:pPr>
      <w:r w:rsidRPr="00EE784B">
        <w:rPr>
          <w:rFonts w:ascii="宋体" w:hAnsi="宋体" w:hint="eastAsia"/>
          <w:szCs w:val="21"/>
        </w:rPr>
        <w:t>申万宏源证券有限公司</w:t>
      </w:r>
    </w:p>
    <w:p w:rsidR="00457CE0" w:rsidRDefault="00457CE0" w:rsidP="00457CE0">
      <w:pPr>
        <w:spacing w:line="440" w:lineRule="exact"/>
        <w:ind w:firstLine="420"/>
        <w:rPr>
          <w:rFonts w:ascii="宋体" w:hAnsi="宋体"/>
          <w:szCs w:val="21"/>
        </w:rPr>
      </w:pPr>
      <w:r>
        <w:rPr>
          <w:rFonts w:ascii="宋体" w:hAnsi="宋体"/>
          <w:szCs w:val="21"/>
        </w:rPr>
        <w:t>7、</w:t>
      </w:r>
      <w:r w:rsidRPr="00EE784B">
        <w:rPr>
          <w:rFonts w:ascii="宋体" w:hAnsi="宋体" w:hint="eastAsia"/>
          <w:szCs w:val="21"/>
        </w:rPr>
        <w:t>富国中证细分机械设备产业主题交易型开放式指数证券投资基金</w:t>
      </w:r>
      <w:r>
        <w:rPr>
          <w:rFonts w:ascii="宋体" w:hAnsi="宋体" w:hint="eastAsia"/>
          <w:szCs w:val="21"/>
        </w:rPr>
        <w:t>（</w:t>
      </w:r>
      <w:r>
        <w:rPr>
          <w:rFonts w:ascii="宋体" w:hAnsi="宋体"/>
          <w:szCs w:val="21"/>
        </w:rPr>
        <w:t>159886）：</w:t>
      </w:r>
    </w:p>
    <w:p w:rsidR="00457CE0" w:rsidRDefault="00457CE0" w:rsidP="00457CE0">
      <w:pPr>
        <w:spacing w:line="440" w:lineRule="exact"/>
        <w:ind w:firstLineChars="300" w:firstLine="630"/>
        <w:rPr>
          <w:rFonts w:ascii="宋体" w:hAnsi="宋体"/>
          <w:szCs w:val="21"/>
        </w:rPr>
      </w:pPr>
      <w:r w:rsidRPr="00EE784B">
        <w:rPr>
          <w:rFonts w:ascii="宋体" w:hAnsi="宋体" w:hint="eastAsia"/>
          <w:szCs w:val="21"/>
        </w:rPr>
        <w:t>招商证券股份有限公司</w:t>
      </w:r>
    </w:p>
    <w:p w:rsidR="00457CE0" w:rsidRDefault="00457CE0" w:rsidP="00457CE0">
      <w:pPr>
        <w:spacing w:line="440" w:lineRule="exact"/>
        <w:ind w:firstLine="420"/>
        <w:rPr>
          <w:rFonts w:ascii="宋体" w:hAnsi="宋体"/>
          <w:szCs w:val="21"/>
        </w:rPr>
      </w:pPr>
      <w:r>
        <w:rPr>
          <w:rFonts w:ascii="宋体" w:hAnsi="宋体"/>
          <w:szCs w:val="21"/>
        </w:rPr>
        <w:t>8、</w:t>
      </w:r>
      <w:r w:rsidRPr="004408AD">
        <w:rPr>
          <w:rFonts w:ascii="宋体" w:hAnsi="宋体" w:hint="eastAsia"/>
          <w:szCs w:val="21"/>
        </w:rPr>
        <w:t>富国中证800银行交易型开放式指数证券投资基金</w:t>
      </w:r>
      <w:r>
        <w:rPr>
          <w:rFonts w:ascii="宋体" w:hAnsi="宋体" w:hint="eastAsia"/>
          <w:szCs w:val="21"/>
        </w:rPr>
        <w:t>（</w:t>
      </w:r>
      <w:r w:rsidRPr="004408AD">
        <w:rPr>
          <w:rFonts w:ascii="宋体" w:hAnsi="宋体"/>
          <w:szCs w:val="21"/>
        </w:rPr>
        <w:t>159887</w:t>
      </w:r>
      <w:r>
        <w:rPr>
          <w:rFonts w:ascii="宋体" w:hAnsi="宋体"/>
          <w:szCs w:val="21"/>
        </w:rPr>
        <w:t>）：</w:t>
      </w:r>
    </w:p>
    <w:p w:rsidR="00457CE0" w:rsidRPr="004408AD" w:rsidRDefault="00457CE0" w:rsidP="00457CE0">
      <w:pPr>
        <w:spacing w:line="440" w:lineRule="exact"/>
        <w:ind w:firstLine="420"/>
        <w:rPr>
          <w:rFonts w:ascii="宋体" w:hAnsi="宋体"/>
          <w:szCs w:val="21"/>
        </w:rPr>
      </w:pPr>
      <w:r>
        <w:rPr>
          <w:rFonts w:ascii="宋体" w:hAnsi="宋体" w:hint="eastAsia"/>
          <w:szCs w:val="21"/>
        </w:rPr>
        <w:t xml:space="preserve"> </w:t>
      </w:r>
      <w:r>
        <w:rPr>
          <w:rFonts w:ascii="宋体" w:hAnsi="宋体"/>
          <w:szCs w:val="21"/>
        </w:rPr>
        <w:t xml:space="preserve"> </w:t>
      </w:r>
      <w:r w:rsidRPr="00EE784B">
        <w:rPr>
          <w:rFonts w:ascii="宋体" w:hAnsi="宋体" w:hint="eastAsia"/>
          <w:szCs w:val="21"/>
        </w:rPr>
        <w:t>招商证券股份有限公司</w:t>
      </w:r>
    </w:p>
    <w:p w:rsidR="001E6B68" w:rsidRDefault="001E6B68" w:rsidP="001E6B68">
      <w:pPr>
        <w:spacing w:line="440" w:lineRule="exact"/>
        <w:ind w:firstLine="420"/>
        <w:rPr>
          <w:rFonts w:ascii="宋体" w:hAnsi="宋体"/>
          <w:szCs w:val="21"/>
        </w:rPr>
      </w:pPr>
    </w:p>
    <w:p w:rsidR="001E6B68" w:rsidRDefault="001E6B68" w:rsidP="001E6B68">
      <w:pPr>
        <w:spacing w:line="440" w:lineRule="exact"/>
        <w:ind w:firstLine="420"/>
        <w:rPr>
          <w:rFonts w:ascii="宋体" w:hAnsi="宋体"/>
          <w:szCs w:val="21"/>
        </w:rPr>
      </w:pPr>
    </w:p>
    <w:p w:rsidR="00DD0654" w:rsidRDefault="00160F1C">
      <w:pPr>
        <w:spacing w:line="440" w:lineRule="exact"/>
        <w:ind w:firstLine="420"/>
        <w:jc w:val="left"/>
        <w:rPr>
          <w:rFonts w:ascii="宋体" w:hAnsi="宋体"/>
          <w:szCs w:val="21"/>
        </w:rPr>
      </w:pPr>
      <w:r>
        <w:rPr>
          <w:rFonts w:ascii="宋体" w:hAnsi="宋体" w:hint="eastAsia"/>
          <w:szCs w:val="21"/>
        </w:rPr>
        <w:t>特此公告。</w:t>
      </w:r>
    </w:p>
    <w:p w:rsidR="00DD0654" w:rsidRDefault="00160F1C">
      <w:pPr>
        <w:spacing w:line="440" w:lineRule="exact"/>
        <w:ind w:firstLine="420"/>
        <w:jc w:val="right"/>
        <w:rPr>
          <w:rFonts w:ascii="宋体" w:hAnsi="宋体"/>
          <w:szCs w:val="21"/>
        </w:rPr>
      </w:pPr>
      <w:r>
        <w:rPr>
          <w:rFonts w:ascii="宋体" w:hAnsi="宋体" w:hint="eastAsia"/>
          <w:szCs w:val="21"/>
        </w:rPr>
        <w:t xml:space="preserve"> </w:t>
      </w:r>
    </w:p>
    <w:p w:rsidR="00DD0654" w:rsidRDefault="001E6B68">
      <w:pPr>
        <w:spacing w:line="440" w:lineRule="exact"/>
        <w:ind w:firstLine="420"/>
        <w:jc w:val="right"/>
        <w:rPr>
          <w:rFonts w:ascii="宋体" w:hAnsi="宋体"/>
          <w:szCs w:val="21"/>
        </w:rPr>
      </w:pPr>
      <w:r>
        <w:rPr>
          <w:rFonts w:ascii="宋体" w:hAnsi="宋体" w:hint="eastAsia"/>
          <w:szCs w:val="21"/>
        </w:rPr>
        <w:t>富国</w:t>
      </w:r>
      <w:r w:rsidR="00160F1C">
        <w:rPr>
          <w:rFonts w:ascii="宋体" w:hAnsi="宋体" w:hint="eastAsia"/>
          <w:szCs w:val="21"/>
        </w:rPr>
        <w:t>基金管理有限公司</w:t>
      </w:r>
    </w:p>
    <w:p w:rsidR="00DD0654" w:rsidRDefault="001E6B68">
      <w:pPr>
        <w:spacing w:line="440" w:lineRule="exact"/>
        <w:ind w:firstLine="420"/>
        <w:jc w:val="right"/>
        <w:rPr>
          <w:rFonts w:ascii="宋体" w:hAnsi="宋体"/>
          <w:szCs w:val="21"/>
        </w:rPr>
      </w:pPr>
      <w:r>
        <w:rPr>
          <w:rFonts w:ascii="宋体" w:hAnsi="宋体" w:hint="eastAsia"/>
          <w:szCs w:val="21"/>
        </w:rPr>
        <w:t>2024</w:t>
      </w:r>
      <w:r w:rsidR="00160F1C">
        <w:rPr>
          <w:rFonts w:ascii="宋体" w:hAnsi="宋体" w:hint="eastAsia"/>
          <w:szCs w:val="21"/>
        </w:rPr>
        <w:t>年</w:t>
      </w:r>
      <w:r w:rsidR="00457CE0">
        <w:rPr>
          <w:rFonts w:ascii="宋体" w:hAnsi="宋体"/>
          <w:szCs w:val="21"/>
        </w:rPr>
        <w:t>3</w:t>
      </w:r>
      <w:r w:rsidR="00160F1C">
        <w:rPr>
          <w:rFonts w:ascii="宋体" w:hAnsi="宋体" w:hint="eastAsia"/>
          <w:szCs w:val="21"/>
        </w:rPr>
        <w:t>月</w:t>
      </w:r>
      <w:r w:rsidR="00457CE0">
        <w:rPr>
          <w:rFonts w:ascii="宋体" w:hAnsi="宋体"/>
          <w:szCs w:val="21"/>
        </w:rPr>
        <w:t>1</w:t>
      </w:r>
      <w:bookmarkStart w:id="0" w:name="_GoBack"/>
      <w:bookmarkEnd w:id="0"/>
      <w:r w:rsidR="00160F1C">
        <w:rPr>
          <w:rFonts w:ascii="宋体" w:hAnsi="宋体" w:hint="eastAsia"/>
          <w:szCs w:val="21"/>
        </w:rPr>
        <w:t>日</w:t>
      </w:r>
    </w:p>
    <w:p w:rsidR="00DD0654" w:rsidRDefault="00DD0654"/>
    <w:sectPr w:rsidR="00DD0654" w:rsidSect="00183A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6FB" w:rsidRDefault="00B236FB" w:rsidP="001E6B68">
      <w:r>
        <w:separator/>
      </w:r>
    </w:p>
  </w:endnote>
  <w:endnote w:type="continuationSeparator" w:id="0">
    <w:p w:rsidR="00B236FB" w:rsidRDefault="00B236FB" w:rsidP="001E6B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6FB" w:rsidRDefault="00B236FB" w:rsidP="001E6B68">
      <w:r>
        <w:separator/>
      </w:r>
    </w:p>
  </w:footnote>
  <w:footnote w:type="continuationSeparator" w:id="0">
    <w:p w:rsidR="00B236FB" w:rsidRDefault="00B236FB" w:rsidP="001E6B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DBDC7E"/>
    <w:multiLevelType w:val="singleLevel"/>
    <w:tmpl w:val="D6DBDC7E"/>
    <w:lvl w:ilvl="0">
      <w:start w:val="1"/>
      <w:numFmt w:val="decimal"/>
      <w:suff w:val="nothing"/>
      <w:lvlText w:val="%1、"/>
      <w:lvlJc w:val="left"/>
    </w:lvl>
  </w:abstractNum>
  <w:abstractNum w:abstractNumId="1">
    <w:nsid w:val="17E9F37E"/>
    <w:multiLevelType w:val="singleLevel"/>
    <w:tmpl w:val="17E9F37E"/>
    <w:lvl w:ilvl="0">
      <w:start w:val="1"/>
      <w:numFmt w:val="decimal"/>
      <w:pStyle w:val="1"/>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0654"/>
    <w:rsid w:val="00160F1C"/>
    <w:rsid w:val="00183A3E"/>
    <w:rsid w:val="001E6B68"/>
    <w:rsid w:val="00457CE0"/>
    <w:rsid w:val="006D1313"/>
    <w:rsid w:val="00A976F2"/>
    <w:rsid w:val="00B236FB"/>
    <w:rsid w:val="00BD4123"/>
    <w:rsid w:val="00DD0654"/>
    <w:rsid w:val="0EC15D17"/>
    <w:rsid w:val="26BA22AF"/>
    <w:rsid w:val="3E1D224B"/>
    <w:rsid w:val="547B4A8C"/>
    <w:rsid w:val="64B36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3A3E"/>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183A3E"/>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4"/>
    <w:next w:val="a"/>
    <w:qFormat/>
    <w:rsid w:val="00183A3E"/>
    <w:pPr>
      <w:numPr>
        <w:numId w:val="1"/>
      </w:numPr>
    </w:pPr>
    <w:rPr>
      <w:rFonts w:asciiTheme="minorHAnsi" w:hAnsiTheme="minorHAnsi"/>
      <w:sz w:val="24"/>
    </w:rPr>
  </w:style>
  <w:style w:type="paragraph" w:styleId="a3">
    <w:name w:val="header"/>
    <w:basedOn w:val="a"/>
    <w:link w:val="Char"/>
    <w:rsid w:val="001E6B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E6B68"/>
    <w:rPr>
      <w:rFonts w:ascii="Times New Roman" w:eastAsia="宋体" w:hAnsi="Times New Roman" w:cs="Times New Roman"/>
      <w:kern w:val="2"/>
      <w:sz w:val="18"/>
      <w:szCs w:val="18"/>
    </w:rPr>
  </w:style>
  <w:style w:type="paragraph" w:styleId="a4">
    <w:name w:val="footer"/>
    <w:basedOn w:val="a"/>
    <w:link w:val="Char0"/>
    <w:rsid w:val="001E6B68"/>
    <w:pPr>
      <w:tabs>
        <w:tab w:val="center" w:pos="4153"/>
        <w:tab w:val="right" w:pos="8306"/>
      </w:tabs>
      <w:snapToGrid w:val="0"/>
      <w:jc w:val="left"/>
    </w:pPr>
    <w:rPr>
      <w:sz w:val="18"/>
      <w:szCs w:val="18"/>
    </w:rPr>
  </w:style>
  <w:style w:type="character" w:customStyle="1" w:styleId="Char0">
    <w:name w:val="页脚 Char"/>
    <w:basedOn w:val="a0"/>
    <w:link w:val="a4"/>
    <w:rsid w:val="001E6B6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4</DocSecurity>
  <Lines>3</Lines>
  <Paragraphs>1</Paragraphs>
  <ScaleCrop>false</ScaleCrop>
  <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富国基金管理有限公司关于指定证券投资基金主流动性服务商的公告</dc:title>
  <dc:creator>yyli01.oth</dc:creator>
  <cp:lastModifiedBy>ZHONGM</cp:lastModifiedBy>
  <cp:revision>2</cp:revision>
  <dcterms:created xsi:type="dcterms:W3CDTF">2024-02-29T16:01:00Z</dcterms:created>
  <dcterms:modified xsi:type="dcterms:W3CDTF">2024-02-29T16:01:00Z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B00C3DA7780E49CFB28798986B20F482</vt:lpwstr>
  </property>
</Properties>
</file>