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9C" w:rsidRDefault="00FC439C">
      <w:pPr>
        <w:widowControl w:val="0"/>
        <w:jc w:val="both"/>
        <w:rPr>
          <w:lang w:eastAsia="zh-CN"/>
        </w:rPr>
      </w:pPr>
    </w:p>
    <w:p w:rsidR="00FC439C" w:rsidRDefault="00FC439C">
      <w:pPr>
        <w:widowControl w:val="0"/>
        <w:jc w:val="both"/>
      </w:pPr>
    </w:p>
    <w:p w:rsidR="00FC439C" w:rsidRDefault="00FC439C">
      <w:pPr>
        <w:widowControl w:val="0"/>
        <w:jc w:val="both"/>
      </w:pPr>
    </w:p>
    <w:p w:rsidR="00FC439C" w:rsidRDefault="00FC439C">
      <w:pPr>
        <w:widowControl w:val="0"/>
        <w:jc w:val="both"/>
      </w:pPr>
    </w:p>
    <w:p w:rsidR="00FC439C" w:rsidRDefault="00C0087C">
      <w:pPr>
        <w:widowControl w:val="0"/>
        <w:jc w:val="center"/>
        <w:rPr>
          <w:sz w:val="48"/>
          <w:szCs w:val="48"/>
          <w:lang w:eastAsia="zh-CN"/>
        </w:rPr>
      </w:pPr>
      <w:r>
        <w:rPr>
          <w:rFonts w:ascii="宋体" w:eastAsia="宋体" w:hAnsi="宋体" w:cs="宋体"/>
          <w:b/>
          <w:bCs/>
          <w:sz w:val="48"/>
          <w:szCs w:val="48"/>
          <w:lang w:eastAsia="zh-CN"/>
        </w:rPr>
        <w:t>鹏华兴泰定期开放灵活配置混合型证券投资基金开放申购、赎回和转换业务的公告</w:t>
      </w:r>
    </w:p>
    <w:p w:rsidR="00FC439C" w:rsidRDefault="00FC439C">
      <w:pPr>
        <w:widowControl w:val="0"/>
        <w:jc w:val="center"/>
        <w:rPr>
          <w:sz w:val="30"/>
          <w:szCs w:val="30"/>
          <w:lang w:eastAsia="zh-CN"/>
        </w:rPr>
      </w:pPr>
    </w:p>
    <w:p w:rsidR="00FC439C" w:rsidRDefault="00FC439C">
      <w:pPr>
        <w:widowControl w:val="0"/>
        <w:jc w:val="center"/>
        <w:rPr>
          <w:sz w:val="30"/>
          <w:szCs w:val="30"/>
          <w:lang w:eastAsia="zh-CN"/>
        </w:rPr>
      </w:pPr>
    </w:p>
    <w:p w:rsidR="00FC439C" w:rsidRDefault="00FC439C">
      <w:pPr>
        <w:widowControl w:val="0"/>
        <w:jc w:val="center"/>
        <w:rPr>
          <w:sz w:val="30"/>
          <w:szCs w:val="30"/>
          <w:lang w:eastAsia="zh-CN"/>
        </w:rPr>
      </w:pPr>
    </w:p>
    <w:p w:rsidR="00FC439C" w:rsidRDefault="00FC439C">
      <w:pPr>
        <w:widowControl w:val="0"/>
        <w:jc w:val="center"/>
        <w:rPr>
          <w:sz w:val="30"/>
          <w:szCs w:val="30"/>
          <w:lang w:eastAsia="zh-CN"/>
        </w:rPr>
      </w:pPr>
    </w:p>
    <w:p w:rsidR="00FC439C" w:rsidRDefault="00FC439C">
      <w:pPr>
        <w:widowControl w:val="0"/>
        <w:jc w:val="center"/>
        <w:rPr>
          <w:sz w:val="30"/>
          <w:szCs w:val="30"/>
          <w:lang w:eastAsia="zh-CN"/>
        </w:rPr>
      </w:pPr>
    </w:p>
    <w:p w:rsidR="00FC439C" w:rsidRDefault="00FC439C">
      <w:pPr>
        <w:widowControl w:val="0"/>
        <w:jc w:val="center"/>
        <w:rPr>
          <w:sz w:val="30"/>
          <w:szCs w:val="30"/>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C0087C">
      <w:pPr>
        <w:widowControl w:val="0"/>
        <w:jc w:val="both"/>
        <w:rPr>
          <w:lang w:eastAsia="zh-CN"/>
        </w:rPr>
      </w:pPr>
      <w:r>
        <w:rPr>
          <w:rFonts w:eastAsia="Times New Roman"/>
          <w:lang w:eastAsia="zh-CN"/>
        </w:rPr>
        <w:t> </w:t>
      </w:r>
    </w:p>
    <w:p w:rsidR="00FC439C" w:rsidRDefault="00C0087C">
      <w:pPr>
        <w:widowControl w:val="0"/>
        <w:jc w:val="both"/>
        <w:rPr>
          <w:lang w:eastAsia="zh-CN"/>
        </w:rPr>
      </w:pPr>
      <w:r>
        <w:rPr>
          <w:rFonts w:eastAsia="Times New Roman"/>
          <w:lang w:eastAsia="zh-CN"/>
        </w:rPr>
        <w:t> </w:t>
      </w:r>
    </w:p>
    <w:p w:rsidR="00FC439C" w:rsidRDefault="00C0087C">
      <w:pPr>
        <w:widowControl w:val="0"/>
        <w:jc w:val="both"/>
        <w:rPr>
          <w:lang w:eastAsia="zh-CN"/>
        </w:rPr>
      </w:pPr>
      <w:r>
        <w:rPr>
          <w:rFonts w:eastAsia="Times New Roman"/>
          <w:lang w:eastAsia="zh-CN"/>
        </w:rPr>
        <w:t> </w:t>
      </w:r>
    </w:p>
    <w:p w:rsidR="00FC439C" w:rsidRDefault="00C0087C">
      <w:pPr>
        <w:widowControl w:val="0"/>
        <w:jc w:val="both"/>
        <w:rPr>
          <w:lang w:eastAsia="zh-CN"/>
        </w:rPr>
      </w:pPr>
      <w:r>
        <w:rPr>
          <w:rFonts w:eastAsia="Times New Roman"/>
          <w:lang w:eastAsia="zh-CN"/>
        </w:rPr>
        <w:t> </w:t>
      </w:r>
    </w:p>
    <w:p w:rsidR="00FC439C" w:rsidRDefault="00C0087C">
      <w:pPr>
        <w:widowControl w:val="0"/>
        <w:jc w:val="both"/>
        <w:rPr>
          <w:lang w:eastAsia="zh-CN"/>
        </w:rPr>
      </w:pPr>
      <w:r>
        <w:rPr>
          <w:rFonts w:eastAsia="Times New Roman"/>
          <w:lang w:eastAsia="zh-CN"/>
        </w:rPr>
        <w:t> </w:t>
      </w:r>
    </w:p>
    <w:p w:rsidR="00FC439C" w:rsidRDefault="00C0087C">
      <w:pPr>
        <w:widowControl w:val="0"/>
        <w:jc w:val="both"/>
        <w:rPr>
          <w:lang w:eastAsia="zh-CN"/>
        </w:rPr>
      </w:pPr>
      <w:r>
        <w:rPr>
          <w:rFonts w:eastAsia="Times New Roman"/>
          <w:lang w:eastAsia="zh-CN"/>
        </w:rPr>
        <w:t> </w:t>
      </w:r>
    </w:p>
    <w:p w:rsidR="00FC439C" w:rsidRDefault="00FC439C">
      <w:pPr>
        <w:widowControl w:val="0"/>
        <w:jc w:val="both"/>
        <w:rPr>
          <w:lang w:eastAsia="zh-CN"/>
        </w:rPr>
      </w:pPr>
    </w:p>
    <w:p w:rsidR="00FC439C" w:rsidRDefault="00FC439C">
      <w:pPr>
        <w:widowControl w:val="0"/>
        <w:jc w:val="both"/>
        <w:rPr>
          <w:lang w:eastAsia="zh-CN"/>
        </w:rPr>
      </w:pPr>
    </w:p>
    <w:p w:rsidR="00FC439C" w:rsidRDefault="00FC439C">
      <w:pPr>
        <w:widowControl w:val="0"/>
        <w:jc w:val="both"/>
        <w:rPr>
          <w:lang w:eastAsia="zh-CN"/>
        </w:rPr>
      </w:pPr>
    </w:p>
    <w:p w:rsidR="00FC439C" w:rsidRDefault="00C0087C">
      <w:pPr>
        <w:widowControl w:val="0"/>
        <w:ind w:left="2100" w:firstLine="420"/>
        <w:jc w:val="both"/>
        <w:rPr>
          <w:sz w:val="28"/>
          <w:szCs w:val="28"/>
        </w:rPr>
      </w:pPr>
      <w:r>
        <w:rPr>
          <w:rFonts w:ascii="宋体" w:eastAsia="宋体" w:hAnsi="宋体" w:cs="宋体"/>
          <w:b/>
          <w:bCs/>
          <w:sz w:val="28"/>
          <w:szCs w:val="28"/>
          <w:lang w:eastAsia="zh-CN"/>
        </w:rPr>
        <w:t>公告送出日期：2024年03月01日</w:t>
      </w:r>
    </w:p>
    <w:p w:rsidR="00FC439C" w:rsidRDefault="00FC439C">
      <w:pPr>
        <w:widowControl w:val="0"/>
        <w:jc w:val="both"/>
      </w:pPr>
    </w:p>
    <w:p w:rsidR="00FC439C" w:rsidRDefault="00FC439C">
      <w:pPr>
        <w:widowControl w:val="0"/>
        <w:jc w:val="both"/>
      </w:pPr>
    </w:p>
    <w:p w:rsidR="00FC439C" w:rsidRDefault="00C0087C">
      <w:pPr>
        <w:widowControl w:val="0"/>
        <w:jc w:val="both"/>
      </w:pPr>
      <w:r>
        <w:rPr>
          <w:rFonts w:eastAsia="Times New Roman"/>
          <w:lang w:eastAsia="zh-CN"/>
        </w:rPr>
        <w:t> </w:t>
      </w:r>
    </w:p>
    <w:p w:rsidR="00FC439C" w:rsidRDefault="00C0087C">
      <w:pPr>
        <w:widowControl w:val="0"/>
        <w:jc w:val="both"/>
      </w:pPr>
      <w:r>
        <w:rPr>
          <w:rFonts w:eastAsia="Times New Roman"/>
          <w:lang w:eastAsia="zh-CN"/>
        </w:rPr>
        <w:t> </w:t>
      </w:r>
    </w:p>
    <w:p w:rsidR="00FC439C" w:rsidRDefault="00C0087C">
      <w:pPr>
        <w:widowControl w:val="0"/>
        <w:jc w:val="both"/>
      </w:pPr>
      <w:r>
        <w:rPr>
          <w:rFonts w:eastAsia="Times New Roman"/>
          <w:lang w:eastAsia="zh-CN"/>
        </w:rPr>
        <w:t> </w:t>
      </w:r>
    </w:p>
    <w:p w:rsidR="00FC439C" w:rsidRDefault="00FC439C">
      <w:pPr>
        <w:widowControl w:val="0"/>
        <w:jc w:val="both"/>
      </w:pPr>
    </w:p>
    <w:p w:rsidR="00FC439C" w:rsidRDefault="00C0087C">
      <w:pPr>
        <w:pStyle w:val="2"/>
        <w:keepLines/>
        <w:widowControl w:val="0"/>
        <w:spacing w:before="156" w:after="156"/>
        <w:rPr>
          <w:rFonts w:ascii="Times New Roman" w:hAnsi="Times New Roman" w:cs="Times New Roman"/>
        </w:rPr>
      </w:pPr>
      <w:r>
        <w:rPr>
          <w:rFonts w:ascii="宋体" w:eastAsia="宋体" w:hAnsi="宋体" w:cs="宋体"/>
          <w:i w:val="0"/>
          <w:iCs w:val="0"/>
          <w:sz w:val="24"/>
          <w:szCs w:val="24"/>
          <w:lang w:eastAsia="zh-CN"/>
        </w:rPr>
        <w:lastRenderedPageBreak/>
        <w:t>1公告基本信息</w:t>
      </w:r>
    </w:p>
    <w:tbl>
      <w:tblPr>
        <w:tblW w:w="8290" w:type="dxa"/>
        <w:tblInd w:w="13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217"/>
        <w:gridCol w:w="5073"/>
      </w:tblGrid>
      <w:tr w:rsidR="00FC439C">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基金名称</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lang w:eastAsia="zh-CN"/>
              </w:rPr>
            </w:pPr>
            <w:r>
              <w:rPr>
                <w:rFonts w:ascii="宋体" w:eastAsia="宋体" w:hAnsi="宋体" w:cs="宋体"/>
                <w:sz w:val="21"/>
                <w:szCs w:val="21"/>
                <w:lang w:eastAsia="zh-CN"/>
              </w:rPr>
              <w:t>鹏华兴泰定期开放灵活配置混合型证券投资基金</w:t>
            </w:r>
          </w:p>
        </w:tc>
      </w:tr>
      <w:tr w:rsidR="00FC439C">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基金简称</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lang w:eastAsia="zh-CN"/>
              </w:rPr>
            </w:pPr>
            <w:r>
              <w:rPr>
                <w:rFonts w:ascii="宋体" w:eastAsia="宋体" w:hAnsi="宋体" w:cs="宋体"/>
                <w:sz w:val="21"/>
                <w:szCs w:val="21"/>
                <w:lang w:eastAsia="zh-CN"/>
              </w:rPr>
              <w:t>鹏华兴泰定期开放混合</w:t>
            </w:r>
          </w:p>
        </w:tc>
      </w:tr>
      <w:tr w:rsidR="00FC439C">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基金主代码</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003663</w:t>
            </w:r>
          </w:p>
        </w:tc>
      </w:tr>
      <w:tr w:rsidR="00FC439C">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基金运作方式</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lang w:eastAsia="zh-CN"/>
              </w:rPr>
            </w:pPr>
            <w:r>
              <w:rPr>
                <w:rFonts w:ascii="宋体" w:eastAsia="宋体" w:hAnsi="宋体" w:cs="宋体"/>
                <w:sz w:val="21"/>
                <w:szCs w:val="21"/>
                <w:lang w:eastAsia="zh-CN"/>
              </w:rPr>
              <w:t>契约型，本基金以定期开放方式运作，即采用封闭运作和开放运作交替循环的方式。本基金自基金合同生效之日（含）起或自每一开放期结束之日次日（含）起6个月的期间封闭运作，不办理申购与赎回业务，也不上市交易。本基金自封闭期结束之后第一个工作日（含）起进入开放期，每个开放期原则上不少于五个工作日、不超过二十个工作日，开放期的具体时间以基金管理人届时公告为准。如发生不可抗力或其他情形致使基金无法按时开放或需依据基金合同暂停申购与赎回业务的，基金管理人有权合理调整申购或赎回业务的办理期间并予以公告。</w:t>
            </w:r>
          </w:p>
        </w:tc>
      </w:tr>
      <w:tr w:rsidR="00FC439C">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基金合同生效日</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2016年11月30日</w:t>
            </w:r>
          </w:p>
        </w:tc>
      </w:tr>
      <w:tr w:rsidR="00FC439C">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基金管理人名称</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lang w:eastAsia="zh-CN"/>
              </w:rPr>
            </w:pPr>
            <w:r>
              <w:rPr>
                <w:rFonts w:ascii="宋体" w:eastAsia="宋体" w:hAnsi="宋体" w:cs="宋体"/>
                <w:sz w:val="21"/>
                <w:szCs w:val="21"/>
                <w:lang w:eastAsia="zh-CN"/>
              </w:rPr>
              <w:t>鹏华基金管理有限公司</w:t>
            </w:r>
          </w:p>
        </w:tc>
      </w:tr>
      <w:tr w:rsidR="00FC439C">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基金托管人名称</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lang w:eastAsia="zh-CN"/>
              </w:rPr>
            </w:pPr>
            <w:r>
              <w:rPr>
                <w:rFonts w:ascii="宋体" w:eastAsia="宋体" w:hAnsi="宋体" w:cs="宋体"/>
                <w:sz w:val="21"/>
                <w:szCs w:val="21"/>
                <w:lang w:eastAsia="zh-CN"/>
              </w:rPr>
              <w:t>中国建设银行股份有限公司</w:t>
            </w:r>
          </w:p>
        </w:tc>
      </w:tr>
      <w:tr w:rsidR="00FC439C">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lang w:eastAsia="zh-CN"/>
              </w:rPr>
            </w:pPr>
            <w:r>
              <w:rPr>
                <w:rFonts w:ascii="宋体" w:eastAsia="宋体" w:hAnsi="宋体" w:cs="宋体"/>
                <w:sz w:val="21"/>
                <w:szCs w:val="21"/>
                <w:lang w:eastAsia="zh-CN"/>
              </w:rPr>
              <w:t>基金份额登记机构名称</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lang w:eastAsia="zh-CN"/>
              </w:rPr>
            </w:pPr>
            <w:r>
              <w:rPr>
                <w:rFonts w:ascii="宋体" w:eastAsia="宋体" w:hAnsi="宋体" w:cs="宋体"/>
                <w:sz w:val="21"/>
                <w:szCs w:val="21"/>
                <w:lang w:eastAsia="zh-CN"/>
              </w:rPr>
              <w:t>鹏华基金管理有限公司</w:t>
            </w:r>
          </w:p>
        </w:tc>
      </w:tr>
      <w:tr w:rsidR="00FC439C">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公告依据</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lang w:eastAsia="zh-CN"/>
              </w:rPr>
            </w:pPr>
            <w:r>
              <w:rPr>
                <w:rFonts w:ascii="宋体" w:eastAsia="宋体" w:hAnsi="宋体" w:cs="宋体"/>
                <w:sz w:val="21"/>
                <w:szCs w:val="21"/>
                <w:lang w:eastAsia="zh-CN"/>
              </w:rPr>
              <w:t>《鹏华兴泰定期开放灵活配置混合型证券投资基金基金合同》（以下简称“基金合同”）、《鹏华兴泰定期开放灵活配置混合型证券投资基金招募说明书》及其更新（以下简称“招募说明书”）</w:t>
            </w:r>
          </w:p>
        </w:tc>
      </w:tr>
      <w:tr w:rsidR="00FC439C">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申购起始日</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2024年03月04日</w:t>
            </w:r>
          </w:p>
        </w:tc>
      </w:tr>
      <w:tr w:rsidR="00FC439C">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赎回起始日</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2024年03月04日</w:t>
            </w:r>
          </w:p>
        </w:tc>
      </w:tr>
      <w:tr w:rsidR="00FC439C">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转换转入起始日</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2024年03月04日</w:t>
            </w:r>
          </w:p>
        </w:tc>
      </w:tr>
      <w:tr w:rsidR="00FC439C">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转换转出起始日</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FC439C" w:rsidRDefault="00C0087C" w:rsidP="00275E7A">
            <w:pPr>
              <w:jc w:val="both"/>
              <w:rPr>
                <w:rFonts w:ascii="宋体" w:eastAsia="宋体" w:hAnsi="宋体" w:cs="宋体"/>
                <w:sz w:val="21"/>
                <w:szCs w:val="21"/>
              </w:rPr>
            </w:pPr>
            <w:r>
              <w:rPr>
                <w:rFonts w:ascii="宋体" w:eastAsia="宋体" w:hAnsi="宋体" w:cs="宋体"/>
                <w:sz w:val="21"/>
                <w:szCs w:val="21"/>
                <w:lang w:eastAsia="zh-CN"/>
              </w:rPr>
              <w:t>2024年03月04日</w:t>
            </w:r>
          </w:p>
        </w:tc>
      </w:tr>
    </w:tbl>
    <w:p w:rsidR="00FC439C" w:rsidRDefault="00C0087C">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2 申购、赎回和转换业务的办理时间</w:t>
      </w:r>
    </w:p>
    <w:p w:rsidR="00FC439C" w:rsidRDefault="00C0087C">
      <w:pPr>
        <w:widowControl w:val="0"/>
        <w:spacing w:line="360" w:lineRule="auto"/>
        <w:ind w:firstLine="420"/>
        <w:rPr>
          <w:sz w:val="21"/>
          <w:szCs w:val="21"/>
          <w:lang w:eastAsia="zh-CN"/>
        </w:rPr>
      </w:pPr>
      <w:r>
        <w:rPr>
          <w:rFonts w:ascii="宋体" w:eastAsia="宋体" w:hAnsi="宋体" w:cs="宋体"/>
          <w:sz w:val="21"/>
          <w:szCs w:val="21"/>
          <w:lang w:eastAsia="zh-CN"/>
        </w:rPr>
        <w:t>鹏华兴泰定期开放灵活配置混合型证券投资基金（以下简称“本基金”）自2024年03月04日起（含当日）进入开放期，其中开放申购时间为2024年03月04日至2024年03月29日，在此期间接受投资者的申购和转换转入业务申请；开放赎回时间为2024年03月04日至2024年03月08日，在此期间接受投资者的赎回和转换转出业务申请。</w:t>
      </w:r>
    </w:p>
    <w:p w:rsidR="00FC439C" w:rsidRDefault="00C0087C">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3 申购业务</w:t>
      </w:r>
    </w:p>
    <w:p w:rsidR="00FC439C" w:rsidRDefault="00C0087C">
      <w:pPr>
        <w:widowControl w:val="0"/>
        <w:spacing w:before="156" w:after="156"/>
        <w:rPr>
          <w:lang w:eastAsia="zh-CN"/>
        </w:rPr>
      </w:pPr>
      <w:r>
        <w:rPr>
          <w:rFonts w:ascii="宋体" w:eastAsia="宋体" w:hAnsi="宋体" w:cs="宋体"/>
          <w:b/>
          <w:bCs/>
          <w:lang w:eastAsia="zh-CN"/>
        </w:rPr>
        <w:t>3.1 申购金额限制</w:t>
      </w:r>
    </w:p>
    <w:p w:rsidR="00FC439C" w:rsidRDefault="00C0087C">
      <w:pPr>
        <w:widowControl w:val="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1、投资人通过销售机构申购本基金，单笔最低申购金额为1元。各销售机构对本基金最低申购金额及交易级差有其他规定的，以销售机构的规定为准。通过基金管理人直销中心申购本基金，首次最低申购金额为100万元，追加申购单笔最低金额为1万元，但根据法律法规或基金管理人的要求无法通过网上直销渠道申购的不受前述限制。本基金直销中心单笔申购最低金额与申购级差限制可由基金管理人酌情调整。</w:t>
      </w:r>
    </w:p>
    <w:p w:rsidR="00FC439C" w:rsidRDefault="00C0087C">
      <w:pPr>
        <w:widowControl w:val="0"/>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lastRenderedPageBreak/>
        <w:t>2、本基金对单个基金份额持有人不设置最高申购金额限制，但单一投资者持有基金份额数不得达到或超过基金份额总数的50%(在基金运作过程中因基金份额赎回等情形导致被动达到或超过50%的除外)。</w:t>
      </w:r>
    </w:p>
    <w:p w:rsidR="00FC439C" w:rsidRDefault="00C0087C">
      <w:pPr>
        <w:widowControl w:val="0"/>
        <w:spacing w:before="156" w:after="156"/>
        <w:rPr>
          <w:lang w:eastAsia="zh-CN"/>
        </w:rPr>
      </w:pPr>
      <w:r>
        <w:rPr>
          <w:rFonts w:ascii="宋体" w:eastAsia="宋体" w:hAnsi="宋体" w:cs="宋体"/>
          <w:b/>
          <w:bCs/>
          <w:lang w:eastAsia="zh-CN"/>
        </w:rPr>
        <w:t>3.2 申购费率</w:t>
      </w:r>
    </w:p>
    <w:p w:rsidR="00FC439C" w:rsidRDefault="00C0087C">
      <w:pPr>
        <w:widowControl w:val="0"/>
        <w:spacing w:before="156" w:after="156"/>
        <w:ind w:firstLine="550"/>
        <w:jc w:val="both"/>
        <w:rPr>
          <w:rFonts w:ascii="宋体" w:eastAsia="宋体" w:hAnsi="宋体" w:cs="宋体"/>
          <w:sz w:val="22"/>
          <w:szCs w:val="22"/>
          <w:lang w:eastAsia="zh-CN"/>
        </w:rPr>
      </w:pPr>
      <w:r>
        <w:rPr>
          <w:rFonts w:ascii="宋体" w:eastAsia="宋体" w:hAnsi="宋体" w:cs="宋体"/>
          <w:sz w:val="22"/>
          <w:szCs w:val="22"/>
          <w:lang w:eastAsia="zh-CN"/>
        </w:rPr>
        <w:t>本基金的申购费率如下表所示：</w:t>
      </w:r>
    </w:p>
    <w:tbl>
      <w:tblPr>
        <w:tblW w:w="8003" w:type="dxa"/>
        <w:tblInd w:w="52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3227"/>
        <w:gridCol w:w="2426"/>
        <w:gridCol w:w="2350"/>
      </w:tblGrid>
      <w:tr w:rsidR="00FC439C" w:rsidRPr="00275E7A">
        <w:trPr>
          <w:trHeight w:val="415"/>
        </w:trPr>
        <w:tc>
          <w:tcPr>
            <w:tcW w:w="3227" w:type="dxa"/>
            <w:tcBorders>
              <w:bottom w:val="single" w:sz="8" w:space="0" w:color="auto"/>
              <w:right w:val="single" w:sz="8" w:space="0" w:color="auto"/>
            </w:tcBorders>
            <w:tcMar>
              <w:top w:w="10" w:type="dxa"/>
              <w:left w:w="108" w:type="dxa"/>
              <w:bottom w:w="10" w:type="dxa"/>
              <w:right w:w="108" w:type="dxa"/>
            </w:tcMar>
            <w:vAlign w:val="center"/>
            <w:hideMark/>
          </w:tcPr>
          <w:p w:rsidR="00FC439C" w:rsidRPr="00275E7A" w:rsidRDefault="00C0087C">
            <w:pPr>
              <w:jc w:val="center"/>
              <w:rPr>
                <w:rFonts w:asciiTheme="minorEastAsia" w:hAnsiTheme="minorEastAsia"/>
                <w:sz w:val="21"/>
                <w:szCs w:val="21"/>
              </w:rPr>
            </w:pPr>
            <w:r w:rsidRPr="00275E7A">
              <w:rPr>
                <w:rFonts w:asciiTheme="minorEastAsia" w:hAnsiTheme="minorEastAsia" w:cs="宋体"/>
                <w:b/>
                <w:bCs/>
                <w:sz w:val="21"/>
                <w:szCs w:val="21"/>
                <w:lang w:eastAsia="zh-CN"/>
              </w:rPr>
              <w:t>申购金额</w:t>
            </w:r>
            <w:r w:rsidRPr="00275E7A">
              <w:rPr>
                <w:rFonts w:asciiTheme="minorEastAsia" w:hAnsiTheme="minorEastAsia"/>
                <w:b/>
                <w:bCs/>
                <w:sz w:val="21"/>
                <w:szCs w:val="21"/>
                <w:lang w:eastAsia="zh-CN"/>
              </w:rPr>
              <w:t>M</w:t>
            </w:r>
            <w:r w:rsidRPr="00275E7A">
              <w:rPr>
                <w:rFonts w:asciiTheme="minorEastAsia" w:hAnsiTheme="minorEastAsia" w:cs="宋体"/>
                <w:b/>
                <w:bCs/>
                <w:sz w:val="21"/>
                <w:szCs w:val="21"/>
                <w:lang w:eastAsia="zh-CN"/>
              </w:rPr>
              <w:t>（元）</w:t>
            </w:r>
          </w:p>
        </w:tc>
        <w:tc>
          <w:tcPr>
            <w:tcW w:w="2426" w:type="dxa"/>
            <w:tcBorders>
              <w:bottom w:val="single" w:sz="8" w:space="0" w:color="auto"/>
              <w:right w:val="single" w:sz="8" w:space="0" w:color="auto"/>
            </w:tcBorders>
            <w:tcMar>
              <w:top w:w="10" w:type="dxa"/>
              <w:left w:w="123" w:type="dxa"/>
              <w:bottom w:w="10" w:type="dxa"/>
              <w:right w:w="108" w:type="dxa"/>
            </w:tcMar>
            <w:vAlign w:val="center"/>
            <w:hideMark/>
          </w:tcPr>
          <w:p w:rsidR="00FC439C" w:rsidRPr="00275E7A" w:rsidRDefault="00C0087C">
            <w:pPr>
              <w:jc w:val="center"/>
              <w:rPr>
                <w:rFonts w:asciiTheme="minorEastAsia" w:hAnsiTheme="minorEastAsia"/>
                <w:sz w:val="21"/>
                <w:szCs w:val="21"/>
              </w:rPr>
            </w:pPr>
            <w:r w:rsidRPr="00275E7A">
              <w:rPr>
                <w:rFonts w:asciiTheme="minorEastAsia" w:hAnsiTheme="minorEastAsia" w:cs="宋体"/>
                <w:b/>
                <w:bCs/>
                <w:sz w:val="21"/>
                <w:szCs w:val="21"/>
                <w:lang w:eastAsia="zh-CN"/>
              </w:rPr>
              <w:t>一般申购费率</w:t>
            </w:r>
          </w:p>
        </w:tc>
        <w:tc>
          <w:tcPr>
            <w:tcW w:w="2350" w:type="dxa"/>
            <w:tcBorders>
              <w:bottom w:val="single" w:sz="8" w:space="0" w:color="auto"/>
            </w:tcBorders>
            <w:tcMar>
              <w:top w:w="10" w:type="dxa"/>
              <w:left w:w="123" w:type="dxa"/>
              <w:bottom w:w="10" w:type="dxa"/>
              <w:right w:w="108" w:type="dxa"/>
            </w:tcMar>
            <w:vAlign w:val="center"/>
            <w:hideMark/>
          </w:tcPr>
          <w:p w:rsidR="00FC439C" w:rsidRPr="00275E7A" w:rsidRDefault="00C0087C">
            <w:pPr>
              <w:jc w:val="center"/>
              <w:rPr>
                <w:rFonts w:asciiTheme="minorEastAsia" w:hAnsiTheme="minorEastAsia"/>
                <w:sz w:val="21"/>
                <w:szCs w:val="21"/>
              </w:rPr>
            </w:pPr>
            <w:r w:rsidRPr="00275E7A">
              <w:rPr>
                <w:rFonts w:asciiTheme="minorEastAsia" w:hAnsiTheme="minorEastAsia" w:cs="宋体"/>
                <w:b/>
                <w:bCs/>
                <w:sz w:val="21"/>
                <w:szCs w:val="21"/>
                <w:lang w:eastAsia="zh-CN"/>
              </w:rPr>
              <w:t>特定申购费率</w:t>
            </w:r>
          </w:p>
        </w:tc>
      </w:tr>
      <w:tr w:rsidR="00FC439C" w:rsidRPr="00275E7A">
        <w:trPr>
          <w:trHeight w:val="415"/>
        </w:trPr>
        <w:tc>
          <w:tcPr>
            <w:tcW w:w="3227" w:type="dxa"/>
            <w:tcBorders>
              <w:bottom w:val="single" w:sz="8" w:space="0" w:color="auto"/>
              <w:right w:val="single" w:sz="8" w:space="0" w:color="auto"/>
            </w:tcBorders>
            <w:tcMar>
              <w:top w:w="15" w:type="dxa"/>
              <w:left w:w="108" w:type="dxa"/>
              <w:bottom w:w="10" w:type="dxa"/>
              <w:right w:w="108" w:type="dxa"/>
            </w:tcMar>
            <w:vAlign w:val="center"/>
            <w:hideMark/>
          </w:tcPr>
          <w:p w:rsidR="00FC439C" w:rsidRPr="00275E7A" w:rsidRDefault="00C0087C">
            <w:pPr>
              <w:jc w:val="center"/>
              <w:rPr>
                <w:rFonts w:asciiTheme="minorEastAsia" w:hAnsiTheme="minorEastAsia"/>
                <w:sz w:val="21"/>
                <w:szCs w:val="21"/>
              </w:rPr>
            </w:pPr>
            <w:r w:rsidRPr="00275E7A">
              <w:rPr>
                <w:rFonts w:asciiTheme="minorEastAsia" w:hAnsiTheme="minorEastAsia"/>
                <w:sz w:val="21"/>
                <w:szCs w:val="21"/>
                <w:lang w:eastAsia="zh-CN"/>
              </w:rPr>
              <w:t>M&lt;100</w:t>
            </w:r>
            <w:r w:rsidRPr="00275E7A">
              <w:rPr>
                <w:rFonts w:asciiTheme="minorEastAsia" w:hAnsiTheme="minorEastAsia" w:cs="宋体"/>
                <w:sz w:val="21"/>
                <w:szCs w:val="21"/>
                <w:lang w:eastAsia="zh-CN"/>
              </w:rPr>
              <w:t>万</w:t>
            </w:r>
          </w:p>
        </w:tc>
        <w:tc>
          <w:tcPr>
            <w:tcW w:w="2426" w:type="dxa"/>
            <w:tcBorders>
              <w:bottom w:val="single" w:sz="8" w:space="0" w:color="auto"/>
              <w:right w:val="single" w:sz="8" w:space="0" w:color="auto"/>
            </w:tcBorders>
            <w:tcMar>
              <w:top w:w="15" w:type="dxa"/>
              <w:left w:w="123" w:type="dxa"/>
              <w:bottom w:w="10" w:type="dxa"/>
              <w:right w:w="108" w:type="dxa"/>
            </w:tcMar>
            <w:vAlign w:val="center"/>
            <w:hideMark/>
          </w:tcPr>
          <w:p w:rsidR="00FC439C" w:rsidRPr="00275E7A" w:rsidRDefault="00C0087C">
            <w:pPr>
              <w:jc w:val="center"/>
              <w:rPr>
                <w:rFonts w:asciiTheme="minorEastAsia" w:hAnsiTheme="minorEastAsia"/>
                <w:sz w:val="21"/>
                <w:szCs w:val="21"/>
              </w:rPr>
            </w:pPr>
            <w:r w:rsidRPr="00275E7A">
              <w:rPr>
                <w:rFonts w:asciiTheme="minorEastAsia" w:hAnsiTheme="minorEastAsia"/>
                <w:sz w:val="21"/>
                <w:szCs w:val="21"/>
                <w:lang w:eastAsia="zh-CN"/>
              </w:rPr>
              <w:t>0.8%</w:t>
            </w:r>
          </w:p>
        </w:tc>
        <w:tc>
          <w:tcPr>
            <w:tcW w:w="2350" w:type="dxa"/>
            <w:tcBorders>
              <w:bottom w:val="single" w:sz="8" w:space="0" w:color="auto"/>
            </w:tcBorders>
            <w:tcMar>
              <w:top w:w="15" w:type="dxa"/>
              <w:left w:w="123" w:type="dxa"/>
              <w:bottom w:w="10" w:type="dxa"/>
              <w:right w:w="108" w:type="dxa"/>
            </w:tcMar>
            <w:vAlign w:val="center"/>
            <w:hideMark/>
          </w:tcPr>
          <w:p w:rsidR="00FC439C" w:rsidRPr="00275E7A" w:rsidRDefault="00C0087C">
            <w:pPr>
              <w:jc w:val="center"/>
              <w:rPr>
                <w:rFonts w:asciiTheme="minorEastAsia" w:hAnsiTheme="minorEastAsia"/>
                <w:sz w:val="21"/>
                <w:szCs w:val="21"/>
              </w:rPr>
            </w:pPr>
            <w:r w:rsidRPr="00275E7A">
              <w:rPr>
                <w:rFonts w:asciiTheme="minorEastAsia" w:hAnsiTheme="minorEastAsia"/>
                <w:sz w:val="21"/>
                <w:szCs w:val="21"/>
                <w:lang w:eastAsia="zh-CN"/>
              </w:rPr>
              <w:t>0.32%</w:t>
            </w:r>
          </w:p>
        </w:tc>
      </w:tr>
      <w:tr w:rsidR="00FC439C" w:rsidRPr="00275E7A">
        <w:trPr>
          <w:trHeight w:val="415"/>
        </w:trPr>
        <w:tc>
          <w:tcPr>
            <w:tcW w:w="3227" w:type="dxa"/>
            <w:tcBorders>
              <w:bottom w:val="single" w:sz="8" w:space="0" w:color="auto"/>
              <w:right w:val="single" w:sz="8" w:space="0" w:color="auto"/>
            </w:tcBorders>
            <w:tcMar>
              <w:top w:w="15" w:type="dxa"/>
              <w:left w:w="108" w:type="dxa"/>
              <w:bottom w:w="10" w:type="dxa"/>
              <w:right w:w="108" w:type="dxa"/>
            </w:tcMar>
            <w:vAlign w:val="center"/>
            <w:hideMark/>
          </w:tcPr>
          <w:p w:rsidR="00FC439C" w:rsidRPr="00275E7A" w:rsidRDefault="00C0087C">
            <w:pPr>
              <w:jc w:val="center"/>
              <w:rPr>
                <w:rFonts w:asciiTheme="minorEastAsia" w:hAnsiTheme="minorEastAsia"/>
                <w:sz w:val="21"/>
                <w:szCs w:val="21"/>
              </w:rPr>
            </w:pPr>
            <w:r w:rsidRPr="00275E7A">
              <w:rPr>
                <w:rFonts w:asciiTheme="minorEastAsia" w:hAnsiTheme="minorEastAsia"/>
                <w:sz w:val="21"/>
                <w:szCs w:val="21"/>
                <w:lang w:eastAsia="zh-CN"/>
              </w:rPr>
              <w:t>100</w:t>
            </w:r>
            <w:r w:rsidRPr="00275E7A">
              <w:rPr>
                <w:rFonts w:asciiTheme="minorEastAsia" w:hAnsiTheme="minorEastAsia" w:cs="宋体"/>
                <w:sz w:val="21"/>
                <w:szCs w:val="21"/>
                <w:lang w:eastAsia="zh-CN"/>
              </w:rPr>
              <w:t>万</w:t>
            </w:r>
            <w:r w:rsidRPr="00275E7A">
              <w:rPr>
                <w:rFonts w:asciiTheme="minorEastAsia" w:hAnsiTheme="minorEastAsia"/>
                <w:sz w:val="21"/>
                <w:szCs w:val="21"/>
                <w:lang w:eastAsia="zh-CN"/>
              </w:rPr>
              <w:t>≤ M &lt;500</w:t>
            </w:r>
            <w:r w:rsidRPr="00275E7A">
              <w:rPr>
                <w:rFonts w:asciiTheme="minorEastAsia" w:hAnsiTheme="minorEastAsia" w:cs="宋体"/>
                <w:sz w:val="21"/>
                <w:szCs w:val="21"/>
                <w:lang w:eastAsia="zh-CN"/>
              </w:rPr>
              <w:t>万</w:t>
            </w:r>
          </w:p>
        </w:tc>
        <w:tc>
          <w:tcPr>
            <w:tcW w:w="2426" w:type="dxa"/>
            <w:tcBorders>
              <w:bottom w:val="single" w:sz="8" w:space="0" w:color="auto"/>
              <w:right w:val="single" w:sz="8" w:space="0" w:color="auto"/>
            </w:tcBorders>
            <w:tcMar>
              <w:top w:w="15" w:type="dxa"/>
              <w:left w:w="123" w:type="dxa"/>
              <w:bottom w:w="10" w:type="dxa"/>
              <w:right w:w="108" w:type="dxa"/>
            </w:tcMar>
            <w:vAlign w:val="center"/>
            <w:hideMark/>
          </w:tcPr>
          <w:p w:rsidR="00FC439C" w:rsidRPr="00275E7A" w:rsidRDefault="00C0087C">
            <w:pPr>
              <w:jc w:val="center"/>
              <w:rPr>
                <w:rFonts w:asciiTheme="minorEastAsia" w:hAnsiTheme="minorEastAsia"/>
                <w:sz w:val="21"/>
                <w:szCs w:val="21"/>
              </w:rPr>
            </w:pPr>
            <w:r w:rsidRPr="00275E7A">
              <w:rPr>
                <w:rFonts w:asciiTheme="minorEastAsia" w:hAnsiTheme="minorEastAsia"/>
                <w:sz w:val="21"/>
                <w:szCs w:val="21"/>
                <w:lang w:eastAsia="zh-CN"/>
              </w:rPr>
              <w:t>0.4%</w:t>
            </w:r>
          </w:p>
        </w:tc>
        <w:tc>
          <w:tcPr>
            <w:tcW w:w="2350" w:type="dxa"/>
            <w:tcBorders>
              <w:bottom w:val="single" w:sz="8" w:space="0" w:color="auto"/>
            </w:tcBorders>
            <w:tcMar>
              <w:top w:w="15" w:type="dxa"/>
              <w:left w:w="123" w:type="dxa"/>
              <w:bottom w:w="10" w:type="dxa"/>
              <w:right w:w="108" w:type="dxa"/>
            </w:tcMar>
            <w:vAlign w:val="center"/>
            <w:hideMark/>
          </w:tcPr>
          <w:p w:rsidR="00FC439C" w:rsidRPr="00275E7A" w:rsidRDefault="00C0087C">
            <w:pPr>
              <w:jc w:val="center"/>
              <w:rPr>
                <w:rFonts w:asciiTheme="minorEastAsia" w:hAnsiTheme="minorEastAsia"/>
                <w:sz w:val="21"/>
                <w:szCs w:val="21"/>
              </w:rPr>
            </w:pPr>
            <w:r w:rsidRPr="00275E7A">
              <w:rPr>
                <w:rFonts w:asciiTheme="minorEastAsia" w:hAnsiTheme="minorEastAsia"/>
                <w:sz w:val="21"/>
                <w:szCs w:val="21"/>
                <w:lang w:eastAsia="zh-CN"/>
              </w:rPr>
              <w:t>0.12%</w:t>
            </w:r>
          </w:p>
        </w:tc>
      </w:tr>
      <w:tr w:rsidR="00FC439C" w:rsidRPr="00275E7A">
        <w:trPr>
          <w:trHeight w:val="415"/>
        </w:trPr>
        <w:tc>
          <w:tcPr>
            <w:tcW w:w="3227" w:type="dxa"/>
            <w:tcBorders>
              <w:right w:val="single" w:sz="8" w:space="0" w:color="auto"/>
            </w:tcBorders>
            <w:tcMar>
              <w:top w:w="15" w:type="dxa"/>
              <w:left w:w="108" w:type="dxa"/>
              <w:bottom w:w="10" w:type="dxa"/>
              <w:right w:w="108" w:type="dxa"/>
            </w:tcMar>
            <w:vAlign w:val="center"/>
            <w:hideMark/>
          </w:tcPr>
          <w:p w:rsidR="00FC439C" w:rsidRPr="00275E7A" w:rsidRDefault="00C0087C">
            <w:pPr>
              <w:jc w:val="center"/>
              <w:rPr>
                <w:rFonts w:asciiTheme="minorEastAsia" w:hAnsiTheme="minorEastAsia"/>
                <w:sz w:val="21"/>
                <w:szCs w:val="21"/>
              </w:rPr>
            </w:pPr>
            <w:r w:rsidRPr="00275E7A">
              <w:rPr>
                <w:rFonts w:asciiTheme="minorEastAsia" w:hAnsiTheme="minorEastAsia"/>
                <w:sz w:val="21"/>
                <w:szCs w:val="21"/>
                <w:lang w:eastAsia="zh-CN"/>
              </w:rPr>
              <w:t>M≥ 500</w:t>
            </w:r>
            <w:r w:rsidRPr="00275E7A">
              <w:rPr>
                <w:rFonts w:asciiTheme="minorEastAsia" w:hAnsiTheme="minorEastAsia" w:cs="宋体"/>
                <w:sz w:val="21"/>
                <w:szCs w:val="21"/>
                <w:lang w:eastAsia="zh-CN"/>
              </w:rPr>
              <w:t>万</w:t>
            </w:r>
          </w:p>
        </w:tc>
        <w:tc>
          <w:tcPr>
            <w:tcW w:w="2426" w:type="dxa"/>
            <w:tcBorders>
              <w:right w:val="single" w:sz="8" w:space="0" w:color="auto"/>
            </w:tcBorders>
            <w:tcMar>
              <w:top w:w="15" w:type="dxa"/>
              <w:left w:w="123" w:type="dxa"/>
              <w:bottom w:w="10" w:type="dxa"/>
              <w:right w:w="108" w:type="dxa"/>
            </w:tcMar>
            <w:vAlign w:val="center"/>
            <w:hideMark/>
          </w:tcPr>
          <w:p w:rsidR="00FC439C" w:rsidRPr="00275E7A" w:rsidRDefault="00C0087C">
            <w:pPr>
              <w:jc w:val="center"/>
              <w:rPr>
                <w:rFonts w:asciiTheme="minorEastAsia" w:hAnsiTheme="minorEastAsia"/>
                <w:sz w:val="21"/>
                <w:szCs w:val="21"/>
              </w:rPr>
            </w:pPr>
            <w:r w:rsidRPr="00275E7A">
              <w:rPr>
                <w:rFonts w:asciiTheme="minorEastAsia" w:hAnsiTheme="minorEastAsia" w:cs="宋体"/>
                <w:sz w:val="21"/>
                <w:szCs w:val="21"/>
                <w:lang w:eastAsia="zh-CN"/>
              </w:rPr>
              <w:t>每笔</w:t>
            </w:r>
            <w:r w:rsidRPr="00275E7A">
              <w:rPr>
                <w:rFonts w:asciiTheme="minorEastAsia" w:hAnsiTheme="minorEastAsia"/>
                <w:sz w:val="21"/>
                <w:szCs w:val="21"/>
                <w:lang w:eastAsia="zh-CN"/>
              </w:rPr>
              <w:t>1000</w:t>
            </w:r>
            <w:r w:rsidRPr="00275E7A">
              <w:rPr>
                <w:rFonts w:asciiTheme="minorEastAsia" w:hAnsiTheme="minorEastAsia" w:cs="宋体"/>
                <w:sz w:val="21"/>
                <w:szCs w:val="21"/>
                <w:lang w:eastAsia="zh-CN"/>
              </w:rPr>
              <w:t>元</w:t>
            </w:r>
          </w:p>
        </w:tc>
        <w:tc>
          <w:tcPr>
            <w:tcW w:w="2350" w:type="dxa"/>
            <w:tcMar>
              <w:top w:w="15" w:type="dxa"/>
              <w:left w:w="123" w:type="dxa"/>
              <w:bottom w:w="10" w:type="dxa"/>
              <w:right w:w="108" w:type="dxa"/>
            </w:tcMar>
            <w:vAlign w:val="center"/>
            <w:hideMark/>
          </w:tcPr>
          <w:p w:rsidR="00FC439C" w:rsidRPr="00275E7A" w:rsidRDefault="00C0087C">
            <w:pPr>
              <w:jc w:val="center"/>
              <w:rPr>
                <w:rFonts w:asciiTheme="minorEastAsia" w:hAnsiTheme="minorEastAsia"/>
                <w:sz w:val="21"/>
                <w:szCs w:val="21"/>
              </w:rPr>
            </w:pPr>
            <w:r w:rsidRPr="00275E7A">
              <w:rPr>
                <w:rFonts w:asciiTheme="minorEastAsia" w:hAnsiTheme="minorEastAsia" w:cs="宋体"/>
                <w:sz w:val="21"/>
                <w:szCs w:val="21"/>
                <w:lang w:eastAsia="zh-CN"/>
              </w:rPr>
              <w:t>每笔</w:t>
            </w:r>
            <w:r w:rsidRPr="00275E7A">
              <w:rPr>
                <w:rFonts w:asciiTheme="minorEastAsia" w:hAnsiTheme="minorEastAsia"/>
                <w:sz w:val="21"/>
                <w:szCs w:val="21"/>
                <w:lang w:eastAsia="zh-CN"/>
              </w:rPr>
              <w:t>1000</w:t>
            </w:r>
            <w:r w:rsidRPr="00275E7A">
              <w:rPr>
                <w:rFonts w:asciiTheme="minorEastAsia" w:hAnsiTheme="minorEastAsia" w:cs="宋体"/>
                <w:sz w:val="21"/>
                <w:szCs w:val="21"/>
                <w:lang w:eastAsia="zh-CN"/>
              </w:rPr>
              <w:t>元</w:t>
            </w:r>
          </w:p>
        </w:tc>
      </w:tr>
    </w:tbl>
    <w:p w:rsidR="00FC439C" w:rsidRDefault="00C0087C">
      <w:pPr>
        <w:widowControl w:val="0"/>
        <w:spacing w:line="360" w:lineRule="auto"/>
        <w:jc w:val="both"/>
        <w:rPr>
          <w:rFonts w:ascii="宋体" w:eastAsia="宋体" w:hAnsi="宋体" w:cs="宋体"/>
          <w:sz w:val="21"/>
          <w:szCs w:val="21"/>
          <w:lang w:eastAsia="zh-CN"/>
        </w:rPr>
      </w:pPr>
      <w:r>
        <w:rPr>
          <w:rFonts w:ascii="宋体" w:eastAsia="宋体" w:hAnsi="宋体" w:cs="宋体"/>
          <w:sz w:val="21"/>
          <w:szCs w:val="21"/>
          <w:lang w:eastAsia="zh-CN"/>
        </w:rPr>
        <w:t>注：1、本基金的申购费用应在投资人申购基金份额时收取。投资人在一天之内如果有多笔申购，适用费率按单笔分别计算。</w:t>
      </w:r>
    </w:p>
    <w:p w:rsidR="00FC439C" w:rsidRDefault="00C0087C">
      <w:pPr>
        <w:widowControl w:val="0"/>
        <w:spacing w:line="360" w:lineRule="auto"/>
        <w:jc w:val="both"/>
        <w:rPr>
          <w:rFonts w:ascii="宋体" w:eastAsia="宋体" w:hAnsi="宋体" w:cs="宋体"/>
          <w:sz w:val="21"/>
          <w:szCs w:val="21"/>
          <w:lang w:eastAsia="zh-CN"/>
        </w:rPr>
      </w:pPr>
      <w:r>
        <w:rPr>
          <w:rFonts w:ascii="宋体" w:eastAsia="宋体" w:hAnsi="宋体" w:cs="宋体"/>
          <w:sz w:val="21"/>
          <w:szCs w:val="21"/>
          <w:lang w:eastAsia="zh-CN"/>
        </w:rPr>
        <w:t>2、申购费用由投资人承担，不列入基金财产，主要用于本基金的市场推广、销售、登记等各项费用。</w:t>
      </w:r>
    </w:p>
    <w:p w:rsidR="00FC439C" w:rsidRDefault="00C0087C">
      <w:pPr>
        <w:widowControl w:val="0"/>
        <w:spacing w:line="360" w:lineRule="auto"/>
        <w:jc w:val="both"/>
        <w:rPr>
          <w:rFonts w:ascii="宋体" w:eastAsia="宋体" w:hAnsi="宋体" w:cs="宋体"/>
          <w:sz w:val="21"/>
          <w:szCs w:val="21"/>
          <w:lang w:eastAsia="zh-CN"/>
        </w:rPr>
      </w:pPr>
      <w:r>
        <w:rPr>
          <w:rFonts w:ascii="宋体" w:eastAsia="宋体" w:hAnsi="宋体" w:cs="宋体"/>
          <w:sz w:val="21"/>
          <w:szCs w:val="21"/>
          <w:lang w:eastAsia="zh-CN"/>
        </w:rPr>
        <w:t>3、本基金对通过直销中心申购的养老金客户与除此之外的其他投资人实施差别的申购费率。通过基金管理人的直销中心申购本基金基金份额的养老金客户适用特定申购费率，其他投资人申购本基金基金份额的适用一般申购费率。养老金客户指基本养老基金与依法成立的养老计划筹集的资金及其投资运营收益形成的补充养老基金等，包括但不限于全国社会保障基金、可以投资基金的地方社会保险基金、企业年金单一计划以及集合计划、商业养老保险组合。如将来出现经养老基金监管部门认可的新的养老基金类型，基金管理人可在招募说明书更新时或发布临时公告将其纳入养老金客户范围。非养老金客户指除养老金客户外的其他投资人。</w:t>
      </w:r>
    </w:p>
    <w:p w:rsidR="00FC439C" w:rsidRDefault="00C0087C">
      <w:pPr>
        <w:pStyle w:val="2"/>
        <w:keepLines/>
        <w:widowControl w:val="0"/>
        <w:spacing w:before="156" w:after="156"/>
        <w:jc w:val="both"/>
        <w:rPr>
          <w:rFonts w:ascii="Times New Roman" w:hAnsi="Times New Roman" w:cs="Times New Roman"/>
          <w:lang w:eastAsia="zh-CN"/>
        </w:rPr>
      </w:pPr>
      <w:r>
        <w:rPr>
          <w:rFonts w:ascii="宋体" w:eastAsia="宋体" w:hAnsi="宋体" w:cs="宋体"/>
          <w:i w:val="0"/>
          <w:iCs w:val="0"/>
          <w:sz w:val="24"/>
          <w:szCs w:val="24"/>
          <w:lang w:eastAsia="zh-CN"/>
        </w:rPr>
        <w:t>4 赎回业务</w:t>
      </w:r>
    </w:p>
    <w:p w:rsidR="00FC439C" w:rsidRDefault="00C0087C">
      <w:pPr>
        <w:widowControl w:val="0"/>
        <w:spacing w:before="156" w:after="156"/>
        <w:rPr>
          <w:lang w:eastAsia="zh-CN"/>
        </w:rPr>
      </w:pPr>
      <w:r>
        <w:rPr>
          <w:rFonts w:ascii="宋体" w:eastAsia="宋体" w:hAnsi="宋体" w:cs="宋体"/>
          <w:b/>
          <w:bCs/>
          <w:lang w:eastAsia="zh-CN"/>
        </w:rPr>
        <w:t>4.1 赎回份额限制</w:t>
      </w:r>
    </w:p>
    <w:p w:rsidR="00FC439C" w:rsidRDefault="00C0087C">
      <w:pPr>
        <w:widowControl w:val="0"/>
        <w:spacing w:line="360" w:lineRule="auto"/>
        <w:ind w:firstLine="420"/>
        <w:rPr>
          <w:sz w:val="21"/>
          <w:szCs w:val="21"/>
          <w:lang w:eastAsia="zh-CN"/>
        </w:rPr>
      </w:pPr>
      <w:r>
        <w:rPr>
          <w:rFonts w:ascii="宋体" w:eastAsia="宋体" w:hAnsi="宋体" w:cs="宋体"/>
          <w:sz w:val="21"/>
          <w:szCs w:val="21"/>
          <w:lang w:eastAsia="zh-CN"/>
        </w:rPr>
        <w:t>投资人赎回本基金份额时，可申请将其持有的部分或全部基金份额赎回；账户最低余额为0.01份基金份额，若某笔赎回将导致投资人在销售机构托管的单只基金份额余额不足0.01份时，该笔赎回业务应包括账户内全部基金份额，否则，剩余部分的基金份额将被强制赎回。</w:t>
      </w:r>
    </w:p>
    <w:p w:rsidR="00FC439C" w:rsidRDefault="00C0087C">
      <w:pPr>
        <w:widowControl w:val="0"/>
        <w:spacing w:before="156" w:after="156"/>
        <w:jc w:val="both"/>
        <w:rPr>
          <w:lang w:eastAsia="zh-CN"/>
        </w:rPr>
      </w:pPr>
      <w:r>
        <w:rPr>
          <w:rFonts w:ascii="宋体" w:eastAsia="宋体" w:hAnsi="宋体" w:cs="宋体"/>
          <w:b/>
          <w:bCs/>
          <w:lang w:eastAsia="zh-CN"/>
        </w:rPr>
        <w:t>4.2赎回费率</w:t>
      </w:r>
    </w:p>
    <w:p w:rsidR="00FC439C" w:rsidRDefault="00C0087C">
      <w:pPr>
        <w:widowControl w:val="0"/>
        <w:spacing w:before="156" w:after="156"/>
        <w:ind w:firstLine="550"/>
        <w:jc w:val="both"/>
        <w:rPr>
          <w:sz w:val="22"/>
          <w:szCs w:val="22"/>
          <w:lang w:eastAsia="zh-CN"/>
        </w:rPr>
      </w:pPr>
      <w:r>
        <w:rPr>
          <w:rFonts w:ascii="宋体" w:eastAsia="宋体" w:hAnsi="宋体" w:cs="宋体"/>
          <w:sz w:val="22"/>
          <w:szCs w:val="22"/>
          <w:lang w:eastAsia="zh-CN"/>
        </w:rPr>
        <w:t>本基金的赎回费率如下表所示：</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78"/>
        <w:gridCol w:w="3256"/>
      </w:tblGrid>
      <w:tr w:rsidR="00FC439C" w:rsidRPr="00275E7A" w:rsidTr="006357E6">
        <w:trPr>
          <w:trHeight w:val="643"/>
        </w:trPr>
        <w:tc>
          <w:tcPr>
            <w:tcW w:w="3378" w:type="dxa"/>
            <w:tcMar>
              <w:top w:w="10" w:type="dxa"/>
              <w:left w:w="108" w:type="dxa"/>
              <w:bottom w:w="10" w:type="dxa"/>
              <w:right w:w="108" w:type="dxa"/>
            </w:tcMar>
            <w:vAlign w:val="center"/>
            <w:hideMark/>
          </w:tcPr>
          <w:p w:rsidR="00FC439C" w:rsidRPr="00275E7A" w:rsidRDefault="00C0087C" w:rsidP="00275E7A">
            <w:pPr>
              <w:jc w:val="center"/>
              <w:rPr>
                <w:rFonts w:asciiTheme="minorEastAsia" w:hAnsiTheme="minorEastAsia"/>
                <w:sz w:val="21"/>
                <w:szCs w:val="21"/>
              </w:rPr>
            </w:pPr>
            <w:r w:rsidRPr="00275E7A">
              <w:rPr>
                <w:rFonts w:asciiTheme="minorEastAsia" w:hAnsiTheme="minorEastAsia" w:cs="宋体"/>
                <w:b/>
                <w:bCs/>
                <w:sz w:val="21"/>
                <w:szCs w:val="21"/>
                <w:lang w:eastAsia="zh-CN"/>
              </w:rPr>
              <w:t>持有期限（</w:t>
            </w:r>
            <w:r w:rsidRPr="00275E7A">
              <w:rPr>
                <w:rFonts w:asciiTheme="minorEastAsia" w:hAnsiTheme="minorEastAsia"/>
                <w:b/>
                <w:bCs/>
                <w:sz w:val="21"/>
                <w:szCs w:val="21"/>
                <w:lang w:eastAsia="zh-CN"/>
              </w:rPr>
              <w:t>Y</w:t>
            </w:r>
            <w:r w:rsidRPr="00275E7A">
              <w:rPr>
                <w:rFonts w:asciiTheme="minorEastAsia" w:hAnsiTheme="minorEastAsia" w:cs="宋体"/>
                <w:b/>
                <w:bCs/>
                <w:sz w:val="21"/>
                <w:szCs w:val="21"/>
                <w:lang w:eastAsia="zh-CN"/>
              </w:rPr>
              <w:t>）</w:t>
            </w:r>
          </w:p>
        </w:tc>
        <w:tc>
          <w:tcPr>
            <w:tcW w:w="3256" w:type="dxa"/>
            <w:tcMar>
              <w:top w:w="10" w:type="dxa"/>
              <w:left w:w="123" w:type="dxa"/>
              <w:bottom w:w="10" w:type="dxa"/>
              <w:right w:w="108" w:type="dxa"/>
            </w:tcMar>
            <w:vAlign w:val="center"/>
            <w:hideMark/>
          </w:tcPr>
          <w:p w:rsidR="00FC439C" w:rsidRPr="00275E7A" w:rsidRDefault="00C0087C" w:rsidP="00275E7A">
            <w:pPr>
              <w:jc w:val="center"/>
              <w:rPr>
                <w:rFonts w:asciiTheme="minorEastAsia" w:hAnsiTheme="minorEastAsia"/>
                <w:sz w:val="21"/>
                <w:szCs w:val="21"/>
              </w:rPr>
            </w:pPr>
            <w:r w:rsidRPr="00275E7A">
              <w:rPr>
                <w:rFonts w:asciiTheme="minorEastAsia" w:hAnsiTheme="minorEastAsia" w:cs="宋体"/>
                <w:b/>
                <w:bCs/>
                <w:sz w:val="21"/>
                <w:szCs w:val="21"/>
                <w:lang w:eastAsia="zh-CN"/>
              </w:rPr>
              <w:t>赎回费率</w:t>
            </w:r>
          </w:p>
        </w:tc>
      </w:tr>
      <w:tr w:rsidR="00FC439C" w:rsidRPr="00275E7A" w:rsidTr="006357E6">
        <w:trPr>
          <w:trHeight w:val="461"/>
        </w:trPr>
        <w:tc>
          <w:tcPr>
            <w:tcW w:w="3378" w:type="dxa"/>
            <w:tcMar>
              <w:top w:w="15" w:type="dxa"/>
              <w:left w:w="108" w:type="dxa"/>
              <w:bottom w:w="10" w:type="dxa"/>
              <w:right w:w="108" w:type="dxa"/>
            </w:tcMar>
            <w:vAlign w:val="center"/>
            <w:hideMark/>
          </w:tcPr>
          <w:p w:rsidR="00FC439C" w:rsidRPr="00275E7A" w:rsidRDefault="00C0087C" w:rsidP="00275E7A">
            <w:pPr>
              <w:jc w:val="center"/>
              <w:rPr>
                <w:rFonts w:asciiTheme="minorEastAsia" w:hAnsiTheme="minorEastAsia"/>
                <w:sz w:val="21"/>
                <w:szCs w:val="21"/>
              </w:rPr>
            </w:pPr>
            <w:r w:rsidRPr="00275E7A">
              <w:rPr>
                <w:rFonts w:asciiTheme="minorEastAsia" w:hAnsiTheme="minorEastAsia"/>
                <w:sz w:val="21"/>
                <w:szCs w:val="21"/>
                <w:lang w:eastAsia="zh-CN"/>
              </w:rPr>
              <w:t>Y</w:t>
            </w:r>
            <w:r w:rsidRPr="00275E7A">
              <w:rPr>
                <w:rFonts w:asciiTheme="minorEastAsia" w:hAnsiTheme="minorEastAsia" w:cs="宋体"/>
                <w:sz w:val="21"/>
                <w:szCs w:val="21"/>
                <w:lang w:eastAsia="zh-CN"/>
              </w:rPr>
              <w:t>＜</w:t>
            </w:r>
            <w:r w:rsidRPr="00275E7A">
              <w:rPr>
                <w:rFonts w:asciiTheme="minorEastAsia" w:hAnsiTheme="minorEastAsia"/>
                <w:sz w:val="21"/>
                <w:szCs w:val="21"/>
                <w:lang w:eastAsia="zh-CN"/>
              </w:rPr>
              <w:t>6</w:t>
            </w:r>
            <w:r w:rsidRPr="00275E7A">
              <w:rPr>
                <w:rFonts w:asciiTheme="minorEastAsia" w:hAnsiTheme="minorEastAsia" w:cs="宋体"/>
                <w:sz w:val="21"/>
                <w:szCs w:val="21"/>
                <w:lang w:eastAsia="zh-CN"/>
              </w:rPr>
              <w:t>个月</w:t>
            </w:r>
          </w:p>
        </w:tc>
        <w:tc>
          <w:tcPr>
            <w:tcW w:w="3256" w:type="dxa"/>
            <w:tcMar>
              <w:top w:w="15" w:type="dxa"/>
              <w:left w:w="123" w:type="dxa"/>
              <w:bottom w:w="10" w:type="dxa"/>
              <w:right w:w="108" w:type="dxa"/>
            </w:tcMar>
            <w:vAlign w:val="center"/>
            <w:hideMark/>
          </w:tcPr>
          <w:p w:rsidR="00FC439C" w:rsidRPr="00275E7A" w:rsidRDefault="00C0087C" w:rsidP="00275E7A">
            <w:pPr>
              <w:jc w:val="center"/>
              <w:rPr>
                <w:rFonts w:asciiTheme="minorEastAsia" w:hAnsiTheme="minorEastAsia"/>
                <w:sz w:val="21"/>
                <w:szCs w:val="21"/>
              </w:rPr>
            </w:pPr>
            <w:r w:rsidRPr="00275E7A">
              <w:rPr>
                <w:rFonts w:asciiTheme="minorEastAsia" w:hAnsiTheme="minorEastAsia"/>
                <w:sz w:val="21"/>
                <w:szCs w:val="21"/>
                <w:lang w:eastAsia="zh-CN"/>
              </w:rPr>
              <w:t>1.5%</w:t>
            </w:r>
          </w:p>
        </w:tc>
      </w:tr>
      <w:tr w:rsidR="00FC439C" w:rsidRPr="00275E7A" w:rsidTr="006357E6">
        <w:trPr>
          <w:trHeight w:val="461"/>
        </w:trPr>
        <w:tc>
          <w:tcPr>
            <w:tcW w:w="3378" w:type="dxa"/>
            <w:tcMar>
              <w:top w:w="15" w:type="dxa"/>
              <w:left w:w="108" w:type="dxa"/>
              <w:bottom w:w="10" w:type="dxa"/>
              <w:right w:w="108" w:type="dxa"/>
            </w:tcMar>
            <w:vAlign w:val="center"/>
            <w:hideMark/>
          </w:tcPr>
          <w:p w:rsidR="00FC439C" w:rsidRPr="00275E7A" w:rsidRDefault="00C0087C" w:rsidP="00275E7A">
            <w:pPr>
              <w:jc w:val="center"/>
              <w:rPr>
                <w:rFonts w:asciiTheme="minorEastAsia" w:hAnsiTheme="minorEastAsia"/>
                <w:sz w:val="21"/>
                <w:szCs w:val="21"/>
              </w:rPr>
            </w:pPr>
            <w:r w:rsidRPr="00275E7A">
              <w:rPr>
                <w:rFonts w:asciiTheme="minorEastAsia" w:hAnsiTheme="minorEastAsia"/>
                <w:sz w:val="21"/>
                <w:szCs w:val="21"/>
                <w:lang w:eastAsia="zh-CN"/>
              </w:rPr>
              <w:t>Y≥ 6</w:t>
            </w:r>
            <w:r w:rsidRPr="00275E7A">
              <w:rPr>
                <w:rFonts w:asciiTheme="minorEastAsia" w:hAnsiTheme="minorEastAsia" w:cs="宋体"/>
                <w:sz w:val="21"/>
                <w:szCs w:val="21"/>
                <w:lang w:eastAsia="zh-CN"/>
              </w:rPr>
              <w:t>个月</w:t>
            </w:r>
          </w:p>
        </w:tc>
        <w:tc>
          <w:tcPr>
            <w:tcW w:w="3256" w:type="dxa"/>
            <w:tcMar>
              <w:top w:w="15" w:type="dxa"/>
              <w:left w:w="123" w:type="dxa"/>
              <w:bottom w:w="10" w:type="dxa"/>
              <w:right w:w="108" w:type="dxa"/>
            </w:tcMar>
            <w:vAlign w:val="center"/>
            <w:hideMark/>
          </w:tcPr>
          <w:p w:rsidR="00FC439C" w:rsidRPr="00275E7A" w:rsidRDefault="00C0087C" w:rsidP="00275E7A">
            <w:pPr>
              <w:jc w:val="center"/>
              <w:rPr>
                <w:rFonts w:asciiTheme="minorEastAsia" w:hAnsiTheme="minorEastAsia"/>
                <w:sz w:val="21"/>
                <w:szCs w:val="21"/>
              </w:rPr>
            </w:pPr>
            <w:r w:rsidRPr="00275E7A">
              <w:rPr>
                <w:rFonts w:asciiTheme="minorEastAsia" w:hAnsiTheme="minorEastAsia"/>
                <w:sz w:val="21"/>
                <w:szCs w:val="21"/>
                <w:lang w:eastAsia="zh-CN"/>
              </w:rPr>
              <w:t>0</w:t>
            </w:r>
          </w:p>
        </w:tc>
      </w:tr>
    </w:tbl>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注：赎回费用由赎回基金份额的基金份额持有人承担，在基金份额持有人赎回基金份额时收取。赎回费总额的100%计入基金财产。</w:t>
      </w:r>
    </w:p>
    <w:p w:rsidR="00FC439C" w:rsidRDefault="00C0087C">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5 转换业务</w:t>
      </w:r>
    </w:p>
    <w:p w:rsidR="00FC439C" w:rsidRDefault="00C0087C">
      <w:pPr>
        <w:widowControl w:val="0"/>
        <w:spacing w:before="156" w:after="156"/>
        <w:rPr>
          <w:lang w:eastAsia="zh-CN"/>
        </w:rPr>
      </w:pPr>
      <w:r>
        <w:rPr>
          <w:rFonts w:ascii="宋体" w:eastAsia="宋体" w:hAnsi="宋体" w:cs="宋体"/>
          <w:b/>
          <w:bCs/>
          <w:lang w:eastAsia="zh-CN"/>
        </w:rPr>
        <w:t>5.1 转换费率</w:t>
      </w:r>
    </w:p>
    <w:p w:rsidR="00FC439C" w:rsidRDefault="00C0087C">
      <w:pPr>
        <w:widowControl w:val="0"/>
        <w:spacing w:line="360" w:lineRule="auto"/>
        <w:ind w:firstLine="420"/>
        <w:rPr>
          <w:sz w:val="21"/>
          <w:szCs w:val="21"/>
          <w:lang w:eastAsia="zh-CN"/>
        </w:rPr>
      </w:pPr>
      <w:r>
        <w:rPr>
          <w:rFonts w:ascii="宋体" w:eastAsia="宋体" w:hAnsi="宋体" w:cs="宋体"/>
          <w:sz w:val="21"/>
          <w:szCs w:val="21"/>
          <w:lang w:eastAsia="zh-CN"/>
        </w:rPr>
        <w:t>本基金的转换按照转出基金的赎回费用加上转出与转入基金</w:t>
      </w:r>
      <w:bookmarkStart w:id="0" w:name="_GoBack"/>
      <w:bookmarkEnd w:id="0"/>
      <w:r>
        <w:rPr>
          <w:rFonts w:ascii="宋体" w:eastAsia="宋体" w:hAnsi="宋体" w:cs="宋体"/>
          <w:sz w:val="21"/>
          <w:szCs w:val="21"/>
          <w:lang w:eastAsia="zh-CN"/>
        </w:rPr>
        <w:t>申购费用补差的标准收取费用。具体转换费用组成如下：</w:t>
      </w:r>
    </w:p>
    <w:p w:rsidR="00FC439C" w:rsidRDefault="00C0087C">
      <w:pPr>
        <w:widowControl w:val="0"/>
        <w:spacing w:line="360" w:lineRule="auto"/>
        <w:ind w:firstLine="420"/>
        <w:rPr>
          <w:sz w:val="21"/>
          <w:szCs w:val="21"/>
        </w:rPr>
      </w:pPr>
      <w:r>
        <w:rPr>
          <w:rFonts w:ascii="宋体" w:eastAsia="宋体" w:hAnsi="宋体" w:cs="宋体"/>
          <w:sz w:val="21"/>
          <w:szCs w:val="21"/>
          <w:lang w:eastAsia="zh-CN"/>
        </w:rPr>
        <w:t>1、赎回费用</w:t>
      </w:r>
    </w:p>
    <w:p w:rsidR="00FC439C" w:rsidRDefault="00C0087C">
      <w:pPr>
        <w:widowControl w:val="0"/>
        <w:spacing w:line="360" w:lineRule="auto"/>
        <w:ind w:firstLine="420"/>
        <w:rPr>
          <w:sz w:val="21"/>
          <w:szCs w:val="21"/>
          <w:lang w:eastAsia="zh-CN"/>
        </w:rPr>
      </w:pPr>
      <w:r>
        <w:rPr>
          <w:rFonts w:ascii="宋体" w:eastAsia="宋体" w:hAnsi="宋体" w:cs="宋体"/>
          <w:sz w:val="21"/>
          <w:szCs w:val="21"/>
          <w:lang w:eastAsia="zh-CN"/>
        </w:rPr>
        <w:t>转出基金的赎回费率按持有年限递减，具体各基金的赎回费率请参见各基金的招募说明书或相关业务公告，并可在本公司网站（www.phfund.com.cn）查询。基金转换费用中转出基金的赎回费总额归入转出基金的基金财产比例详见转出基金招募说明书（更新）的约定。</w:t>
      </w:r>
    </w:p>
    <w:p w:rsidR="00FC439C" w:rsidRDefault="00C0087C">
      <w:pPr>
        <w:widowControl w:val="0"/>
        <w:spacing w:line="360" w:lineRule="auto"/>
        <w:ind w:firstLine="420"/>
        <w:rPr>
          <w:sz w:val="21"/>
          <w:szCs w:val="21"/>
          <w:lang w:eastAsia="zh-CN"/>
        </w:rPr>
      </w:pPr>
      <w:r>
        <w:rPr>
          <w:rFonts w:ascii="宋体" w:eastAsia="宋体" w:hAnsi="宋体" w:cs="宋体"/>
          <w:sz w:val="21"/>
          <w:szCs w:val="21"/>
          <w:lang w:eastAsia="zh-CN"/>
        </w:rPr>
        <w:t>2、申购费用补差</w:t>
      </w:r>
    </w:p>
    <w:p w:rsidR="00FC439C" w:rsidRDefault="00C0087C">
      <w:pPr>
        <w:widowControl w:val="0"/>
        <w:spacing w:line="360" w:lineRule="auto"/>
        <w:ind w:firstLine="420"/>
        <w:rPr>
          <w:sz w:val="21"/>
          <w:szCs w:val="21"/>
          <w:lang w:eastAsia="zh-CN"/>
        </w:rPr>
      </w:pPr>
      <w:r>
        <w:rPr>
          <w:rFonts w:ascii="宋体" w:eastAsia="宋体" w:hAnsi="宋体" w:cs="宋体"/>
          <w:sz w:val="21"/>
          <w:szCs w:val="21"/>
          <w:lang w:eastAsia="zh-CN"/>
        </w:rPr>
        <w:t>（1）当转出基金申购费低于转入基金申购费时，则按差额收取申购费用补差；当转出基金申购费高于或等于转入基金申购费时，不收取费用补差。</w:t>
      </w:r>
    </w:p>
    <w:p w:rsidR="00FC439C" w:rsidRDefault="00C0087C">
      <w:pPr>
        <w:widowControl w:val="0"/>
        <w:spacing w:line="360" w:lineRule="auto"/>
        <w:ind w:firstLine="420"/>
        <w:rPr>
          <w:sz w:val="21"/>
          <w:szCs w:val="21"/>
          <w:lang w:eastAsia="zh-CN"/>
        </w:rPr>
      </w:pPr>
      <w:r>
        <w:rPr>
          <w:rFonts w:ascii="宋体" w:eastAsia="宋体" w:hAnsi="宋体" w:cs="宋体"/>
          <w:sz w:val="21"/>
          <w:szCs w:val="21"/>
          <w:lang w:eastAsia="zh-CN"/>
        </w:rPr>
        <w:t>（2）免申购费用的基金转入本基金，转换申购费用补差为本基金的申购费。</w:t>
      </w:r>
    </w:p>
    <w:p w:rsidR="00FC439C" w:rsidRDefault="00C0087C">
      <w:pPr>
        <w:widowControl w:val="0"/>
        <w:spacing w:before="156" w:after="156"/>
        <w:jc w:val="both"/>
        <w:rPr>
          <w:lang w:eastAsia="zh-CN"/>
        </w:rPr>
      </w:pPr>
      <w:r>
        <w:rPr>
          <w:rFonts w:ascii="宋体" w:eastAsia="宋体" w:hAnsi="宋体" w:cs="宋体"/>
          <w:b/>
          <w:bCs/>
          <w:lang w:eastAsia="zh-CN"/>
        </w:rPr>
        <w:t>5.2 其他与转换相关的事项</w:t>
      </w:r>
    </w:p>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1、转换业务适用基金范围</w:t>
      </w:r>
    </w:p>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上述基金的转换业务适用于其与鹏华弘泰灵活配置混合型证券投资基金（包括A类份额和C类份额）、鹏华精选成长混合型证券投资基金（包括A类份额和C类份额）、鹏华信用增利债券型证券投资基金（包括A类份额和B类份额）、鹏华消费优选混合型证券投资基金、鹏华丰盛稳固收益债券型证券投资基金、鹏华新兴产业混合型证券投资基金、鹏华价值精选股票型证券投资基金、鹏华宏观灵活配置混合型证券投资基金、鹏华纯债债券型证券投资基金、鹏华产业债债券型证券投资基金（包括A类份额和C类份额）、鹏华双债增利债券型证券投资基金（包括A类份额和C类份额）、鹏华双债加利债券型证券投资基金（包括A类份额和C类份额）、鹏华量化先锋混合型证券投资基金、鹏华双债保利债券型证券投资基金、鹏华品牌传承灵活配置混合型证券投资基金、鹏华增值宝货币市场基金、鹏华环保产业股票型证券投资基金、鹏华医疗保健股票型证券投资基金、鹏华先进制造股票型证券投资基金、鹏华养老产业股票型证券投资基金、鹏华安盈宝货币市场基金（包括A类份额和C类份额和E类份额）、鹏华可转债债券型证券投资基金（包括A类份额和C类份额）、鹏华弘盛灵活配置混合型证券投资基金（包括A类份额和C类份额）、鹏华弘利灵活配置混合型证券投资基金（包括A类份额和C类份额）、鹏华弘润灵活配置混合型证券投资基金（包括A类份额和C类份额）、鹏华弘泽灵活配置混合型证券投资基金（包括A类份额和C类份额）、鹏华改革红利股票型证券投资基金、鹏华外延成长灵活配置混合型证券投资基金、鹏华弘和灵活配置混合型证券投资基金（包括A类份额和C类份额）、鹏华弘华灵活配置混合型证券投资基金（包括A类份额和C类份额）、鹏华弘实灵活配置混合型证券投资基金（包括A类份额和C类份额）、鹏华弘信灵活配置混合型证券投资基金（包括A类份额和C类份额）、鹏华弘益灵活配置混合型证券投资基金（包括A类份额和C类份额）、鹏华医药科技股票型证券投资基金（包括A类份额和C类份额）、鹏华弘鑫灵活配置混合型证券投资基金（包括A类份额和C类份额）、鹏华添利宝货币市场基金（包括A类份额和B类份额）、鹏华弘安灵活配置混合型证券投资基金（包括A类份额和C类份额）、鹏华丰华债券型证券投资基金、鹏华健康环保灵活配置混合型证券投资基金、鹏华文化传媒娱乐股票型证券投资基金、鹏华添利交易型货币市场基金A类份额、鹏华金城灵活配置混合型证券投资基金、鹏华丰茂债券型证券投资基金、鹏华弘达灵活配置混合型证券投资基金（包括A类份额和C类份额）、鹏华弘嘉灵活配置混合型证券投资基金（包括A类份额和C类份额）、鹏华丰达债券型证券投资基金（包括A类份额和C类份额）、鹏华丰恒债券型证券投资基金（包括A类份额和C类份额和D类份额）、鹏华弘惠灵活配置混合型证券投资基金（包括A类份额和C类份额）、鹏华弘康灵活配置混合型证券投资基金（包括A类份额和C类份额）、鹏华弘尚灵活配置混合型证券投资基金（包括A类份额和C类份额）、鹏华丰禄债券型证券投资基金、鹏华丰腾债券型证券投资基金、鹏华丰盈债券型证券投资基金、鹏华沪深港新兴成长灵活配置混合型证券投资基金（包括A类份额和C类份额）、鹏华丰惠债券型证券投资基金、鹏华安益增强混合型证券投资基金、鹏华丰享债券型证券投资基金、鹏华丰玉债券型证券投资基金（包括A类份额和C类份额）、鹏华丰康债券型证券投资基金（包括A类份额和C类份额）、鹏华丰瑞债券型证券投资基金、鹏华聚财通货币市场基金、鹏华丰源债券型证券投资基金、鹏华盈余宝货币市场基金（包括A类份额和B类份额）、鹏华金元宝货币市场基金、鹏华兴鑫宝货币市场基金（包括A类份额和C类份额和E类份额）、鹏华策略回报灵活配置混合型证券投资基金、鹏华研究精选灵活配置混合型证券投资基金、鹏华优势企业股票型证券投资基金、鹏华产业精选灵活配置混合型证券投资基金（包括A类份额和C类份额）、鹏华睿投灵活配置混合型证券投资基金（包括A类份额和C类份额）、鹏华创新驱动混合型证券投资基金、鹏华研究驱动混合型证券投资基金、鹏华优选回报灵活配置混合型证券投资基金（包括A类份额和C类份额）、鹏华中债1-3年国开行债券指数证券投资基金（包括A类份额和C类份额）、鹏华核心优势混合型证券投资基金（包括A类份额和C类份额）、鹏华研究智选混合型证券投资基金、鹏华金利债券型证券投资基金、鹏华丰登债券型证券投资基金、鹏华浮动净值型发起式货币市场基金、鹏华丰鑫债券型证券投资基金、鹏华丰庆债券型证券投资基金（包括A类份额和C类份额）、鹏华稳利短债债券型证券投资基金（包括A类份额和C类份额）、鹏华金享混合型证券投资基金、鹏华价值驱动混合型证券投资基金、鹏华优选价值股票型证券投资基金（包括A类份额和C类份额）、鹏华0-5年利率债债券型发起式证券投资基金（包括A类份额和C类份额）、鹏华科技创新混合型证券投资基金、鹏华中证500交易型开放式指数证券投资基金联接基金（包括A类份额和C类份额）、鹏华价值成长混合型证券投资基金、鹏华丰诚债券型证券投资基金（包括A类份额和C类份额和D类份额）、鹏华安泽混合型证券投资基金（包括A类份额和C类份额）、鹏华稳健回报混合型证券投资基金（包括A类份额和C类份额）、鹏华鑫享稳健混合型证券投资基金（包括A类份额和C类份额）、鹏华中债3-5年国开行债券指数证券投资基金（包括A类份额和C类份额）、鹏华股息精选混合型证券投资基金、鹏华成长价值混合型证券投资基金（包括A类份额和C类份额）、鹏华普利债券型证券投资基金（包括A类份额和C类份额）、鹏华优质企业混合型证券投资基金（包括A类份额和C类份额）、鹏华安和混合型证券投资基金（包括A类份额和C类份额）、鹏华安庆混合型证券投资基金（包括A类份额和C类份额）、鹏华安惠混合型证券投资基金（包括A类份额和C类份额）、鹏华匠心精选混合型证券投资基金（包括A类份额和C类份额）、鹏华新兴成长混合型证券投资基金（包括A类份额和C类份额）、鹏华安睿两年持有期混合型证券投资基金（包括A类份额和C类份额）、鹏华招华一年持有期混合型证券投资基金（包括A类份额和C类份额）、鹏华中债1-3年农发行债券指数证券投资基金（包括A类份额和C类份额）、鹏华年年红一年持有期债券型证券投资基金（包括A类份额和C类份额）、鹏华中债-0-3年AA+优选信用债指数证券投资基金（包括A类份额和C类份额）、鹏华启航混合型证券投资基金、鹏华成长智选混合型证券投资基金（包括A类份额和C类份额）、鹏华丰颐债券型证券投资基金、鹏华高质量增长混合型证券投资基金（包括A类份额和C类份额）、鹏华优选成长混合型证券投资基金（包括A类份额和C类份额）、鹏华安润混合型证券投资基金（包括A类份额和C类份额）、鹏华安享一年持有期混合型证券投资基金（包括A类份额和C类份额）、鹏华汇智优选混合型证券投资基金（包括A类份额和C类份额）、鹏华安裕5个月持有期混合型证券投资基金（包括A类份额和C类份额）、鹏华弘裕一年持有期混合型证券投资基金（包括A类份额和C类份额）、鹏华安悦一年持有期混合型证券投资基金（包括A类份额和C类份额）、鹏华品质优选混合型证券投资基金（包括A类份额和C类份额）、鹏华宁华一年持有期混合型证券投资基金（包括A类份额和C类份额）、鹏华创新成长混合型证券投资基金（包括A类份额和C类份额）、鹏华致远成长混合型证券投资基金（包括A类份额和C类份额）、鹏华远见回报三年持有期混合型证券投资基金、鹏华民丰盈和6个月持有期混合型证券投资基金（包括A类份额和C类份额）、鹏华招润一年持有期混合型证券投资基金（包括A类份额和C类份额）、鹏华鑫远价值一年持有期混合型证券投资基金（包括A类份额和C类份额）、鹏华远见成长混合型证券投资基金（包括A类份额和C类份额）、鹏华创新升级混合型证券投资基金（包括A类份额和C类份额）、鹏华领航一年持有期混合型证券投资基金（包括A类份额和C类份额）、鹏华稳泰30天滚动持有债券型证券投资基金（包括A类份额和C类份额）、鹏华中证内地低碳经济主题交易型开放式指数证券投资基金联接基金（包括A类份额和C类份额）、鹏华新能源精选混合型证券投资基金（包括A类份额和C类份额）、鹏华丰宁债券型证券投资基金（包括A类份额和C类份额）、鹏华品质成长混合型证券投资基金（包括A类份额和C类份额）、鹏华国证半导体芯片交易型开放式指数证券投资基金联接基金（包括A类份额和C类份额）、鹏华稳健鸿利一年持有期混合型证券投资基金（包括A类份额和C类份额）、鹏华产业升级混合型证券投资基金（包括A类份额和C类份额）、鹏华安诚混合型证券投资基金（包括A类份额和C类份额）、鹏华安荣混合型证券投资基金（包括A类份额和C类份额）、鹏华精选群英一年持有期灵活配置混合型管理人中管理人（MOM）证券投资基金、鹏华品质精选混合型证券投资基金（包括A类份额和C类份额）、鹏华安康一年持有期混合型证券投资基金（包括A类份额和C类份额）、鹏华安颐混合型证券投资基金（包括A类份额和C类份额）、鹏华稳华90天滚动持有债券型证券投资基金（包括A类份额和C类份额）、鹏华沃鑫混合型证券投资基金（包括A类份额和C类份额）、鹏华稳瑞中短债债券型证券投资基金、鹏华中证500指数增强型证券投资基金（包括A类份额和C类份额）、鹏华成长领航两年持有期混合型证券投资基金（包括A类份额和C类份额）、鹏华价值远航6个月持有期混合型证券投资基金（包括A类份额和C类份额）、鹏华中证细分化工产业主题交易型开放式指数证券投资基金联接基金（包括A类份额和C类份额）、鹏华双季享180天持有期债券型证券投资基金（包括A类份额和C类份额）、鹏华浙华一年持有期混合型证券投资基金（包括A类份额和C类份额）、鹏华创新增长一年持有期混合型证券投资基金（包括A类份额和C类份额）、鹏华鑫华一年持有期混合型证券投资基金（包括A类份额和C类份额）、鹏华稳享一年持有期混合型证券投资基金（包括A类份额和C类份额）、鹏华新能源汽车主题混合型证券投资基金（包括A类份额和C类份额）、鹏华增华混合型证券投资基金（包括A类份额和C类份额）、鹏华兴鹏一年持有期混合型证券投资基金（包括A类份额和C类份额）、鹏华增鑫股票型证券投资基金（包括A类份额和C类份额）、鹏华丰启债券型证券投资基金、鹏华畅享债券型证券投资基金（包括A类份额和C类份额）、鹏华创兴增利债券型证券投资基金（包括A类份额和C类份额和D类份额）、鹏华稳福中短债债券型证券投资基金（包括A类份额和C类份额和E类份额）、鹏华中证中药交易型开放式指数证券投资基金联接基金（包括A类份额和C类份额）、鹏华中证1000指数增强型证券投资基金（包括A类份额和C类份额）、鹏华稳健增利债券型证券投资基金（包括A类份额和C类份额）、鹏华稳健恒利债券型证券投资基金（包括A类份额和C类份额）、鹏华睿进一年持有期混合型证券投资基金（包括A类份额和C类份额）、鹏华国证2000指数增强型证券投资基金（包括A类份额和C类份额）、鹏华丰尊债券型证券投资基金、鹏华汽车产业混合型发起式证券投资基金（包括A类份额和C类份额）、鹏华新材料混合型发起式证券投资基金（包括A类份额和C类份额）、鹏华稳健添利债券型证券投资基金（包括A类份额和C类份额）、鹏华碳中和主题混合型证券投资基金（包括A类份额和C类份额）、鹏华芯片产业混合型发起式证券投资基金（包括A类份额和C类份额）、鹏华丰顺债券型证券投资基金、鹏华睿见混合型证券投资基金（包括A类份额和C类份额）、鹏华创业板50交易型开放式指数证券投资基金联接基金（包括A类份额和C类份额）、鹏华信用债6个月持有期债券型证券投资基金（包括A类份额和C类份额）、鹏华远见精选混合型发起式证券投资基金（包括A类份额和C类份额）、鹏华上证科创板100交易型开放式指数证券投资基金联接基金（包括A类份额和C类份额）、鹏华丰景债券型证券投资基金</w:t>
      </w:r>
      <w:r w:rsidR="004149E1">
        <w:rPr>
          <w:rFonts w:ascii="宋体" w:eastAsia="宋体" w:hAnsi="宋体" w:cs="宋体" w:hint="eastAsia"/>
          <w:sz w:val="21"/>
          <w:szCs w:val="21"/>
          <w:lang w:eastAsia="zh-CN"/>
        </w:rPr>
        <w:t>、</w:t>
      </w:r>
      <w:r w:rsidR="004149E1" w:rsidRPr="004149E1">
        <w:rPr>
          <w:rFonts w:ascii="宋体" w:eastAsia="宋体" w:hAnsi="宋体" w:cs="宋体" w:hint="eastAsia"/>
          <w:sz w:val="21"/>
          <w:szCs w:val="21"/>
          <w:lang w:eastAsia="zh-CN"/>
        </w:rPr>
        <w:t>鹏华智投800混合型证券投资基金（包括A类份额和C类份额）</w:t>
      </w:r>
      <w:r>
        <w:rPr>
          <w:rFonts w:ascii="宋体" w:eastAsia="宋体" w:hAnsi="宋体" w:cs="宋体"/>
          <w:sz w:val="21"/>
          <w:szCs w:val="21"/>
          <w:lang w:eastAsia="zh-CN"/>
        </w:rPr>
        <w:t>之间的基金转换。</w:t>
      </w:r>
    </w:p>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注：我司旗下定期开放产品在开放期间开通转换业务的，也适用于与本基金在开放期间的基金转换。</w:t>
      </w:r>
    </w:p>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2、基金转换份额的计算</w:t>
      </w:r>
    </w:p>
    <w:p w:rsidR="00FC439C" w:rsidRDefault="00C0087C">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基金转换计算公式如下：</w:t>
      </w:r>
    </w:p>
    <w:p w:rsidR="00FC439C" w:rsidRDefault="00C0087C">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转出基金赎回手续费＝转出份额×转出净值×转出基金赎回手续费率</w:t>
      </w:r>
    </w:p>
    <w:p w:rsidR="00FC439C" w:rsidRDefault="00C0087C">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转出金额=转出份额×转出基金当日基金份额净值－转出基金赎回手续费</w:t>
      </w:r>
    </w:p>
    <w:p w:rsidR="00FC439C" w:rsidRDefault="00C0087C">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补差费（外扣）＝转出金额×转入基金的申购费率/（1＋转入基金申购费率）－转出金额×转出基金申购费率/（1＋转出基金申购费率）</w:t>
      </w:r>
    </w:p>
    <w:p w:rsidR="00FC439C" w:rsidRDefault="00C0087C">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转换费用＝转出基金赎回手续费＋补差费</w:t>
      </w:r>
    </w:p>
    <w:p w:rsidR="00FC439C" w:rsidRDefault="00C0087C">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转入份额＝（转出金额－补差费）/转入基金当日基金份额净值</w:t>
      </w:r>
    </w:p>
    <w:p w:rsidR="00FC439C" w:rsidRDefault="00C0087C">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例如：某基金份额持有人（非养老金客户）持有本基金份额10,000 份，持有</w:t>
      </w:r>
      <w:r w:rsidR="00275E7A">
        <w:rPr>
          <w:rFonts w:ascii="宋体" w:eastAsia="宋体" w:hAnsi="宋体" w:cs="宋体" w:hint="eastAsia"/>
          <w:sz w:val="21"/>
          <w:szCs w:val="21"/>
          <w:lang w:eastAsia="zh-CN"/>
        </w:rPr>
        <w:t>6个月</w:t>
      </w:r>
      <w:r>
        <w:rPr>
          <w:rFonts w:ascii="宋体" w:eastAsia="宋体" w:hAnsi="宋体" w:cs="宋体"/>
          <w:sz w:val="21"/>
          <w:szCs w:val="21"/>
          <w:lang w:eastAsia="zh-CN"/>
        </w:rPr>
        <w:t>后，在本基金处于开放期间时决定转换为鹏华价值精选股票型证券投资基金，本基金对应前端申购费率为</w:t>
      </w:r>
      <w:r w:rsidR="00904E87">
        <w:rPr>
          <w:rFonts w:ascii="宋体" w:eastAsia="宋体" w:hAnsi="宋体" w:cs="宋体"/>
          <w:sz w:val="21"/>
          <w:szCs w:val="21"/>
          <w:lang w:eastAsia="zh-CN"/>
        </w:rPr>
        <w:t>0.8</w:t>
      </w:r>
      <w:r>
        <w:rPr>
          <w:rFonts w:ascii="宋体" w:eastAsia="宋体" w:hAnsi="宋体" w:cs="宋体"/>
          <w:sz w:val="21"/>
          <w:szCs w:val="21"/>
          <w:lang w:eastAsia="zh-CN"/>
        </w:rPr>
        <w:t xml:space="preserve">%，赎回费率为0，假设转换当日转出基金份额净值是1.08元，转入基金的份额净值是1.05元，并且转入基金对应的前端申购费率为1.5%，则可得到的转换份额为： </w:t>
      </w:r>
    </w:p>
    <w:p w:rsidR="00FC439C" w:rsidRDefault="00C0087C">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转出基金赎回手续费＝0元</w:t>
      </w:r>
    </w:p>
    <w:p w:rsidR="00FC439C" w:rsidRDefault="00C0087C">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转出金额=10,000×1.080=10,800元</w:t>
      </w:r>
    </w:p>
    <w:p w:rsidR="00FC439C" w:rsidRDefault="00C0087C">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补差费（外扣）＝10,800×1.5%/(1+1.5%)-10,800×0.</w:t>
      </w:r>
      <w:r w:rsidR="00904E87">
        <w:rPr>
          <w:rFonts w:ascii="宋体" w:eastAsia="宋体" w:hAnsi="宋体" w:cs="宋体"/>
          <w:sz w:val="21"/>
          <w:szCs w:val="21"/>
          <w:lang w:eastAsia="zh-CN"/>
        </w:rPr>
        <w:t>8</w:t>
      </w:r>
      <w:r>
        <w:rPr>
          <w:rFonts w:ascii="宋体" w:eastAsia="宋体" w:hAnsi="宋体" w:cs="宋体"/>
          <w:sz w:val="21"/>
          <w:szCs w:val="21"/>
          <w:lang w:eastAsia="zh-CN"/>
        </w:rPr>
        <w:t>%/(1+0.</w:t>
      </w:r>
      <w:r w:rsidR="00904E87">
        <w:rPr>
          <w:rFonts w:ascii="宋体" w:eastAsia="宋体" w:hAnsi="宋体" w:cs="宋体"/>
          <w:sz w:val="21"/>
          <w:szCs w:val="21"/>
          <w:lang w:eastAsia="zh-CN"/>
        </w:rPr>
        <w:t>8</w:t>
      </w:r>
      <w:r>
        <w:rPr>
          <w:rFonts w:ascii="宋体" w:eastAsia="宋体" w:hAnsi="宋体" w:cs="宋体"/>
          <w:sz w:val="21"/>
          <w:szCs w:val="21"/>
          <w:lang w:eastAsia="zh-CN"/>
        </w:rPr>
        <w:t>%)=</w:t>
      </w:r>
      <w:r w:rsidR="00904E87">
        <w:rPr>
          <w:rFonts w:ascii="宋体" w:eastAsia="宋体" w:hAnsi="宋体" w:cs="宋体" w:hint="eastAsia"/>
          <w:sz w:val="21"/>
          <w:szCs w:val="21"/>
          <w:lang w:eastAsia="zh-CN"/>
        </w:rPr>
        <w:t>73.89</w:t>
      </w:r>
      <w:r>
        <w:rPr>
          <w:rFonts w:ascii="宋体" w:eastAsia="宋体" w:hAnsi="宋体" w:cs="宋体"/>
          <w:sz w:val="21"/>
          <w:szCs w:val="21"/>
          <w:lang w:eastAsia="zh-CN"/>
        </w:rPr>
        <w:t>元</w:t>
      </w:r>
    </w:p>
    <w:p w:rsidR="00FC439C" w:rsidRDefault="00C0087C">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转换费用＝0+</w:t>
      </w:r>
      <w:r w:rsidR="00904E87">
        <w:rPr>
          <w:rFonts w:ascii="宋体" w:eastAsia="宋体" w:hAnsi="宋体" w:cs="宋体" w:hint="eastAsia"/>
          <w:sz w:val="21"/>
          <w:szCs w:val="21"/>
          <w:lang w:eastAsia="zh-CN"/>
        </w:rPr>
        <w:t>73.89</w:t>
      </w:r>
      <w:r>
        <w:rPr>
          <w:rFonts w:ascii="宋体" w:eastAsia="宋体" w:hAnsi="宋体" w:cs="宋体"/>
          <w:sz w:val="21"/>
          <w:szCs w:val="21"/>
          <w:lang w:eastAsia="zh-CN"/>
        </w:rPr>
        <w:t>＝</w:t>
      </w:r>
      <w:r w:rsidR="00904E87">
        <w:rPr>
          <w:rFonts w:ascii="宋体" w:eastAsia="宋体" w:hAnsi="宋体" w:cs="宋体" w:hint="eastAsia"/>
          <w:sz w:val="21"/>
          <w:szCs w:val="21"/>
          <w:lang w:eastAsia="zh-CN"/>
        </w:rPr>
        <w:t>73.89</w:t>
      </w:r>
      <w:r>
        <w:rPr>
          <w:rFonts w:ascii="宋体" w:eastAsia="宋体" w:hAnsi="宋体" w:cs="宋体"/>
          <w:sz w:val="21"/>
          <w:szCs w:val="21"/>
          <w:lang w:eastAsia="zh-CN"/>
        </w:rPr>
        <w:t>元</w:t>
      </w:r>
    </w:p>
    <w:p w:rsidR="00FC439C" w:rsidRDefault="00C0087C">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转入份额＝（10,800－</w:t>
      </w:r>
      <w:r w:rsidR="00904E87">
        <w:rPr>
          <w:rFonts w:ascii="宋体" w:eastAsia="宋体" w:hAnsi="宋体" w:cs="宋体" w:hint="eastAsia"/>
          <w:sz w:val="21"/>
          <w:szCs w:val="21"/>
          <w:lang w:eastAsia="zh-CN"/>
        </w:rPr>
        <w:t>73.89</w:t>
      </w:r>
      <w:r>
        <w:rPr>
          <w:rFonts w:ascii="宋体" w:eastAsia="宋体" w:hAnsi="宋体" w:cs="宋体"/>
          <w:sz w:val="21"/>
          <w:szCs w:val="21"/>
          <w:lang w:eastAsia="zh-CN"/>
        </w:rPr>
        <w:t>）/1.05＝</w:t>
      </w:r>
      <w:r w:rsidR="00904E87">
        <w:rPr>
          <w:rFonts w:ascii="宋体" w:eastAsia="宋体" w:hAnsi="宋体" w:cs="宋体"/>
          <w:sz w:val="21"/>
          <w:szCs w:val="21"/>
          <w:lang w:eastAsia="zh-CN"/>
        </w:rPr>
        <w:t>10,</w:t>
      </w:r>
      <w:r w:rsidR="00904E87">
        <w:rPr>
          <w:rFonts w:ascii="宋体" w:eastAsia="宋体" w:hAnsi="宋体" w:cs="宋体" w:hint="eastAsia"/>
          <w:sz w:val="21"/>
          <w:szCs w:val="21"/>
          <w:lang w:eastAsia="zh-CN"/>
        </w:rPr>
        <w:t>215</w:t>
      </w:r>
      <w:r w:rsidR="00904E87">
        <w:rPr>
          <w:rFonts w:ascii="宋体" w:eastAsia="宋体" w:hAnsi="宋体" w:cs="宋体"/>
          <w:sz w:val="21"/>
          <w:szCs w:val="21"/>
          <w:lang w:eastAsia="zh-CN"/>
        </w:rPr>
        <w:t>.</w:t>
      </w:r>
      <w:r w:rsidR="00904E87">
        <w:rPr>
          <w:rFonts w:ascii="宋体" w:eastAsia="宋体" w:hAnsi="宋体" w:cs="宋体" w:hint="eastAsia"/>
          <w:sz w:val="21"/>
          <w:szCs w:val="21"/>
          <w:lang w:eastAsia="zh-CN"/>
        </w:rPr>
        <w:t>34</w:t>
      </w:r>
    </w:p>
    <w:p w:rsidR="00FC439C" w:rsidRDefault="00C0087C">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即：某基金份额持有人（非养老金客户）持有10,000 份本基金份额</w:t>
      </w:r>
      <w:r w:rsidR="00275E7A">
        <w:rPr>
          <w:rFonts w:ascii="宋体" w:eastAsia="宋体" w:hAnsi="宋体" w:cs="宋体" w:hint="eastAsia"/>
          <w:sz w:val="21"/>
          <w:szCs w:val="21"/>
          <w:lang w:eastAsia="zh-CN"/>
        </w:rPr>
        <w:t>6个</w:t>
      </w:r>
      <w:r w:rsidR="00275E7A">
        <w:rPr>
          <w:rFonts w:ascii="宋体" w:eastAsia="宋体" w:hAnsi="宋体" w:cs="宋体"/>
          <w:sz w:val="21"/>
          <w:szCs w:val="21"/>
          <w:lang w:eastAsia="zh-CN"/>
        </w:rPr>
        <w:t>月</w:t>
      </w:r>
      <w:r>
        <w:rPr>
          <w:rFonts w:ascii="宋体" w:eastAsia="宋体" w:hAnsi="宋体" w:cs="宋体"/>
          <w:sz w:val="21"/>
          <w:szCs w:val="21"/>
          <w:lang w:eastAsia="zh-CN"/>
        </w:rPr>
        <w:t>后，在本基金处于开放期间时转换为鹏华价值精选股票型证券投资基金，假设转换当日转出基金份额净值是1.08元，转入基金的基金份额净值是1.05元，则可得到的转换份额为</w:t>
      </w:r>
      <w:r w:rsidR="00904E87">
        <w:rPr>
          <w:rFonts w:ascii="宋体" w:eastAsia="宋体" w:hAnsi="宋体" w:cs="宋体"/>
          <w:sz w:val="21"/>
          <w:szCs w:val="21"/>
          <w:lang w:eastAsia="zh-CN"/>
        </w:rPr>
        <w:t>10,</w:t>
      </w:r>
      <w:r w:rsidR="00904E87">
        <w:rPr>
          <w:rFonts w:ascii="宋体" w:eastAsia="宋体" w:hAnsi="宋体" w:cs="宋体" w:hint="eastAsia"/>
          <w:sz w:val="21"/>
          <w:szCs w:val="21"/>
          <w:lang w:eastAsia="zh-CN"/>
        </w:rPr>
        <w:t>215</w:t>
      </w:r>
      <w:r w:rsidR="00904E87">
        <w:rPr>
          <w:rFonts w:ascii="宋体" w:eastAsia="宋体" w:hAnsi="宋体" w:cs="宋体"/>
          <w:sz w:val="21"/>
          <w:szCs w:val="21"/>
          <w:lang w:eastAsia="zh-CN"/>
        </w:rPr>
        <w:t>.</w:t>
      </w:r>
      <w:r w:rsidR="00904E87">
        <w:rPr>
          <w:rFonts w:ascii="宋体" w:eastAsia="宋体" w:hAnsi="宋体" w:cs="宋体" w:hint="eastAsia"/>
          <w:sz w:val="21"/>
          <w:szCs w:val="21"/>
          <w:lang w:eastAsia="zh-CN"/>
        </w:rPr>
        <w:t>34</w:t>
      </w:r>
      <w:r>
        <w:rPr>
          <w:rFonts w:ascii="宋体" w:eastAsia="宋体" w:hAnsi="宋体" w:cs="宋体"/>
          <w:sz w:val="21"/>
          <w:szCs w:val="21"/>
          <w:lang w:eastAsia="zh-CN"/>
        </w:rPr>
        <w:t>份。</w:t>
      </w:r>
    </w:p>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3、转换业务规则</w:t>
      </w:r>
    </w:p>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（1）基金转换只能在同一销售机构进行，且办理基金转换业务的销售机构须同时具备拟转出基金及拟转入基金的合法授权代理资格，并开通了相应的基金转换业务。</w:t>
      </w:r>
    </w:p>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2）基金份额登记机构以收到有效转换申请的当天作为转换申请日（T日）。投资人转换基金成功的，基金份额登记机构在T+1日为投资人办理权益转换的登记手续，投资人通常可自T+2日（含该日）后向业务办理网点查询转换业务的确认情况。</w:t>
      </w:r>
    </w:p>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（3）基金转换后，转入的基金份额的持有期将自转入的基金份额被确认之日起重新开始计算。</w:t>
      </w:r>
    </w:p>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（4）本基金单笔转换申请的最低份额为2份，基金份额持有人可将其全部或部分基金份额转换。</w:t>
      </w:r>
    </w:p>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5）对于转出基金的单个基金账户最低余额，请参见各基金的招募说明书或相关业务公告，若某笔转换将导致投资人在销售机构托管的转出基金份额余额不足最低余额时，该笔转换业务应包括账户内转出基金的全部基金份额，否则，剩余部分的基金份额将被强制赎回。</w:t>
      </w:r>
    </w:p>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（6）基金转换以申请当日基金份额净值为基础计算。投资人采用“份额转换”的原则提交申请。转出基金份额必须是可用份额，并遵循赎回处理的原则。</w:t>
      </w:r>
    </w:p>
    <w:p w:rsidR="00FC439C" w:rsidRDefault="00C0087C">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6 基金销售机构</w:t>
      </w:r>
    </w:p>
    <w:p w:rsidR="00FC439C" w:rsidRDefault="00C0087C">
      <w:pPr>
        <w:widowControl w:val="0"/>
        <w:spacing w:before="156" w:after="156"/>
        <w:jc w:val="both"/>
        <w:rPr>
          <w:lang w:eastAsia="zh-CN"/>
        </w:rPr>
      </w:pPr>
      <w:r>
        <w:rPr>
          <w:rFonts w:ascii="宋体" w:eastAsia="宋体" w:hAnsi="宋体" w:cs="宋体"/>
          <w:b/>
          <w:bCs/>
          <w:lang w:eastAsia="zh-CN"/>
        </w:rPr>
        <w:t>6.1 直销机构</w:t>
      </w:r>
    </w:p>
    <w:p w:rsidR="00FC439C" w:rsidRDefault="00C0087C">
      <w:pPr>
        <w:widowControl w:val="0"/>
        <w:spacing w:line="360" w:lineRule="auto"/>
        <w:ind w:firstLine="420"/>
        <w:rPr>
          <w:sz w:val="21"/>
          <w:szCs w:val="21"/>
          <w:lang w:eastAsia="zh-CN"/>
        </w:rPr>
      </w:pPr>
      <w:r>
        <w:rPr>
          <w:rFonts w:ascii="宋体" w:eastAsia="宋体" w:hAnsi="宋体" w:cs="宋体"/>
          <w:sz w:val="21"/>
          <w:szCs w:val="21"/>
          <w:lang w:eastAsia="zh-CN"/>
        </w:rPr>
        <w:t>鹏华基金管理有限公司</w:t>
      </w:r>
    </w:p>
    <w:p w:rsidR="00FC439C" w:rsidRDefault="00C0087C">
      <w:pPr>
        <w:widowControl w:val="0"/>
        <w:spacing w:line="360" w:lineRule="auto"/>
        <w:ind w:firstLine="420"/>
        <w:rPr>
          <w:sz w:val="21"/>
          <w:szCs w:val="21"/>
          <w:lang w:eastAsia="zh-CN"/>
        </w:rPr>
      </w:pPr>
      <w:r>
        <w:rPr>
          <w:rFonts w:ascii="宋体" w:eastAsia="宋体" w:hAnsi="宋体" w:cs="宋体"/>
          <w:sz w:val="21"/>
          <w:szCs w:val="21"/>
          <w:lang w:eastAsia="zh-CN"/>
        </w:rPr>
        <w:t>办公地址：深圳市福田区福华三路168号深圳国际商会中心43层</w:t>
      </w:r>
    </w:p>
    <w:p w:rsidR="00FC439C" w:rsidRDefault="00C0087C">
      <w:pPr>
        <w:widowControl w:val="0"/>
        <w:spacing w:line="360" w:lineRule="auto"/>
        <w:ind w:firstLine="420"/>
        <w:rPr>
          <w:sz w:val="21"/>
          <w:szCs w:val="21"/>
        </w:rPr>
      </w:pPr>
      <w:r>
        <w:rPr>
          <w:rFonts w:ascii="宋体" w:eastAsia="宋体" w:hAnsi="宋体" w:cs="宋体"/>
          <w:sz w:val="21"/>
          <w:szCs w:val="21"/>
          <w:lang w:eastAsia="zh-CN"/>
        </w:rPr>
        <w:t>网址：www.phfund.com.cn</w:t>
      </w:r>
    </w:p>
    <w:p w:rsidR="00FC439C" w:rsidRDefault="00C0087C">
      <w:pPr>
        <w:widowControl w:val="0"/>
        <w:spacing w:line="360" w:lineRule="auto"/>
        <w:ind w:firstLine="420"/>
        <w:rPr>
          <w:sz w:val="21"/>
          <w:szCs w:val="21"/>
          <w:lang w:eastAsia="zh-CN"/>
        </w:rPr>
      </w:pPr>
      <w:r>
        <w:rPr>
          <w:rFonts w:ascii="宋体" w:eastAsia="宋体" w:hAnsi="宋体" w:cs="宋体"/>
          <w:sz w:val="21"/>
          <w:szCs w:val="21"/>
          <w:lang w:eastAsia="zh-CN"/>
        </w:rPr>
        <w:t>全国统一客户服务电话：400-6788-533</w:t>
      </w:r>
    </w:p>
    <w:p w:rsidR="00FC439C" w:rsidRDefault="00C0087C">
      <w:pPr>
        <w:widowControl w:val="0"/>
        <w:spacing w:before="156" w:after="156"/>
        <w:jc w:val="both"/>
        <w:rPr>
          <w:lang w:eastAsia="zh-CN"/>
        </w:rPr>
      </w:pPr>
      <w:r>
        <w:rPr>
          <w:rFonts w:ascii="宋体" w:eastAsia="宋体" w:hAnsi="宋体" w:cs="宋体"/>
          <w:b/>
          <w:bCs/>
          <w:lang w:eastAsia="zh-CN"/>
        </w:rPr>
        <w:t>6.2 其他销售机构</w:t>
      </w:r>
    </w:p>
    <w:p w:rsidR="00FC439C" w:rsidRDefault="00C0087C">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1、银行销售机构：东莞银行、宁波银行、江苏银行、建设银行、招商银行、兴业银行、平安银行。</w:t>
      </w:r>
    </w:p>
    <w:p w:rsidR="00FC439C" w:rsidRDefault="00C0087C">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2、证券（期货）销售机构：中信期货、广发证券、中信证券（山东）、大同证券、平安证券、华西证券、中山证券、中信建投、中信证券（华南）、国投证券、国金证券、中信证券、招商证券。</w:t>
      </w:r>
    </w:p>
    <w:p w:rsidR="00FC439C" w:rsidRDefault="00C0087C">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3、第三方销售机构：博时财富、中国人寿、诺亚正行、上海好买、陆基金、上海天天、新兰德、深圳众禄、浙江同花顺、盈米财富、基煜基金、挖财基金、万得基金、蚂蚁基金、上海利得、腾安基金、弈丰基金、创金启富、和耕传承、意才基金、上海长量、阳光人寿、汇成基金、雪球基金、苏宁基金、北京肯特瑞、中植基金。</w:t>
      </w:r>
    </w:p>
    <w:p w:rsidR="00FC439C" w:rsidRDefault="00C0087C">
      <w:pPr>
        <w:pStyle w:val="2"/>
        <w:keepLines/>
        <w:widowControl w:val="0"/>
        <w:spacing w:before="156" w:after="156"/>
        <w:jc w:val="both"/>
        <w:rPr>
          <w:rFonts w:ascii="Times New Roman" w:hAnsi="Times New Roman" w:cs="Times New Roman"/>
          <w:lang w:eastAsia="zh-CN"/>
        </w:rPr>
      </w:pPr>
      <w:r>
        <w:rPr>
          <w:rFonts w:ascii="宋体" w:eastAsia="宋体" w:hAnsi="宋体" w:cs="宋体"/>
          <w:i w:val="0"/>
          <w:iCs w:val="0"/>
          <w:sz w:val="24"/>
          <w:szCs w:val="24"/>
          <w:lang w:eastAsia="zh-CN"/>
        </w:rPr>
        <w:t>7 基金份额净值公告/基金收益公告的披露安排</w:t>
      </w:r>
    </w:p>
    <w:p w:rsidR="00FC439C" w:rsidRDefault="00C0087C">
      <w:pPr>
        <w:widowControl w:val="0"/>
        <w:spacing w:line="360" w:lineRule="auto"/>
        <w:ind w:firstLine="420"/>
        <w:rPr>
          <w:sz w:val="21"/>
          <w:szCs w:val="21"/>
          <w:lang w:eastAsia="zh-CN"/>
        </w:rPr>
      </w:pPr>
      <w:r>
        <w:rPr>
          <w:rFonts w:ascii="宋体" w:eastAsia="宋体" w:hAnsi="宋体" w:cs="宋体"/>
          <w:sz w:val="21"/>
          <w:szCs w:val="21"/>
          <w:lang w:eastAsia="zh-CN"/>
        </w:rPr>
        <w:t>在</w:t>
      </w:r>
      <w:r w:rsidR="00904E87" w:rsidRPr="00B171D9">
        <w:rPr>
          <w:rFonts w:ascii="宋体" w:eastAsia="宋体" w:hAnsi="宋体" w:cs="宋体" w:hint="eastAsia"/>
          <w:sz w:val="21"/>
          <w:szCs w:val="21"/>
          <w:lang w:eastAsia="zh-CN"/>
        </w:rPr>
        <w:t>开始办理基金份额申购或者赎回</w:t>
      </w:r>
      <w:r w:rsidR="00904E87">
        <w:rPr>
          <w:rFonts w:ascii="宋体" w:eastAsia="宋体" w:hAnsi="宋体" w:cs="宋体" w:hint="eastAsia"/>
          <w:sz w:val="21"/>
          <w:szCs w:val="21"/>
          <w:lang w:eastAsia="zh-CN"/>
        </w:rPr>
        <w:t>后</w:t>
      </w:r>
      <w:r>
        <w:rPr>
          <w:rFonts w:ascii="宋体" w:eastAsia="宋体" w:hAnsi="宋体" w:cs="宋体"/>
          <w:sz w:val="21"/>
          <w:szCs w:val="21"/>
          <w:lang w:eastAsia="zh-CN"/>
        </w:rPr>
        <w:t>，本基金在不晚于每个开放日的次日，通过规定网站、基金销售机构网站或者营业网点，披露开放日的基金份额净值和基金份额累计净值。</w:t>
      </w:r>
    </w:p>
    <w:p w:rsidR="00FC439C" w:rsidRDefault="00C0087C">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8 其他需要提示的事项</w:t>
      </w:r>
    </w:p>
    <w:p w:rsidR="00FC439C" w:rsidRDefault="00C0087C">
      <w:pPr>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1、本基金的封闭期为自基金合同生效之日（含）起或自每一开放期结束之日次日（含）起6个月的期间。本基金的第一个封闭期为自基金合同生效之日起6个月。下一个封闭期为首个开放期结束之日次日起6个月，以此类推。本基金封闭期内不办理申购与赎回业务，也不上市交易。</w:t>
      </w:r>
    </w:p>
    <w:p w:rsidR="00FC439C" w:rsidRDefault="00C0087C">
      <w:pPr>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2、一般情况下，本基金的开放期为自封闭期结束之日后第一个工作日（含）起不少于五个工作日、不超过二十个工作日的期间，具体期间由基金管理人在封闭期结束前公告说明。开放期内，本基金采取开放运作方式，投资人可办理基金份额的申购、赎回或其他业务，开放期未赎回的份额将自动转入下一个封闭期。</w:t>
      </w:r>
    </w:p>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3、如发生不可抗力或其他情形致使基金无法按时开放或需依据基金合同暂停申购与赎回业务的，基金管理人有权合理调整申购或赎回业务的办理期间并予以公告。</w:t>
      </w:r>
    </w:p>
    <w:p w:rsidR="00FC439C" w:rsidRDefault="00C0087C">
      <w:pPr>
        <w:widowControl w:val="0"/>
        <w:spacing w:line="360" w:lineRule="auto"/>
        <w:ind w:firstLine="420"/>
        <w:jc w:val="both"/>
        <w:rPr>
          <w:sz w:val="21"/>
          <w:szCs w:val="21"/>
          <w:lang w:eastAsia="zh-CN"/>
        </w:rPr>
      </w:pPr>
      <w:r>
        <w:rPr>
          <w:rFonts w:ascii="宋体" w:eastAsia="宋体" w:hAnsi="宋体" w:cs="宋体"/>
          <w:sz w:val="21"/>
          <w:szCs w:val="21"/>
          <w:lang w:eastAsia="zh-CN"/>
        </w:rPr>
        <w:t>4、本公告仅对本基金开放申购、赎回和转换业务的有关事项予以说明。投资人欲了解本基金相关业务规则的详细情况，请阅读刊登在中国证监会规定信息披露媒介上的《鹏华兴泰定期开放灵活配置混合型证券投资基金招募说明书》及其更新。</w:t>
      </w:r>
    </w:p>
    <w:p w:rsidR="00FC439C" w:rsidRDefault="00FC439C">
      <w:pPr>
        <w:widowControl w:val="0"/>
        <w:spacing w:line="360" w:lineRule="auto"/>
        <w:ind w:firstLine="420"/>
        <w:rPr>
          <w:sz w:val="21"/>
          <w:szCs w:val="21"/>
          <w:lang w:eastAsia="zh-CN"/>
        </w:rPr>
      </w:pPr>
    </w:p>
    <w:p w:rsidR="00FC439C" w:rsidRPr="003F5D4A" w:rsidRDefault="00C0087C">
      <w:pPr>
        <w:widowControl w:val="0"/>
        <w:spacing w:line="360" w:lineRule="auto"/>
        <w:ind w:firstLine="420"/>
        <w:jc w:val="both"/>
        <w:rPr>
          <w:rFonts w:asciiTheme="minorEastAsia" w:hAnsiTheme="minorEastAsia"/>
          <w:sz w:val="21"/>
          <w:szCs w:val="21"/>
          <w:lang w:eastAsia="zh-CN"/>
        </w:rPr>
      </w:pPr>
      <w:r w:rsidRPr="003F5D4A">
        <w:rPr>
          <w:rFonts w:asciiTheme="minorEastAsia" w:hAnsiTheme="minorEastAsia" w:cs="宋体"/>
          <w:sz w:val="21"/>
          <w:szCs w:val="21"/>
          <w:lang w:eastAsia="zh-CN"/>
        </w:rPr>
        <w:t>风险提示：本基金管理人承诺以诚实信用、勤勉尽责的原则管理和运用基金资产，但不保证基金一定盈利，也不保证最低收益。请投资人投资本基金前认真阅读本基金的基金合同、招募说明书（更新）和基金产品资料概要（更新），并根据自身风险承受能力选择适合自己的基金产品。敬请投资人注意投资风险。</w:t>
      </w:r>
    </w:p>
    <w:p w:rsidR="00FC439C" w:rsidRPr="003F5D4A" w:rsidRDefault="00FC439C">
      <w:pPr>
        <w:widowControl w:val="0"/>
        <w:spacing w:line="360" w:lineRule="auto"/>
        <w:rPr>
          <w:rFonts w:asciiTheme="minorEastAsia" w:hAnsiTheme="minorEastAsia"/>
          <w:sz w:val="21"/>
          <w:szCs w:val="21"/>
          <w:lang w:eastAsia="zh-CN"/>
        </w:rPr>
      </w:pPr>
    </w:p>
    <w:p w:rsidR="00FC439C" w:rsidRPr="003F5D4A" w:rsidRDefault="00C0087C">
      <w:pPr>
        <w:widowControl w:val="0"/>
        <w:spacing w:line="360" w:lineRule="auto"/>
        <w:ind w:firstLine="420"/>
        <w:jc w:val="right"/>
        <w:rPr>
          <w:rFonts w:asciiTheme="minorEastAsia" w:hAnsiTheme="minorEastAsia"/>
          <w:sz w:val="21"/>
          <w:szCs w:val="21"/>
          <w:lang w:eastAsia="zh-CN"/>
        </w:rPr>
      </w:pPr>
      <w:r w:rsidRPr="003F5D4A">
        <w:rPr>
          <w:rFonts w:asciiTheme="minorEastAsia" w:hAnsiTheme="minorEastAsia" w:cs="宋体"/>
          <w:sz w:val="21"/>
          <w:szCs w:val="21"/>
          <w:lang w:eastAsia="zh-CN"/>
        </w:rPr>
        <w:t>鹏华基金管理有限公司</w:t>
      </w:r>
    </w:p>
    <w:p w:rsidR="00FC439C" w:rsidRPr="003F5D4A" w:rsidRDefault="00C0087C">
      <w:pPr>
        <w:widowControl w:val="0"/>
        <w:spacing w:line="360" w:lineRule="auto"/>
        <w:ind w:firstLine="420"/>
        <w:jc w:val="right"/>
        <w:rPr>
          <w:rFonts w:asciiTheme="minorEastAsia" w:hAnsiTheme="minorEastAsia"/>
          <w:sz w:val="21"/>
          <w:szCs w:val="21"/>
        </w:rPr>
      </w:pPr>
      <w:r w:rsidRPr="003F5D4A">
        <w:rPr>
          <w:rFonts w:asciiTheme="minorEastAsia" w:hAnsiTheme="minorEastAsia"/>
          <w:sz w:val="21"/>
          <w:szCs w:val="21"/>
          <w:lang w:eastAsia="zh-CN"/>
        </w:rPr>
        <w:t>2024</w:t>
      </w:r>
      <w:r w:rsidRPr="003F5D4A">
        <w:rPr>
          <w:rFonts w:asciiTheme="minorEastAsia" w:hAnsiTheme="minorEastAsia" w:cs="宋体"/>
          <w:sz w:val="21"/>
          <w:szCs w:val="21"/>
          <w:lang w:eastAsia="zh-CN"/>
        </w:rPr>
        <w:t>年</w:t>
      </w:r>
      <w:r w:rsidRPr="003F5D4A">
        <w:rPr>
          <w:rFonts w:asciiTheme="minorEastAsia" w:hAnsiTheme="minorEastAsia"/>
          <w:sz w:val="21"/>
          <w:szCs w:val="21"/>
          <w:lang w:eastAsia="zh-CN"/>
        </w:rPr>
        <w:t>03</w:t>
      </w:r>
      <w:r w:rsidRPr="003F5D4A">
        <w:rPr>
          <w:rFonts w:asciiTheme="minorEastAsia" w:hAnsiTheme="minorEastAsia" w:cs="宋体"/>
          <w:sz w:val="21"/>
          <w:szCs w:val="21"/>
          <w:lang w:eastAsia="zh-CN"/>
        </w:rPr>
        <w:t>月</w:t>
      </w:r>
      <w:r w:rsidRPr="003F5D4A">
        <w:rPr>
          <w:rFonts w:asciiTheme="minorEastAsia" w:hAnsiTheme="minorEastAsia"/>
          <w:sz w:val="21"/>
          <w:szCs w:val="21"/>
          <w:lang w:eastAsia="zh-CN"/>
        </w:rPr>
        <w:t>01</w:t>
      </w:r>
      <w:r w:rsidRPr="003F5D4A">
        <w:rPr>
          <w:rFonts w:asciiTheme="minorEastAsia" w:hAnsiTheme="minorEastAsia" w:cs="宋体"/>
          <w:sz w:val="21"/>
          <w:szCs w:val="21"/>
          <w:lang w:eastAsia="zh-CN"/>
        </w:rPr>
        <w:t>日</w:t>
      </w:r>
    </w:p>
    <w:p w:rsidR="00A77B3E" w:rsidRDefault="00A77B3E"/>
    <w:sectPr w:rsidR="00A77B3E" w:rsidSect="00E3537C">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1A" w:rsidRDefault="00920F1A">
      <w:r>
        <w:separator/>
      </w:r>
    </w:p>
  </w:endnote>
  <w:endnote w:type="continuationSeparator" w:id="0">
    <w:p w:rsidR="00920F1A" w:rsidRDefault="00920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9C" w:rsidRDefault="00E3537C">
    <w:pPr>
      <w:jc w:val="center"/>
    </w:pPr>
    <w:r>
      <w:rPr>
        <w:rFonts w:ascii="宋体" w:eastAsia="宋体" w:hAnsi="宋体" w:cs="宋体"/>
        <w:sz w:val="18"/>
      </w:rPr>
      <w:fldChar w:fldCharType="begin"/>
    </w:r>
    <w:r w:rsidR="00C0087C">
      <w:rPr>
        <w:rFonts w:ascii="宋体" w:eastAsia="宋体" w:hAnsi="宋体" w:cs="宋体"/>
        <w:sz w:val="18"/>
        <w:lang w:eastAsia="zh-CN"/>
      </w:rPr>
      <w:instrText xml:space="preserve"> PAGE </w:instrText>
    </w:r>
    <w:r>
      <w:rPr>
        <w:rFonts w:ascii="宋体" w:eastAsia="宋体" w:hAnsi="宋体" w:cs="宋体"/>
        <w:sz w:val="18"/>
      </w:rPr>
      <w:fldChar w:fldCharType="separate"/>
    </w:r>
    <w:r w:rsidR="00AD5C5C">
      <w:rPr>
        <w:rFonts w:ascii="宋体" w:eastAsia="宋体" w:hAnsi="宋体" w:cs="宋体"/>
        <w:noProof/>
        <w:sz w:val="18"/>
        <w:lang w:eastAsia="zh-CN"/>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1A" w:rsidRDefault="00920F1A">
      <w:r>
        <w:separator/>
      </w:r>
    </w:p>
  </w:footnote>
  <w:footnote w:type="continuationSeparator" w:id="0">
    <w:p w:rsidR="00920F1A" w:rsidRDefault="00920F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75E7A"/>
    <w:rsid w:val="003F5D4A"/>
    <w:rsid w:val="004149E1"/>
    <w:rsid w:val="006357E6"/>
    <w:rsid w:val="00796365"/>
    <w:rsid w:val="00904E87"/>
    <w:rsid w:val="00920F1A"/>
    <w:rsid w:val="00A77B3E"/>
    <w:rsid w:val="00AD5C5C"/>
    <w:rsid w:val="00C0087C"/>
    <w:rsid w:val="00CA2A55"/>
    <w:rsid w:val="00DD778A"/>
    <w:rsid w:val="00E3537C"/>
    <w:rsid w:val="00FC4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7C"/>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805BCE"/>
    <w:pPr>
      <w:spacing w:line="360" w:lineRule="auto"/>
    </w:pPr>
    <w:rPr>
      <w:rFonts w:ascii="宋体" w:eastAsia="宋体" w:hAnsi="宋体" w:cs="宋体"/>
      <w:b/>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1411</Words>
  <Characters>8047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缪莉芳</dc:creator>
  <cp:lastModifiedBy>ZHONGM</cp:lastModifiedBy>
  <cp:revision>2</cp:revision>
  <cp:lastPrinted>2024-02-29T06:43:00Z</cp:lastPrinted>
  <dcterms:created xsi:type="dcterms:W3CDTF">2024-02-29T16:01:00Z</dcterms:created>
  <dcterms:modified xsi:type="dcterms:W3CDTF">2024-02-29T16:01:00Z</dcterms:modified>
</cp:coreProperties>
</file>