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E3" w:rsidRDefault="00D801E3">
      <w:pPr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宋体" w:hAnsi="Times New Roman" w:cs="Times New Roman"/>
          <w:b/>
          <w:sz w:val="28"/>
          <w:szCs w:val="28"/>
        </w:rPr>
        <w:t>关于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国泰中债</w:t>
      </w:r>
      <w:r>
        <w:rPr>
          <w:rFonts w:ascii="Times New Roman" w:eastAsia="宋体" w:hAnsi="Times New Roman" w:cs="Times New Roman"/>
          <w:b/>
          <w:sz w:val="28"/>
          <w:szCs w:val="28"/>
        </w:rPr>
        <w:t>1-3</w:t>
      </w:r>
      <w:r>
        <w:rPr>
          <w:rFonts w:ascii="Times New Roman" w:eastAsia="宋体" w:hAnsi="Times New Roman" w:cs="Times New Roman"/>
          <w:b/>
          <w:sz w:val="28"/>
          <w:szCs w:val="28"/>
        </w:rPr>
        <w:t>年国开行债券指数证券投资基金暂停大额申购、定期定额投资及转换转入业务的公告</w:t>
      </w:r>
    </w:p>
    <w:p w:rsidR="00E733E3" w:rsidRDefault="00D801E3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公告送出日期：</w:t>
      </w:r>
      <w:r>
        <w:rPr>
          <w:rFonts w:ascii="Times New Roman" w:eastAsia="宋体" w:hAnsi="Times New Roman" w:cs="Times New Roman" w:hint="eastAsia"/>
          <w:b/>
        </w:rPr>
        <w:t>202</w:t>
      </w:r>
      <w:r>
        <w:rPr>
          <w:rFonts w:ascii="Times New Roman" w:eastAsia="宋体" w:hAnsi="Times New Roman" w:cs="Times New Roman"/>
          <w:b/>
        </w:rPr>
        <w:t>4</w:t>
      </w:r>
      <w:r>
        <w:rPr>
          <w:rFonts w:ascii="Times New Roman" w:eastAsia="宋体" w:hAnsi="Times New Roman" w:cs="Times New Roman"/>
          <w:b/>
        </w:rPr>
        <w:t>年</w:t>
      </w:r>
      <w:r>
        <w:rPr>
          <w:rFonts w:ascii="Times New Roman" w:eastAsia="宋体" w:hAnsi="Times New Roman" w:cs="Times New Roman"/>
          <w:b/>
        </w:rPr>
        <w:t>2</w:t>
      </w:r>
      <w:r>
        <w:rPr>
          <w:rFonts w:ascii="Times New Roman" w:eastAsia="宋体" w:hAnsi="Times New Roman" w:cs="Times New Roman"/>
          <w:b/>
        </w:rPr>
        <w:t>月</w:t>
      </w:r>
      <w:r>
        <w:rPr>
          <w:rFonts w:ascii="Times New Roman" w:eastAsia="宋体" w:hAnsi="Times New Roman" w:cs="Times New Roman"/>
          <w:b/>
        </w:rPr>
        <w:t>29</w:t>
      </w:r>
      <w:r>
        <w:rPr>
          <w:rFonts w:ascii="Times New Roman" w:eastAsia="宋体" w:hAnsi="Times New Roman" w:cs="Times New Roman"/>
          <w:b/>
        </w:rPr>
        <w:t>日</w:t>
      </w:r>
    </w:p>
    <w:p w:rsidR="00E733E3" w:rsidRDefault="00D801E3">
      <w:pPr>
        <w:spacing w:line="276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一、公告基本信息</w:t>
      </w:r>
    </w:p>
    <w:tbl>
      <w:tblPr>
        <w:tblStyle w:val="a8"/>
        <w:tblW w:w="9209" w:type="dxa"/>
        <w:jc w:val="center"/>
        <w:tblLook w:val="04A0"/>
      </w:tblPr>
      <w:tblGrid>
        <w:gridCol w:w="2547"/>
        <w:gridCol w:w="2220"/>
        <w:gridCol w:w="1182"/>
        <w:gridCol w:w="1039"/>
        <w:gridCol w:w="2221"/>
      </w:tblGrid>
      <w:tr w:rsidR="00E733E3">
        <w:trPr>
          <w:jc w:val="center"/>
        </w:trPr>
        <w:tc>
          <w:tcPr>
            <w:tcW w:w="2547" w:type="dxa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基金名称</w:t>
            </w:r>
          </w:p>
        </w:tc>
        <w:tc>
          <w:tcPr>
            <w:tcW w:w="6662" w:type="dxa"/>
            <w:gridSpan w:val="4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国泰中债</w:t>
            </w:r>
            <w:r>
              <w:rPr>
                <w:rFonts w:ascii="Times New Roman" w:eastAsia="宋体" w:hAnsi="Times New Roman" w:cs="Times New Roman"/>
                <w:szCs w:val="21"/>
              </w:rPr>
              <w:t>1-3</w:t>
            </w:r>
            <w:r>
              <w:rPr>
                <w:rFonts w:ascii="Times New Roman" w:eastAsia="宋体" w:hAnsi="Times New Roman" w:cs="Times New Roman"/>
                <w:szCs w:val="21"/>
              </w:rPr>
              <w:t>年国开行债券指数证券投资基金</w:t>
            </w:r>
          </w:p>
        </w:tc>
      </w:tr>
      <w:tr w:rsidR="00E733E3">
        <w:trPr>
          <w:trHeight w:val="7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基金简称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国泰中债</w:t>
            </w:r>
            <w:r>
              <w:rPr>
                <w:rFonts w:ascii="Times New Roman" w:eastAsia="宋体" w:hAnsi="Times New Roman" w:cs="Times New Roman"/>
                <w:szCs w:val="21"/>
              </w:rPr>
              <w:t>1-3</w:t>
            </w:r>
            <w:r>
              <w:rPr>
                <w:rFonts w:ascii="Times New Roman" w:eastAsia="宋体" w:hAnsi="Times New Roman" w:cs="Times New Roman"/>
                <w:szCs w:val="21"/>
              </w:rPr>
              <w:t>年国开债</w:t>
            </w:r>
          </w:p>
        </w:tc>
      </w:tr>
      <w:tr w:rsidR="00E733E3">
        <w:trPr>
          <w:jc w:val="center"/>
        </w:trPr>
        <w:tc>
          <w:tcPr>
            <w:tcW w:w="2547" w:type="dxa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基金主代码</w:t>
            </w:r>
          </w:p>
        </w:tc>
        <w:tc>
          <w:tcPr>
            <w:tcW w:w="6662" w:type="dxa"/>
            <w:gridSpan w:val="4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009593</w:t>
            </w:r>
          </w:p>
        </w:tc>
      </w:tr>
      <w:tr w:rsidR="00E733E3">
        <w:trPr>
          <w:jc w:val="center"/>
        </w:trPr>
        <w:tc>
          <w:tcPr>
            <w:tcW w:w="2547" w:type="dxa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基金管理人名称</w:t>
            </w:r>
          </w:p>
        </w:tc>
        <w:tc>
          <w:tcPr>
            <w:tcW w:w="6662" w:type="dxa"/>
            <w:gridSpan w:val="4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国泰基金管理有限公司</w:t>
            </w:r>
          </w:p>
        </w:tc>
      </w:tr>
      <w:tr w:rsidR="00E733E3">
        <w:trPr>
          <w:jc w:val="center"/>
        </w:trPr>
        <w:tc>
          <w:tcPr>
            <w:tcW w:w="2547" w:type="dxa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公告依据</w:t>
            </w:r>
          </w:p>
        </w:tc>
        <w:tc>
          <w:tcPr>
            <w:tcW w:w="6662" w:type="dxa"/>
            <w:gridSpan w:val="4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《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公开募集</w:t>
            </w:r>
            <w:r>
              <w:rPr>
                <w:rFonts w:ascii="Times New Roman" w:eastAsia="宋体" w:hAnsi="Times New Roman" w:cs="Times New Roman"/>
                <w:szCs w:val="21"/>
              </w:rPr>
              <w:t>证券投资基金信息披露管理办法》、《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国泰中债</w:t>
            </w:r>
            <w:r>
              <w:rPr>
                <w:rFonts w:ascii="Times New Roman" w:eastAsia="宋体" w:hAnsi="Times New Roman" w:cs="Times New Roman"/>
                <w:szCs w:val="21"/>
              </w:rPr>
              <w:t>1-3</w:t>
            </w:r>
            <w:r>
              <w:rPr>
                <w:rFonts w:ascii="Times New Roman" w:eastAsia="宋体" w:hAnsi="Times New Roman" w:cs="Times New Roman"/>
                <w:szCs w:val="21"/>
              </w:rPr>
              <w:t>年国开行债券指数证券投资基金基金合同》、《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国泰中债</w:t>
            </w:r>
            <w:r>
              <w:rPr>
                <w:rFonts w:ascii="Times New Roman" w:eastAsia="宋体" w:hAnsi="Times New Roman" w:cs="Times New Roman"/>
                <w:szCs w:val="21"/>
              </w:rPr>
              <w:t>1-3</w:t>
            </w:r>
            <w:r>
              <w:rPr>
                <w:rFonts w:ascii="Times New Roman" w:eastAsia="宋体" w:hAnsi="Times New Roman" w:cs="Times New Roman"/>
                <w:szCs w:val="21"/>
              </w:rPr>
              <w:t>年国开行债券指数证券投资基金招募说明书》等相关文件的规定。</w:t>
            </w:r>
          </w:p>
        </w:tc>
      </w:tr>
      <w:tr w:rsidR="00E733E3">
        <w:trPr>
          <w:jc w:val="center"/>
        </w:trPr>
        <w:tc>
          <w:tcPr>
            <w:tcW w:w="2547" w:type="dxa"/>
            <w:vMerge w:val="restart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暂停相关业务的起始日、金额及原因说明</w:t>
            </w:r>
          </w:p>
        </w:tc>
        <w:tc>
          <w:tcPr>
            <w:tcW w:w="3402" w:type="dxa"/>
            <w:gridSpan w:val="2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暂停大额申购</w:t>
            </w:r>
            <w:r>
              <w:rPr>
                <w:rFonts w:ascii="Times New Roman" w:eastAsia="宋体" w:hAnsi="Times New Roman" w:cs="Times New Roman" w:hint="eastAsia"/>
              </w:rPr>
              <w:t>业务</w:t>
            </w:r>
            <w:r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3260" w:type="dxa"/>
            <w:gridSpan w:val="2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202</w:t>
            </w:r>
            <w:r>
              <w:rPr>
                <w:rFonts w:ascii="Times New Roman" w:eastAsia="宋体" w:hAnsi="Times New Roman" w:cs="Times New Roman"/>
              </w:rPr>
              <w:t>4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29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E733E3">
        <w:trPr>
          <w:jc w:val="center"/>
        </w:trPr>
        <w:tc>
          <w:tcPr>
            <w:tcW w:w="2547" w:type="dxa"/>
            <w:vMerge/>
            <w:vAlign w:val="center"/>
          </w:tcPr>
          <w:p w:rsidR="00E733E3" w:rsidRDefault="00E733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暂停大额定期定额投资</w:t>
            </w:r>
            <w:r>
              <w:rPr>
                <w:rFonts w:ascii="Times New Roman" w:eastAsia="宋体" w:hAnsi="Times New Roman" w:cs="Times New Roman" w:hint="eastAsia"/>
              </w:rPr>
              <w:t>业务</w:t>
            </w:r>
            <w:r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3260" w:type="dxa"/>
            <w:gridSpan w:val="2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202</w:t>
            </w:r>
            <w:r>
              <w:rPr>
                <w:rFonts w:ascii="Times New Roman" w:eastAsia="宋体" w:hAnsi="Times New Roman" w:cs="Times New Roman"/>
              </w:rPr>
              <w:t>4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29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E733E3">
        <w:trPr>
          <w:jc w:val="center"/>
        </w:trPr>
        <w:tc>
          <w:tcPr>
            <w:tcW w:w="2547" w:type="dxa"/>
            <w:vMerge/>
            <w:vAlign w:val="center"/>
          </w:tcPr>
          <w:p w:rsidR="00E733E3" w:rsidRDefault="00E733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暂停大额转换转入</w:t>
            </w:r>
            <w:r>
              <w:rPr>
                <w:rFonts w:ascii="Times New Roman" w:eastAsia="宋体" w:hAnsi="Times New Roman" w:cs="Times New Roman" w:hint="eastAsia"/>
              </w:rPr>
              <w:t>业务</w:t>
            </w:r>
            <w:r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3260" w:type="dxa"/>
            <w:gridSpan w:val="2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202</w:t>
            </w:r>
            <w:r>
              <w:rPr>
                <w:rFonts w:ascii="Times New Roman" w:eastAsia="宋体" w:hAnsi="Times New Roman" w:cs="Times New Roman"/>
              </w:rPr>
              <w:t>4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29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E733E3">
        <w:trPr>
          <w:jc w:val="center"/>
        </w:trPr>
        <w:tc>
          <w:tcPr>
            <w:tcW w:w="2547" w:type="dxa"/>
            <w:vMerge/>
            <w:vAlign w:val="center"/>
          </w:tcPr>
          <w:p w:rsidR="00E733E3" w:rsidRDefault="00E733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限制申购金额（单位：元）</w:t>
            </w:r>
          </w:p>
        </w:tc>
        <w:tc>
          <w:tcPr>
            <w:tcW w:w="3260" w:type="dxa"/>
            <w:gridSpan w:val="2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1,000,000.00</w:t>
            </w:r>
          </w:p>
        </w:tc>
      </w:tr>
      <w:tr w:rsidR="00E733E3">
        <w:trPr>
          <w:jc w:val="center"/>
        </w:trPr>
        <w:tc>
          <w:tcPr>
            <w:tcW w:w="2547" w:type="dxa"/>
            <w:vMerge/>
            <w:vAlign w:val="center"/>
          </w:tcPr>
          <w:p w:rsidR="00E733E3" w:rsidRDefault="00E733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限制定期定额投资金额（单位：元）</w:t>
            </w:r>
          </w:p>
        </w:tc>
        <w:tc>
          <w:tcPr>
            <w:tcW w:w="3260" w:type="dxa"/>
            <w:gridSpan w:val="2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1,000,000.00</w:t>
            </w:r>
          </w:p>
        </w:tc>
      </w:tr>
      <w:tr w:rsidR="00E733E3">
        <w:trPr>
          <w:jc w:val="center"/>
        </w:trPr>
        <w:tc>
          <w:tcPr>
            <w:tcW w:w="2547" w:type="dxa"/>
            <w:vMerge/>
            <w:vAlign w:val="center"/>
          </w:tcPr>
          <w:p w:rsidR="00E733E3" w:rsidRDefault="00E733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限制转换转入金额（单位：元）</w:t>
            </w:r>
          </w:p>
        </w:tc>
        <w:tc>
          <w:tcPr>
            <w:tcW w:w="3260" w:type="dxa"/>
            <w:gridSpan w:val="2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1,000,000.00</w:t>
            </w:r>
          </w:p>
        </w:tc>
      </w:tr>
      <w:tr w:rsidR="00E733E3">
        <w:trPr>
          <w:trHeight w:val="402"/>
          <w:jc w:val="center"/>
        </w:trPr>
        <w:tc>
          <w:tcPr>
            <w:tcW w:w="2547" w:type="dxa"/>
            <w:vMerge/>
            <w:vAlign w:val="center"/>
          </w:tcPr>
          <w:p w:rsidR="00E733E3" w:rsidRDefault="00E733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733E3" w:rsidRDefault="00D801E3">
            <w:pPr>
              <w:tabs>
                <w:tab w:val="left" w:pos="675"/>
              </w:tabs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暂停大额申购、定期定额投资及转换转入</w:t>
            </w:r>
            <w:r>
              <w:rPr>
                <w:rFonts w:ascii="Times New Roman" w:eastAsia="宋体" w:hAnsi="Times New Roman" w:cs="Times New Roman" w:hint="eastAsia"/>
              </w:rPr>
              <w:t>业务</w:t>
            </w:r>
            <w:r>
              <w:rPr>
                <w:rFonts w:ascii="Times New Roman" w:eastAsia="宋体" w:hAnsi="Times New Roman" w:cs="Times New Roman"/>
              </w:rPr>
              <w:t>的原因说明</w:t>
            </w:r>
          </w:p>
        </w:tc>
        <w:tc>
          <w:tcPr>
            <w:tcW w:w="3260" w:type="dxa"/>
            <w:gridSpan w:val="2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维护</w:t>
            </w:r>
            <w:r>
              <w:rPr>
                <w:rFonts w:ascii="Times New Roman" w:eastAsia="宋体" w:hAnsi="Times New Roman" w:cs="Times New Roman"/>
              </w:rPr>
              <w:t>基金份额持有人利益</w:t>
            </w:r>
          </w:p>
        </w:tc>
      </w:tr>
      <w:tr w:rsidR="00E733E3">
        <w:trPr>
          <w:jc w:val="center"/>
        </w:trPr>
        <w:tc>
          <w:tcPr>
            <w:tcW w:w="2547" w:type="dxa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下属分级基金的基金简称</w:t>
            </w:r>
          </w:p>
        </w:tc>
        <w:tc>
          <w:tcPr>
            <w:tcW w:w="2220" w:type="dxa"/>
            <w:vAlign w:val="center"/>
          </w:tcPr>
          <w:p w:rsidR="00E733E3" w:rsidRDefault="00D801E3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国泰中债</w:t>
            </w:r>
            <w:r>
              <w:rPr>
                <w:rFonts w:ascii="Times New Roman" w:eastAsia="宋体" w:hAnsi="Times New Roman" w:cs="Times New Roman"/>
                <w:szCs w:val="21"/>
              </w:rPr>
              <w:t>1-3</w:t>
            </w:r>
            <w:r>
              <w:rPr>
                <w:rFonts w:ascii="Times New Roman" w:eastAsia="宋体" w:hAnsi="Times New Roman" w:cs="Times New Roman"/>
                <w:szCs w:val="21"/>
              </w:rPr>
              <w:t>年国开债</w:t>
            </w: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2221" w:type="dxa"/>
            <w:gridSpan w:val="2"/>
            <w:vAlign w:val="center"/>
          </w:tcPr>
          <w:p w:rsidR="00E733E3" w:rsidRDefault="00D801E3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国泰中债</w:t>
            </w:r>
            <w:r>
              <w:rPr>
                <w:rFonts w:ascii="Times New Roman" w:eastAsia="宋体" w:hAnsi="Times New Roman" w:cs="Times New Roman"/>
                <w:szCs w:val="21"/>
              </w:rPr>
              <w:t>1-3</w:t>
            </w:r>
            <w:r>
              <w:rPr>
                <w:rFonts w:ascii="Times New Roman" w:eastAsia="宋体" w:hAnsi="Times New Roman" w:cs="Times New Roman"/>
                <w:szCs w:val="21"/>
              </w:rPr>
              <w:t>年国开债</w:t>
            </w: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</w:p>
        </w:tc>
        <w:tc>
          <w:tcPr>
            <w:tcW w:w="2221" w:type="dxa"/>
            <w:vAlign w:val="center"/>
          </w:tcPr>
          <w:p w:rsidR="00E733E3" w:rsidRDefault="00D801E3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国泰中债</w:t>
            </w:r>
            <w:r>
              <w:rPr>
                <w:rFonts w:ascii="Times New Roman" w:eastAsia="宋体" w:hAnsi="Times New Roman" w:cs="Times New Roman"/>
                <w:szCs w:val="21"/>
              </w:rPr>
              <w:t>1-3</w:t>
            </w:r>
            <w:r>
              <w:rPr>
                <w:rFonts w:ascii="Times New Roman" w:eastAsia="宋体" w:hAnsi="Times New Roman" w:cs="Times New Roman"/>
                <w:szCs w:val="21"/>
              </w:rPr>
              <w:t>年国开债</w:t>
            </w:r>
            <w:r>
              <w:rPr>
                <w:rFonts w:ascii="Times New Roman" w:eastAsia="宋体" w:hAnsi="Times New Roman" w:cs="Times New Roman"/>
                <w:szCs w:val="21"/>
              </w:rPr>
              <w:t>E</w:t>
            </w:r>
          </w:p>
        </w:tc>
      </w:tr>
      <w:tr w:rsidR="00E733E3">
        <w:trPr>
          <w:jc w:val="center"/>
        </w:trPr>
        <w:tc>
          <w:tcPr>
            <w:tcW w:w="2547" w:type="dxa"/>
            <w:vAlign w:val="center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下属分级基金的交易代码</w:t>
            </w:r>
          </w:p>
        </w:tc>
        <w:tc>
          <w:tcPr>
            <w:tcW w:w="2220" w:type="dxa"/>
            <w:vAlign w:val="center"/>
          </w:tcPr>
          <w:p w:rsidR="00E733E3" w:rsidRDefault="00D801E3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009593</w:t>
            </w:r>
          </w:p>
        </w:tc>
        <w:tc>
          <w:tcPr>
            <w:tcW w:w="2221" w:type="dxa"/>
            <w:gridSpan w:val="2"/>
            <w:vAlign w:val="center"/>
          </w:tcPr>
          <w:p w:rsidR="00E733E3" w:rsidRDefault="00D801E3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009594</w:t>
            </w:r>
          </w:p>
        </w:tc>
        <w:tc>
          <w:tcPr>
            <w:tcW w:w="2221" w:type="dxa"/>
            <w:vAlign w:val="center"/>
          </w:tcPr>
          <w:p w:rsidR="00E733E3" w:rsidRDefault="00D801E3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020643</w:t>
            </w:r>
          </w:p>
        </w:tc>
      </w:tr>
      <w:tr w:rsidR="00E733E3">
        <w:trPr>
          <w:jc w:val="center"/>
        </w:trPr>
        <w:tc>
          <w:tcPr>
            <w:tcW w:w="2547" w:type="dxa"/>
          </w:tcPr>
          <w:p w:rsidR="00E733E3" w:rsidRDefault="00D801E3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该分级基金是否暂停大额申购、定期定额投资及转换转入业务</w:t>
            </w:r>
          </w:p>
        </w:tc>
        <w:tc>
          <w:tcPr>
            <w:tcW w:w="2220" w:type="dxa"/>
            <w:vAlign w:val="center"/>
          </w:tcPr>
          <w:p w:rsidR="00E733E3" w:rsidRDefault="00D801E3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</w:p>
        </w:tc>
        <w:tc>
          <w:tcPr>
            <w:tcW w:w="2221" w:type="dxa"/>
            <w:gridSpan w:val="2"/>
            <w:vAlign w:val="center"/>
          </w:tcPr>
          <w:p w:rsidR="00E733E3" w:rsidRDefault="00D801E3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-</w:t>
            </w:r>
          </w:p>
        </w:tc>
        <w:tc>
          <w:tcPr>
            <w:tcW w:w="2221" w:type="dxa"/>
            <w:vAlign w:val="center"/>
          </w:tcPr>
          <w:p w:rsidR="00E733E3" w:rsidRDefault="00D801E3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是</w:t>
            </w:r>
          </w:p>
        </w:tc>
      </w:tr>
    </w:tbl>
    <w:p w:rsidR="00E733E3" w:rsidRDefault="00D801E3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自</w:t>
      </w:r>
      <w:r>
        <w:rPr>
          <w:rFonts w:ascii="Times New Roman" w:eastAsia="宋体" w:hAnsi="Times New Roman" w:cs="Times New Roman" w:hint="eastAsia"/>
        </w:rPr>
        <w:t>202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29</w:t>
      </w:r>
      <w:r>
        <w:rPr>
          <w:rFonts w:ascii="Times New Roman" w:eastAsia="宋体" w:hAnsi="Times New Roman" w:cs="Times New Roman" w:hint="eastAsia"/>
        </w:rPr>
        <w:t>日</w:t>
      </w:r>
      <w:r>
        <w:rPr>
          <w:rFonts w:ascii="Times New Roman" w:eastAsia="宋体" w:hAnsi="Times New Roman" w:cs="Times New Roman"/>
        </w:rPr>
        <w:t>起，对本基金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类、</w:t>
      </w:r>
      <w:r>
        <w:rPr>
          <w:rFonts w:ascii="Times New Roman" w:eastAsia="宋体" w:hAnsi="Times New Roman" w:cs="Times New Roman" w:hint="eastAsia"/>
        </w:rPr>
        <w:t>E</w:t>
      </w:r>
      <w:r>
        <w:rPr>
          <w:rFonts w:ascii="Times New Roman" w:eastAsia="宋体" w:hAnsi="Times New Roman" w:cs="Times New Roman" w:hint="eastAsia"/>
        </w:rPr>
        <w:t>类基金份额</w:t>
      </w:r>
      <w:r>
        <w:rPr>
          <w:rFonts w:ascii="Times New Roman" w:eastAsia="宋体" w:hAnsi="Times New Roman" w:cs="Times New Roman"/>
        </w:rPr>
        <w:t>的申购、定期定额投资及转换转入业务的金额进行限制。单日每个基金账户的累计申购、定期定额投资及转换转入业务的金额不应超过</w:t>
      </w:r>
      <w:r>
        <w:rPr>
          <w:rFonts w:ascii="Times New Roman" w:eastAsia="宋体" w:hAnsi="Times New Roman" w:cs="Times New Roman"/>
        </w:rPr>
        <w:t>1,000,000.00</w:t>
      </w:r>
      <w:r>
        <w:rPr>
          <w:rFonts w:ascii="Times New Roman" w:eastAsia="宋体" w:hAnsi="Times New Roman" w:cs="Times New Roman"/>
        </w:rPr>
        <w:t>元，如单日每个基金账户的累计申购、定期定额投资及转换转入业务的金额超过</w:t>
      </w:r>
      <w:r>
        <w:rPr>
          <w:rFonts w:ascii="Times New Roman" w:eastAsia="宋体" w:hAnsi="Times New Roman" w:cs="Times New Roman"/>
        </w:rPr>
        <w:t>1,000,000.00</w:t>
      </w:r>
      <w:r>
        <w:rPr>
          <w:rFonts w:ascii="Times New Roman" w:eastAsia="宋体" w:hAnsi="Times New Roman" w:cs="Times New Roman"/>
        </w:rPr>
        <w:t>元，</w:t>
      </w:r>
      <w:r>
        <w:rPr>
          <w:rFonts w:ascii="Times New Roman" w:eastAsia="宋体" w:hAnsi="Times New Roman" w:cs="Times New Roman"/>
          <w:kern w:val="0"/>
        </w:rPr>
        <w:t>本基金管理人将有权部分或全部确认失败</w:t>
      </w:r>
      <w:r>
        <w:rPr>
          <w:rFonts w:ascii="Times New Roman" w:eastAsia="宋体" w:hAnsi="Times New Roman" w:cs="Times New Roman" w:hint="eastAsia"/>
        </w:rPr>
        <w:t>；</w:t>
      </w:r>
    </w:p>
    <w:p w:rsidR="00E733E3" w:rsidRDefault="00D801E3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、本基金</w:t>
      </w: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 w:hint="eastAsia"/>
        </w:rPr>
        <w:t>类基金份额已于</w:t>
      </w:r>
      <w:r>
        <w:rPr>
          <w:rFonts w:ascii="Times New Roman" w:eastAsia="宋体" w:hAnsi="Times New Roman" w:cs="Times New Roman"/>
        </w:rPr>
        <w:t>2024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22</w:t>
      </w:r>
      <w:r>
        <w:rPr>
          <w:rFonts w:ascii="Times New Roman" w:eastAsia="宋体" w:hAnsi="Times New Roman" w:cs="Times New Roman"/>
        </w:rPr>
        <w:t>日起</w:t>
      </w:r>
      <w:r>
        <w:rPr>
          <w:rFonts w:ascii="Times New Roman" w:eastAsia="宋体" w:hAnsi="Times New Roman" w:cs="Times New Roman" w:hint="eastAsia"/>
        </w:rPr>
        <w:t>暂停申购、</w:t>
      </w:r>
      <w:r>
        <w:rPr>
          <w:rFonts w:ascii="Times New Roman" w:eastAsia="宋体" w:hAnsi="Times New Roman" w:cs="Times New Roman"/>
        </w:rPr>
        <w:t>定期定额投资及转换转入业务</w:t>
      </w:r>
      <w:r>
        <w:rPr>
          <w:rFonts w:ascii="Times New Roman" w:eastAsia="宋体" w:hAnsi="Times New Roman" w:cs="Times New Roman" w:hint="eastAsia"/>
        </w:rPr>
        <w:t>，本次相关业务金额限制仅适用于本基金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类、</w:t>
      </w:r>
      <w:r>
        <w:rPr>
          <w:rFonts w:ascii="Times New Roman" w:eastAsia="宋体" w:hAnsi="Times New Roman" w:cs="Times New Roman" w:hint="eastAsia"/>
        </w:rPr>
        <w:t>E</w:t>
      </w:r>
      <w:r>
        <w:rPr>
          <w:rFonts w:ascii="Times New Roman" w:eastAsia="宋体" w:hAnsi="Times New Roman" w:cs="Times New Roman" w:hint="eastAsia"/>
        </w:rPr>
        <w:t>类基金份额，不涉及</w:t>
      </w: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 w:hint="eastAsia"/>
        </w:rPr>
        <w:t>类基金份额。</w:t>
      </w:r>
    </w:p>
    <w:p w:rsidR="00E733E3" w:rsidRDefault="00E733E3">
      <w:p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</w:rPr>
      </w:pPr>
    </w:p>
    <w:p w:rsidR="00E733E3" w:rsidRDefault="00D801E3" w:rsidP="00D801E3">
      <w:pPr>
        <w:spacing w:beforeLines="50"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二、其他需要提示的事项</w:t>
      </w:r>
    </w:p>
    <w:p w:rsidR="00E733E3" w:rsidRDefault="00D801E3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在本基金限制大额申购、定期定额投资及转换转入业务期间，本基金的赎回等业务正常</w:t>
      </w:r>
      <w:r>
        <w:rPr>
          <w:rFonts w:ascii="Times New Roman" w:eastAsia="宋体" w:hAnsi="Times New Roman" w:cs="Times New Roman"/>
          <w:szCs w:val="21"/>
        </w:rPr>
        <w:lastRenderedPageBreak/>
        <w:t>办理。</w:t>
      </w:r>
    </w:p>
    <w:p w:rsidR="00E733E3" w:rsidRDefault="00D801E3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t>本基金管理人自</w:t>
      </w:r>
      <w:r>
        <w:rPr>
          <w:rFonts w:ascii="Times New Roman" w:eastAsia="宋体" w:hAnsi="Times New Roman" w:cs="Times New Roman" w:hint="eastAsia"/>
          <w:szCs w:val="21"/>
        </w:rPr>
        <w:t>202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>月</w:t>
      </w:r>
      <w:r>
        <w:rPr>
          <w:rFonts w:ascii="Times New Roman" w:eastAsia="宋体" w:hAnsi="Times New Roman" w:cs="Times New Roman"/>
          <w:szCs w:val="21"/>
        </w:rPr>
        <w:t>5</w:t>
      </w:r>
      <w:r>
        <w:rPr>
          <w:rFonts w:ascii="Times New Roman" w:eastAsia="宋体" w:hAnsi="Times New Roman" w:cs="Times New Roman"/>
          <w:szCs w:val="21"/>
        </w:rPr>
        <w:t>日起，恢复接受单个基金账户对本基金</w:t>
      </w:r>
      <w:r>
        <w:rPr>
          <w:rFonts w:ascii="Times New Roman" w:eastAsia="宋体" w:hAnsi="Times New Roman" w:cs="Times New Roman" w:hint="eastAsia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类、</w:t>
      </w:r>
      <w:r>
        <w:rPr>
          <w:rFonts w:ascii="Times New Roman" w:eastAsia="宋体" w:hAnsi="Times New Roman" w:cs="Times New Roman" w:hint="eastAsia"/>
          <w:szCs w:val="21"/>
        </w:rPr>
        <w:t>E</w:t>
      </w:r>
      <w:r>
        <w:rPr>
          <w:rFonts w:ascii="Times New Roman" w:eastAsia="宋体" w:hAnsi="Times New Roman" w:cs="Times New Roman" w:hint="eastAsia"/>
          <w:szCs w:val="21"/>
        </w:rPr>
        <w:t>类基金份额</w:t>
      </w:r>
      <w:r>
        <w:rPr>
          <w:rFonts w:ascii="Times New Roman" w:eastAsia="宋体" w:hAnsi="Times New Roman" w:cs="Times New Roman"/>
          <w:szCs w:val="21"/>
        </w:rPr>
        <w:t>的</w:t>
      </w:r>
      <w:r>
        <w:rPr>
          <w:rFonts w:ascii="Times New Roman" w:eastAsia="宋体" w:hAnsi="Times New Roman" w:cs="Times New Roman" w:hint="eastAsia"/>
          <w:szCs w:val="21"/>
        </w:rPr>
        <w:t>单</w:t>
      </w:r>
      <w:r>
        <w:rPr>
          <w:rFonts w:ascii="Times New Roman" w:eastAsia="宋体" w:hAnsi="Times New Roman" w:cs="Times New Roman"/>
          <w:szCs w:val="21"/>
        </w:rPr>
        <w:t>日累计申购金额</w:t>
      </w:r>
      <w:r>
        <w:rPr>
          <w:rFonts w:ascii="Times New Roman" w:eastAsia="宋体" w:hAnsi="Times New Roman" w:cs="Times New Roman"/>
          <w:szCs w:val="21"/>
        </w:rPr>
        <w:t>1,000,000.00</w:t>
      </w:r>
      <w:r>
        <w:rPr>
          <w:rFonts w:ascii="Times New Roman" w:eastAsia="宋体" w:hAnsi="Times New Roman" w:cs="Times New Roman"/>
          <w:szCs w:val="21"/>
        </w:rPr>
        <w:t>元（含</w:t>
      </w:r>
      <w:r>
        <w:rPr>
          <w:rFonts w:ascii="Times New Roman" w:eastAsia="宋体" w:hAnsi="Times New Roman" w:cs="Times New Roman"/>
          <w:szCs w:val="21"/>
        </w:rPr>
        <w:t>1,000,000.00</w:t>
      </w:r>
      <w:r>
        <w:rPr>
          <w:rFonts w:ascii="Times New Roman" w:eastAsia="宋体" w:hAnsi="Times New Roman" w:cs="Times New Roman"/>
          <w:szCs w:val="21"/>
        </w:rPr>
        <w:t>元）以上的申购、定期定额投资及转换转入业务申请</w:t>
      </w:r>
      <w:r>
        <w:rPr>
          <w:rFonts w:ascii="Times New Roman" w:eastAsia="宋体" w:hAnsi="Times New Roman" w:cs="Times New Roman"/>
          <w:szCs w:val="21"/>
        </w:rPr>
        <w:t>，届时本基金管理人不再另行公告。</w:t>
      </w:r>
    </w:p>
    <w:p w:rsidR="00E733E3" w:rsidRDefault="00D801E3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投资者可登录本公司网站</w:t>
      </w:r>
      <w:r>
        <w:rPr>
          <w:rFonts w:ascii="Times New Roman" w:eastAsia="宋体" w:hAnsi="Times New Roman" w:cs="Times New Roman"/>
        </w:rPr>
        <w:t>www.gtfund.com</w:t>
      </w:r>
      <w:r>
        <w:rPr>
          <w:rFonts w:ascii="Times New Roman" w:eastAsia="宋体" w:hAnsi="Times New Roman" w:cs="Times New Roman"/>
        </w:rPr>
        <w:t>，或拨打客户服务电话</w:t>
      </w:r>
      <w:r>
        <w:rPr>
          <w:rFonts w:ascii="Times New Roman" w:eastAsia="宋体" w:hAnsi="Times New Roman" w:cs="Times New Roman"/>
        </w:rPr>
        <w:t>400-888-8688</w:t>
      </w:r>
      <w:r>
        <w:rPr>
          <w:rFonts w:ascii="Times New Roman" w:eastAsia="宋体" w:hAnsi="Times New Roman" w:cs="Times New Roman"/>
        </w:rPr>
        <w:t>咨询相关信息。</w:t>
      </w:r>
    </w:p>
    <w:p w:rsidR="00E733E3" w:rsidRDefault="00E733E3">
      <w:pPr>
        <w:spacing w:line="360" w:lineRule="auto"/>
        <w:ind w:firstLine="420"/>
        <w:rPr>
          <w:rFonts w:ascii="Times New Roman" w:eastAsia="宋体" w:hAnsi="Times New Roman" w:cs="Times New Roman"/>
        </w:rPr>
      </w:pPr>
    </w:p>
    <w:p w:rsidR="00E733E3" w:rsidRDefault="00D801E3">
      <w:pPr>
        <w:pStyle w:val="Default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风险提示：本基金管理人承诺以诚实信用、勤勉尽责的原则管理和运用基金资产，但不保证基金一定盈利，也不保证最低收益。投资者投资于本基金管理人管理的基金时应认真阅读该基金的《基金合同》、《招募说明书》等法律文件，了解基金产品的详细情况，选择与自己风险识别能力和风险承受能力相匹配的基金，并注意投资风险。</w:t>
      </w:r>
    </w:p>
    <w:p w:rsidR="00E733E3" w:rsidRDefault="00D801E3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特此公告</w:t>
      </w:r>
    </w:p>
    <w:p w:rsidR="00E733E3" w:rsidRDefault="00E733E3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</w:p>
    <w:p w:rsidR="00E733E3" w:rsidRDefault="00E733E3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</w:p>
    <w:p w:rsidR="00E733E3" w:rsidRDefault="00E733E3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</w:p>
    <w:p w:rsidR="00E733E3" w:rsidRDefault="00D801E3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国泰基金管理有限公司</w:t>
      </w:r>
    </w:p>
    <w:p w:rsidR="00E733E3" w:rsidRDefault="00D801E3">
      <w:pPr>
        <w:spacing w:line="360" w:lineRule="auto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202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29</w:t>
      </w:r>
      <w:r>
        <w:rPr>
          <w:rFonts w:ascii="Times New Roman" w:eastAsia="宋体" w:hAnsi="Times New Roman" w:cs="Times New Roman"/>
        </w:rPr>
        <w:t>日</w:t>
      </w:r>
    </w:p>
    <w:sectPr w:rsidR="00E733E3" w:rsidSect="00E73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2MzE0NjZjYjYyOTVmYTY0ZGU4NDFhMzk1OWM5ZTkifQ=="/>
  </w:docVars>
  <w:rsids>
    <w:rsidRoot w:val="004B2F59"/>
    <w:rsid w:val="00011996"/>
    <w:rsid w:val="00011A36"/>
    <w:rsid w:val="000130B0"/>
    <w:rsid w:val="00024D21"/>
    <w:rsid w:val="000320B6"/>
    <w:rsid w:val="0003689A"/>
    <w:rsid w:val="00040E95"/>
    <w:rsid w:val="00042E76"/>
    <w:rsid w:val="00043383"/>
    <w:rsid w:val="00047F44"/>
    <w:rsid w:val="00051EDB"/>
    <w:rsid w:val="00056BA2"/>
    <w:rsid w:val="00067E52"/>
    <w:rsid w:val="00072A0C"/>
    <w:rsid w:val="00073897"/>
    <w:rsid w:val="00073EBD"/>
    <w:rsid w:val="00076A97"/>
    <w:rsid w:val="00084833"/>
    <w:rsid w:val="0008599F"/>
    <w:rsid w:val="000A42DE"/>
    <w:rsid w:val="000A52CB"/>
    <w:rsid w:val="000B5FBC"/>
    <w:rsid w:val="000B77A1"/>
    <w:rsid w:val="000C2B50"/>
    <w:rsid w:val="000C44FF"/>
    <w:rsid w:val="000C70FC"/>
    <w:rsid w:val="000D043E"/>
    <w:rsid w:val="000D3966"/>
    <w:rsid w:val="000D7AB7"/>
    <w:rsid w:val="000F4B3F"/>
    <w:rsid w:val="000F7FBE"/>
    <w:rsid w:val="00105695"/>
    <w:rsid w:val="001241C9"/>
    <w:rsid w:val="00125354"/>
    <w:rsid w:val="00134F7D"/>
    <w:rsid w:val="00142317"/>
    <w:rsid w:val="00150DAA"/>
    <w:rsid w:val="0015610E"/>
    <w:rsid w:val="001678F6"/>
    <w:rsid w:val="001725E9"/>
    <w:rsid w:val="00196F79"/>
    <w:rsid w:val="001B335B"/>
    <w:rsid w:val="001C2232"/>
    <w:rsid w:val="001C6EBB"/>
    <w:rsid w:val="001D5A6D"/>
    <w:rsid w:val="001E43E8"/>
    <w:rsid w:val="00205715"/>
    <w:rsid w:val="00207A83"/>
    <w:rsid w:val="00221037"/>
    <w:rsid w:val="00241A7B"/>
    <w:rsid w:val="0025308D"/>
    <w:rsid w:val="0026307F"/>
    <w:rsid w:val="002678EF"/>
    <w:rsid w:val="00274499"/>
    <w:rsid w:val="002805A9"/>
    <w:rsid w:val="002A48DA"/>
    <w:rsid w:val="002A5433"/>
    <w:rsid w:val="002B6818"/>
    <w:rsid w:val="002D3A86"/>
    <w:rsid w:val="002E27C4"/>
    <w:rsid w:val="00325615"/>
    <w:rsid w:val="003330BF"/>
    <w:rsid w:val="003460BF"/>
    <w:rsid w:val="00354262"/>
    <w:rsid w:val="003722C1"/>
    <w:rsid w:val="0037396E"/>
    <w:rsid w:val="003962FF"/>
    <w:rsid w:val="003966D4"/>
    <w:rsid w:val="003B475C"/>
    <w:rsid w:val="003C24DF"/>
    <w:rsid w:val="003C3DAC"/>
    <w:rsid w:val="003D425F"/>
    <w:rsid w:val="003D55C3"/>
    <w:rsid w:val="003E3468"/>
    <w:rsid w:val="003F1642"/>
    <w:rsid w:val="00431398"/>
    <w:rsid w:val="004319D6"/>
    <w:rsid w:val="0043302D"/>
    <w:rsid w:val="00445D9B"/>
    <w:rsid w:val="0045750C"/>
    <w:rsid w:val="00462098"/>
    <w:rsid w:val="00465881"/>
    <w:rsid w:val="00476CD8"/>
    <w:rsid w:val="0048212B"/>
    <w:rsid w:val="0048686A"/>
    <w:rsid w:val="00490F1F"/>
    <w:rsid w:val="004A6ED1"/>
    <w:rsid w:val="004B2F59"/>
    <w:rsid w:val="004D2CD3"/>
    <w:rsid w:val="0050217D"/>
    <w:rsid w:val="00507417"/>
    <w:rsid w:val="005155A2"/>
    <w:rsid w:val="00526D4D"/>
    <w:rsid w:val="00533DC1"/>
    <w:rsid w:val="00555F54"/>
    <w:rsid w:val="00561322"/>
    <w:rsid w:val="00580963"/>
    <w:rsid w:val="00595041"/>
    <w:rsid w:val="00595524"/>
    <w:rsid w:val="00595A74"/>
    <w:rsid w:val="005A557F"/>
    <w:rsid w:val="005A5915"/>
    <w:rsid w:val="005A5AA2"/>
    <w:rsid w:val="005B700A"/>
    <w:rsid w:val="005C0A75"/>
    <w:rsid w:val="005C6616"/>
    <w:rsid w:val="0060489C"/>
    <w:rsid w:val="00605E4D"/>
    <w:rsid w:val="006066DA"/>
    <w:rsid w:val="00624365"/>
    <w:rsid w:val="00626CCC"/>
    <w:rsid w:val="00631666"/>
    <w:rsid w:val="0063548C"/>
    <w:rsid w:val="00651CA2"/>
    <w:rsid w:val="00661BC7"/>
    <w:rsid w:val="00664D4A"/>
    <w:rsid w:val="00670A0E"/>
    <w:rsid w:val="00672464"/>
    <w:rsid w:val="00681B37"/>
    <w:rsid w:val="00690027"/>
    <w:rsid w:val="006912F2"/>
    <w:rsid w:val="00692884"/>
    <w:rsid w:val="006A4E86"/>
    <w:rsid w:val="006B36C2"/>
    <w:rsid w:val="006C4EFC"/>
    <w:rsid w:val="006D0280"/>
    <w:rsid w:val="006D2622"/>
    <w:rsid w:val="00712DE4"/>
    <w:rsid w:val="00716623"/>
    <w:rsid w:val="00725472"/>
    <w:rsid w:val="00735F12"/>
    <w:rsid w:val="00736EE2"/>
    <w:rsid w:val="00751765"/>
    <w:rsid w:val="0075249F"/>
    <w:rsid w:val="007566AC"/>
    <w:rsid w:val="00763E83"/>
    <w:rsid w:val="00775095"/>
    <w:rsid w:val="00780CE2"/>
    <w:rsid w:val="007841EB"/>
    <w:rsid w:val="00794A71"/>
    <w:rsid w:val="00794F8F"/>
    <w:rsid w:val="00796D2E"/>
    <w:rsid w:val="007B121D"/>
    <w:rsid w:val="007B527F"/>
    <w:rsid w:val="007D3CA5"/>
    <w:rsid w:val="007E170F"/>
    <w:rsid w:val="007F2593"/>
    <w:rsid w:val="007F5BAF"/>
    <w:rsid w:val="00807610"/>
    <w:rsid w:val="0082351F"/>
    <w:rsid w:val="00824BB9"/>
    <w:rsid w:val="00840DD8"/>
    <w:rsid w:val="0084506A"/>
    <w:rsid w:val="0084689B"/>
    <w:rsid w:val="00855612"/>
    <w:rsid w:val="00873B1A"/>
    <w:rsid w:val="008775FE"/>
    <w:rsid w:val="00893DF4"/>
    <w:rsid w:val="00894F94"/>
    <w:rsid w:val="008C3FA3"/>
    <w:rsid w:val="008D594F"/>
    <w:rsid w:val="008E1DD6"/>
    <w:rsid w:val="00902782"/>
    <w:rsid w:val="0090666E"/>
    <w:rsid w:val="00921642"/>
    <w:rsid w:val="0092528E"/>
    <w:rsid w:val="00930F76"/>
    <w:rsid w:val="00941D3B"/>
    <w:rsid w:val="00951CB4"/>
    <w:rsid w:val="00961680"/>
    <w:rsid w:val="0096447F"/>
    <w:rsid w:val="0097086D"/>
    <w:rsid w:val="00977A7A"/>
    <w:rsid w:val="00981032"/>
    <w:rsid w:val="009953B2"/>
    <w:rsid w:val="009A17F9"/>
    <w:rsid w:val="009D5653"/>
    <w:rsid w:val="009E09C4"/>
    <w:rsid w:val="009E3CDF"/>
    <w:rsid w:val="009E6933"/>
    <w:rsid w:val="009F076B"/>
    <w:rsid w:val="009F2C3A"/>
    <w:rsid w:val="009F66D4"/>
    <w:rsid w:val="00A21BE7"/>
    <w:rsid w:val="00A66249"/>
    <w:rsid w:val="00A73149"/>
    <w:rsid w:val="00AA2B3E"/>
    <w:rsid w:val="00AB0DF1"/>
    <w:rsid w:val="00AB3E57"/>
    <w:rsid w:val="00AC3EAD"/>
    <w:rsid w:val="00AC6440"/>
    <w:rsid w:val="00AD4B2E"/>
    <w:rsid w:val="00AD60F7"/>
    <w:rsid w:val="00AD6FFD"/>
    <w:rsid w:val="00AF3088"/>
    <w:rsid w:val="00AF7FA0"/>
    <w:rsid w:val="00B02D0F"/>
    <w:rsid w:val="00B101B1"/>
    <w:rsid w:val="00B15D97"/>
    <w:rsid w:val="00B23715"/>
    <w:rsid w:val="00B33FA4"/>
    <w:rsid w:val="00B4275F"/>
    <w:rsid w:val="00B437DA"/>
    <w:rsid w:val="00B4514E"/>
    <w:rsid w:val="00B51FF9"/>
    <w:rsid w:val="00B534F4"/>
    <w:rsid w:val="00B57251"/>
    <w:rsid w:val="00B738D3"/>
    <w:rsid w:val="00B74EA7"/>
    <w:rsid w:val="00B8776B"/>
    <w:rsid w:val="00B91377"/>
    <w:rsid w:val="00B959BD"/>
    <w:rsid w:val="00BA0D89"/>
    <w:rsid w:val="00BA34F5"/>
    <w:rsid w:val="00BA6661"/>
    <w:rsid w:val="00BA682B"/>
    <w:rsid w:val="00BE217C"/>
    <w:rsid w:val="00BF01B7"/>
    <w:rsid w:val="00BF0762"/>
    <w:rsid w:val="00C10381"/>
    <w:rsid w:val="00C17361"/>
    <w:rsid w:val="00C21C37"/>
    <w:rsid w:val="00C30215"/>
    <w:rsid w:val="00C33ABA"/>
    <w:rsid w:val="00C3757B"/>
    <w:rsid w:val="00C4422B"/>
    <w:rsid w:val="00C45067"/>
    <w:rsid w:val="00C541D2"/>
    <w:rsid w:val="00C62720"/>
    <w:rsid w:val="00C632FC"/>
    <w:rsid w:val="00C76C2A"/>
    <w:rsid w:val="00C96134"/>
    <w:rsid w:val="00CB0216"/>
    <w:rsid w:val="00CB5E90"/>
    <w:rsid w:val="00CB756F"/>
    <w:rsid w:val="00CC02BB"/>
    <w:rsid w:val="00CC522F"/>
    <w:rsid w:val="00CD100C"/>
    <w:rsid w:val="00CF42DA"/>
    <w:rsid w:val="00CF4A86"/>
    <w:rsid w:val="00CF6D81"/>
    <w:rsid w:val="00D034C0"/>
    <w:rsid w:val="00D05B9D"/>
    <w:rsid w:val="00D07741"/>
    <w:rsid w:val="00D32099"/>
    <w:rsid w:val="00D34D9C"/>
    <w:rsid w:val="00D428B1"/>
    <w:rsid w:val="00D45A77"/>
    <w:rsid w:val="00D46400"/>
    <w:rsid w:val="00D54FD4"/>
    <w:rsid w:val="00D71E98"/>
    <w:rsid w:val="00D801E3"/>
    <w:rsid w:val="00D93897"/>
    <w:rsid w:val="00DE17F8"/>
    <w:rsid w:val="00DF3FCD"/>
    <w:rsid w:val="00DF51EC"/>
    <w:rsid w:val="00E00D35"/>
    <w:rsid w:val="00E022E1"/>
    <w:rsid w:val="00E13431"/>
    <w:rsid w:val="00E13DD4"/>
    <w:rsid w:val="00E20E0C"/>
    <w:rsid w:val="00E305AF"/>
    <w:rsid w:val="00E32834"/>
    <w:rsid w:val="00E40FB1"/>
    <w:rsid w:val="00E46FB3"/>
    <w:rsid w:val="00E50293"/>
    <w:rsid w:val="00E50DB6"/>
    <w:rsid w:val="00E50E02"/>
    <w:rsid w:val="00E553F6"/>
    <w:rsid w:val="00E61ADC"/>
    <w:rsid w:val="00E70034"/>
    <w:rsid w:val="00E733E3"/>
    <w:rsid w:val="00E76425"/>
    <w:rsid w:val="00E93134"/>
    <w:rsid w:val="00EA17F2"/>
    <w:rsid w:val="00EC6E89"/>
    <w:rsid w:val="00ED5551"/>
    <w:rsid w:val="00EE54F2"/>
    <w:rsid w:val="00EE6E9A"/>
    <w:rsid w:val="00EF455A"/>
    <w:rsid w:val="00F060EF"/>
    <w:rsid w:val="00F10942"/>
    <w:rsid w:val="00F16BB0"/>
    <w:rsid w:val="00F36E88"/>
    <w:rsid w:val="00F42AF7"/>
    <w:rsid w:val="00F524D9"/>
    <w:rsid w:val="00F70F2A"/>
    <w:rsid w:val="00F9287A"/>
    <w:rsid w:val="00F9388D"/>
    <w:rsid w:val="00F95FA8"/>
    <w:rsid w:val="00FA5281"/>
    <w:rsid w:val="00FA66D8"/>
    <w:rsid w:val="00FB28D3"/>
    <w:rsid w:val="00FB4F51"/>
    <w:rsid w:val="00FB7450"/>
    <w:rsid w:val="00FC0E60"/>
    <w:rsid w:val="00FC55FC"/>
    <w:rsid w:val="00FC76D4"/>
    <w:rsid w:val="00FD0347"/>
    <w:rsid w:val="00FE073F"/>
    <w:rsid w:val="237F6486"/>
    <w:rsid w:val="2D6614D5"/>
    <w:rsid w:val="512F3E4D"/>
    <w:rsid w:val="7C1D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E733E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733E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73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E73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sid w:val="00E733E3"/>
    <w:rPr>
      <w:b/>
      <w:bCs/>
    </w:rPr>
  </w:style>
  <w:style w:type="table" w:styleId="a8">
    <w:name w:val="Table Grid"/>
    <w:basedOn w:val="a1"/>
    <w:autoRedefine/>
    <w:uiPriority w:val="59"/>
    <w:qFormat/>
    <w:rsid w:val="00E733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autoRedefine/>
    <w:uiPriority w:val="99"/>
    <w:semiHidden/>
    <w:unhideWhenUsed/>
    <w:qFormat/>
    <w:rsid w:val="00E733E3"/>
    <w:rPr>
      <w:sz w:val="21"/>
      <w:szCs w:val="21"/>
    </w:rPr>
  </w:style>
  <w:style w:type="character" w:customStyle="1" w:styleId="Char2">
    <w:name w:val="页眉 Char"/>
    <w:basedOn w:val="a0"/>
    <w:link w:val="a6"/>
    <w:autoRedefine/>
    <w:uiPriority w:val="99"/>
    <w:qFormat/>
    <w:rsid w:val="00E733E3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E733E3"/>
    <w:rPr>
      <w:sz w:val="18"/>
      <w:szCs w:val="18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E733E3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sid w:val="00E733E3"/>
    <w:rPr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sid w:val="00E733E3"/>
  </w:style>
  <w:style w:type="character" w:customStyle="1" w:styleId="Char3">
    <w:name w:val="批注主题 Char"/>
    <w:basedOn w:val="Char"/>
    <w:link w:val="a7"/>
    <w:autoRedefine/>
    <w:uiPriority w:val="99"/>
    <w:semiHidden/>
    <w:qFormat/>
    <w:rsid w:val="00E733E3"/>
    <w:rPr>
      <w:b/>
      <w:bCs/>
    </w:rPr>
  </w:style>
  <w:style w:type="paragraph" w:customStyle="1" w:styleId="Default">
    <w:name w:val="Default"/>
    <w:autoRedefine/>
    <w:qFormat/>
    <w:rsid w:val="00E733E3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2">
    <w:name w:val="修订2"/>
    <w:autoRedefine/>
    <w:hidden/>
    <w:uiPriority w:val="99"/>
    <w:semiHidden/>
    <w:qFormat/>
    <w:rsid w:val="00E733E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4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张莹雪</dc:creator>
  <cp:lastModifiedBy>ZHONGM</cp:lastModifiedBy>
  <cp:revision>2</cp:revision>
  <cp:lastPrinted>2019-04-11T10:13:00Z</cp:lastPrinted>
  <dcterms:created xsi:type="dcterms:W3CDTF">2024-02-28T16:00:00Z</dcterms:created>
  <dcterms:modified xsi:type="dcterms:W3CDTF">2024-02-28T16:00:00Z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744514203B7941EFAE4E8110A2C91A81_12</vt:lpwstr>
  </property>
</Properties>
</file>