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AD" w:rsidRDefault="00AE5939">
      <w:pPr>
        <w:pStyle w:val="1"/>
        <w:spacing w:line="395" w:lineRule="exact"/>
        <w:ind w:left="0" w:right="-39"/>
        <w:jc w:val="center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泰信基金管理有限公司关于调整旗下部分基金最低申购、</w:t>
      </w:r>
    </w:p>
    <w:p w:rsidR="00A63CAD" w:rsidRDefault="00AE5939">
      <w:pPr>
        <w:pStyle w:val="1"/>
        <w:spacing w:line="395" w:lineRule="exact"/>
        <w:ind w:left="0" w:right="-39"/>
        <w:jc w:val="center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定期定额投资金额以及最低赎回、转换转出、持有份额的公告</w:t>
      </w:r>
    </w:p>
    <w:p w:rsidR="00A63CAD" w:rsidRDefault="00A63CAD">
      <w:pPr>
        <w:spacing w:before="2"/>
        <w:rPr>
          <w:rFonts w:ascii="仿宋" w:eastAsia="仿宋" w:hAnsi="仿宋" w:cs="仿宋"/>
          <w:b/>
          <w:bCs/>
          <w:sz w:val="40"/>
          <w:szCs w:val="40"/>
          <w:lang w:eastAsia="zh-CN"/>
        </w:rPr>
      </w:pPr>
    </w:p>
    <w:p w:rsidR="00A63CAD" w:rsidRDefault="00AE5939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为了更好的满足投资者需求，根据基金合同、招募说明书及其他相关规定，泰信基金管理有限公司（以下简称“本公司”）决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定自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2024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年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月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28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日起，对旗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下部分基金的最低申购金额、最低定期定额投资金额以及最低赎回份额、最低转换转出份额、最低持有份额进行调整。现将有关事宜公告如下：</w:t>
      </w:r>
    </w:p>
    <w:p w:rsidR="00A63CAD" w:rsidRDefault="00AE5939">
      <w:pPr>
        <w:pStyle w:val="2"/>
        <w:spacing w:before="35"/>
        <w:rPr>
          <w:rFonts w:ascii="仿宋" w:eastAsia="仿宋" w:hAnsi="仿宋" w:cs="仿宋"/>
          <w:b w:val="0"/>
          <w:bCs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一、适用基金范围</w:t>
      </w:r>
    </w:p>
    <w:tbl>
      <w:tblPr>
        <w:tblStyle w:val="TableNormal"/>
        <w:tblpPr w:leftFromText="180" w:rightFromText="180" w:vertAnchor="text" w:horzAnchor="page" w:tblpX="2372" w:tblpY="108"/>
        <w:tblOverlap w:val="never"/>
        <w:tblW w:w="7394" w:type="dxa"/>
        <w:tblInd w:w="0" w:type="dxa"/>
        <w:tblLayout w:type="fixed"/>
        <w:tblLook w:val="04A0"/>
      </w:tblPr>
      <w:tblGrid>
        <w:gridCol w:w="683"/>
        <w:gridCol w:w="4278"/>
        <w:gridCol w:w="2433"/>
      </w:tblGrid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line="261" w:lineRule="exact"/>
              <w:ind w:left="103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line="261" w:lineRule="exact"/>
              <w:ind w:right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line="261" w:lineRule="exact"/>
              <w:ind w:right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基金代码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5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泰信先行策略开放式证券投资基金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290002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泰信双息双利债券型证券投资基金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290003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泰信优质生活混合型证券投资基金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290004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6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8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泰信优势增长灵活配置混合型证券投资基金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8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290005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5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7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泰信蓝筹精选混合型证券投资基金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7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290006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5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7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泰信增强收益债券型证券投资基金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7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290007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5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泰信增强收益债券型证券投资基金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291007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泰信发展主题混合型证券投资基金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290008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泰信周期回报债券型证券投资基金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290009</w:t>
            </w:r>
          </w:p>
        </w:tc>
      </w:tr>
      <w:tr w:rsidR="00A63CAD">
        <w:trPr>
          <w:trHeight w:hRule="exact" w:val="32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AD" w:rsidRDefault="00AE5939">
            <w:pPr>
              <w:pStyle w:val="TableParagraph"/>
              <w:spacing w:before="34"/>
              <w:ind w:right="1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泰信中证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200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指数证券投资基金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CAD" w:rsidRDefault="00AE5939">
            <w:pPr>
              <w:pStyle w:val="TableParagraph"/>
              <w:spacing w:line="276" w:lineRule="exact"/>
              <w:ind w:left="103"/>
              <w:jc w:val="center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  <w:lang w:eastAsia="zh-CN"/>
              </w:rPr>
              <w:t>290010</w:t>
            </w:r>
          </w:p>
        </w:tc>
      </w:tr>
    </w:tbl>
    <w:p w:rsidR="00A63CAD" w:rsidRDefault="00A63CAD">
      <w:pPr>
        <w:spacing w:before="13"/>
        <w:rPr>
          <w:rFonts w:ascii="仿宋" w:eastAsia="仿宋" w:hAnsi="仿宋" w:cs="仿宋"/>
          <w:b/>
          <w:bCs/>
          <w:sz w:val="28"/>
          <w:szCs w:val="28"/>
        </w:rPr>
      </w:pPr>
    </w:p>
    <w:p w:rsidR="00A63CAD" w:rsidRDefault="00A63CAD">
      <w:pPr>
        <w:spacing w:before="12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63CAD" w:rsidRDefault="00A63CAD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63CAD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63CAD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63CAD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63CAD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63CAD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63CAD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63CAD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63CAD">
      <w:pPr>
        <w:pStyle w:val="2"/>
        <w:spacing w:before="35"/>
        <w:ind w:left="0"/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E5939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二、调整内容</w:t>
      </w:r>
    </w:p>
    <w:p w:rsidR="00A63CAD" w:rsidRDefault="00A63CAD">
      <w:pPr>
        <w:spacing w:before="1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63CAD" w:rsidRDefault="00AE5939" w:rsidP="00AE5939">
      <w:pPr>
        <w:pStyle w:val="a3"/>
        <w:spacing w:line="386" w:lineRule="auto"/>
        <w:ind w:firstLineChars="200" w:firstLine="548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、自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2024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年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月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28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日起，上述基金单笔最低申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购金额、最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lastRenderedPageBreak/>
        <w:t>低定期定额投资金额为人民币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元。本调整仅针对代销机构，不涉及直销机构。各代销机构在符合上述规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定的前提下，可根据情况调整最低申购金额、最低定期定额投资金额，但调整后不得低于基金管理人设定的上述数值，可以等于或高于上述数值。具体以各销售机构公布的为准，投资人需遵循销售机构的相关规定。</w:t>
      </w:r>
    </w:p>
    <w:p w:rsidR="00A63CAD" w:rsidRDefault="00AE5939" w:rsidP="00AE5939">
      <w:pPr>
        <w:pStyle w:val="a3"/>
        <w:spacing w:line="386" w:lineRule="auto"/>
        <w:ind w:firstLineChars="200" w:firstLine="548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、自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2024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年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月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28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日起，上述基金单笔最低赎回份额、最低转换转出份额、最低持有份额为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份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。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本调整适用所有销售机构，包括直销机构和代销机构。各销售机构在符合上述规定的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前提下，可根据情况调整最低赎回份额、最低转换转出份额、最低持有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份额，但调整后不得低于基金管理人设定的上述数值，可以等于或高于上述数值。具体以各销售机构公布的为准，投资人需遵循销售机构的相关规定。</w:t>
      </w:r>
    </w:p>
    <w:p w:rsidR="00A63CAD" w:rsidRDefault="00AE5939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3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、本公司可以根据市场情况调整上述规则，并按照《公开募集证券投资基金信息披露管理办法》的有关规定在规定媒介上公告。</w:t>
      </w:r>
      <w:bookmarkStart w:id="0" w:name="_GoBack"/>
      <w:bookmarkEnd w:id="0"/>
    </w:p>
    <w:p w:rsidR="00A63CAD" w:rsidRDefault="00AE5939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三、其他重要提示</w:t>
      </w:r>
    </w:p>
    <w:p w:rsidR="00A63CAD" w:rsidRDefault="00A63CAD">
      <w:pPr>
        <w:spacing w:before="1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A63CAD" w:rsidRDefault="00AE5939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、本次调整方案所涉及的招募说明书相关内容，将在上述基金最近一次更新招募说明书时一并调整。</w:t>
      </w:r>
    </w:p>
    <w:p w:rsidR="00A63CAD" w:rsidRDefault="00AE5939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lastRenderedPageBreak/>
        <w:t>2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、本公告仅对调整上述基金单笔最低申购金额、最低定期定额投资金额以及最低赎回份额、最低转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换转出份额、最低持有份额的事项予以说明。投资者欲了解基金详细情况，请阅读基金的相关法律文件。</w:t>
      </w:r>
    </w:p>
    <w:p w:rsidR="00A63CAD" w:rsidRDefault="00AE5939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1"/>
          <w:w w:val="95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3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、投资者可访问本公司网站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(www.ftfund.com)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或拨打客户服务电话：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400-888-5988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或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021-38784566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咨询相关情况。</w:t>
      </w:r>
    </w:p>
    <w:p w:rsidR="00A63CAD" w:rsidRDefault="00AE5939">
      <w:pPr>
        <w:pStyle w:val="2"/>
        <w:spacing w:before="35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风险提示：</w:t>
      </w:r>
    </w:p>
    <w:p w:rsidR="00A63CAD" w:rsidRDefault="00A63CAD">
      <w:pPr>
        <w:rPr>
          <w:rFonts w:ascii="仿宋" w:eastAsia="仿宋" w:hAnsi="仿宋" w:cs="仿宋"/>
          <w:sz w:val="28"/>
          <w:szCs w:val="28"/>
          <w:lang w:eastAsia="zh-CN"/>
        </w:rPr>
      </w:pPr>
    </w:p>
    <w:p w:rsidR="00A63CAD" w:rsidRDefault="00AE5939">
      <w:pPr>
        <w:pStyle w:val="a3"/>
        <w:spacing w:line="386" w:lineRule="auto"/>
        <w:ind w:firstLine="477"/>
        <w:jc w:val="both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本公司承诺以诚实信用、勤勉尽责的原则管理和运用基金资产，但不保证基金一定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盈利，也不保证最低收益。敬请投资人注意投资风险。投资人投资于本公司管理的基金前应认真阅读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基金的基金合同、招募说明书等文件。</w:t>
      </w:r>
    </w:p>
    <w:p w:rsidR="00A63CAD" w:rsidRDefault="00AE5939">
      <w:pPr>
        <w:pStyle w:val="a3"/>
        <w:spacing w:before="35"/>
        <w:ind w:left="591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特此公告。</w:t>
      </w:r>
    </w:p>
    <w:p w:rsidR="00A63CAD" w:rsidRDefault="00A63CAD">
      <w:pPr>
        <w:spacing w:before="10"/>
        <w:rPr>
          <w:rFonts w:ascii="仿宋" w:eastAsia="仿宋" w:hAnsi="仿宋" w:cs="仿宋"/>
          <w:spacing w:val="-6"/>
          <w:sz w:val="28"/>
          <w:szCs w:val="28"/>
          <w:lang w:eastAsia="zh-CN"/>
        </w:rPr>
      </w:pPr>
    </w:p>
    <w:p w:rsidR="00A63CAD" w:rsidRDefault="00A63CAD">
      <w:pPr>
        <w:spacing w:before="10"/>
        <w:rPr>
          <w:rFonts w:ascii="仿宋" w:eastAsia="仿宋" w:hAnsi="仿宋" w:cs="仿宋"/>
          <w:spacing w:val="-6"/>
          <w:sz w:val="28"/>
          <w:szCs w:val="28"/>
          <w:lang w:eastAsia="zh-CN"/>
        </w:rPr>
      </w:pPr>
    </w:p>
    <w:p w:rsidR="00A63CAD" w:rsidRDefault="00A63CAD">
      <w:pPr>
        <w:spacing w:before="10"/>
        <w:rPr>
          <w:rFonts w:ascii="仿宋" w:eastAsia="仿宋" w:hAnsi="仿宋" w:cs="仿宋"/>
          <w:spacing w:val="-6"/>
          <w:sz w:val="28"/>
          <w:szCs w:val="28"/>
          <w:lang w:eastAsia="zh-CN"/>
        </w:rPr>
      </w:pPr>
    </w:p>
    <w:p w:rsidR="00A63CAD" w:rsidRDefault="00AE5939">
      <w:pPr>
        <w:pStyle w:val="a3"/>
        <w:ind w:left="0" w:right="219"/>
        <w:jc w:val="right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泰信基金管理有限公司</w:t>
      </w:r>
    </w:p>
    <w:p w:rsidR="00A63CAD" w:rsidRDefault="00A63CAD">
      <w:pPr>
        <w:spacing w:before="10"/>
        <w:rPr>
          <w:rFonts w:ascii="仿宋" w:eastAsia="仿宋" w:hAnsi="仿宋" w:cs="仿宋"/>
          <w:spacing w:val="-6"/>
          <w:sz w:val="28"/>
          <w:szCs w:val="28"/>
          <w:lang w:eastAsia="zh-CN"/>
        </w:rPr>
      </w:pPr>
    </w:p>
    <w:p w:rsidR="00A63CAD" w:rsidRDefault="00AE5939">
      <w:pPr>
        <w:pStyle w:val="a3"/>
        <w:ind w:left="0" w:right="219"/>
        <w:jc w:val="right"/>
        <w:rPr>
          <w:rFonts w:ascii="仿宋" w:eastAsia="仿宋" w:hAnsi="仿宋" w:cs="仿宋"/>
          <w:spacing w:val="-6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 xml:space="preserve">2024 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年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 xml:space="preserve"> 2 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月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 xml:space="preserve"> 28 </w:t>
      </w:r>
      <w:r>
        <w:rPr>
          <w:rFonts w:ascii="仿宋" w:eastAsia="仿宋" w:hAnsi="仿宋" w:cs="仿宋" w:hint="eastAsia"/>
          <w:spacing w:val="-6"/>
          <w:sz w:val="28"/>
          <w:szCs w:val="28"/>
          <w:lang w:eastAsia="zh-CN"/>
        </w:rPr>
        <w:t>日</w:t>
      </w:r>
    </w:p>
    <w:sectPr w:rsidR="00A63CAD" w:rsidSect="00A63CAD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0026A"/>
    <w:rsid w:val="00007881"/>
    <w:rsid w:val="000A126C"/>
    <w:rsid w:val="00153A9A"/>
    <w:rsid w:val="00222246"/>
    <w:rsid w:val="00285947"/>
    <w:rsid w:val="002A2C16"/>
    <w:rsid w:val="002B5C43"/>
    <w:rsid w:val="002E3348"/>
    <w:rsid w:val="003A3862"/>
    <w:rsid w:val="00450F33"/>
    <w:rsid w:val="00511EE8"/>
    <w:rsid w:val="005B6B3B"/>
    <w:rsid w:val="005F2DD4"/>
    <w:rsid w:val="00601EF5"/>
    <w:rsid w:val="006E5324"/>
    <w:rsid w:val="00734684"/>
    <w:rsid w:val="00740C03"/>
    <w:rsid w:val="00782E7B"/>
    <w:rsid w:val="0078701F"/>
    <w:rsid w:val="007C4304"/>
    <w:rsid w:val="007F2DB9"/>
    <w:rsid w:val="00850637"/>
    <w:rsid w:val="008F128D"/>
    <w:rsid w:val="00954AB6"/>
    <w:rsid w:val="009A7E7B"/>
    <w:rsid w:val="00A63CAD"/>
    <w:rsid w:val="00A81836"/>
    <w:rsid w:val="00AE5939"/>
    <w:rsid w:val="00B0026A"/>
    <w:rsid w:val="00B1687F"/>
    <w:rsid w:val="00B31329"/>
    <w:rsid w:val="00BE2C2A"/>
    <w:rsid w:val="00C055B9"/>
    <w:rsid w:val="00C35EE7"/>
    <w:rsid w:val="00C44019"/>
    <w:rsid w:val="00CE2324"/>
    <w:rsid w:val="00D24073"/>
    <w:rsid w:val="00DA089A"/>
    <w:rsid w:val="00DB41F9"/>
    <w:rsid w:val="00DB7ECC"/>
    <w:rsid w:val="00EE089D"/>
    <w:rsid w:val="00F06B24"/>
    <w:rsid w:val="00FC2138"/>
    <w:rsid w:val="01F80611"/>
    <w:rsid w:val="02957D3A"/>
    <w:rsid w:val="0AC50BA4"/>
    <w:rsid w:val="0EC31D99"/>
    <w:rsid w:val="12642D7C"/>
    <w:rsid w:val="14952E11"/>
    <w:rsid w:val="1525019B"/>
    <w:rsid w:val="15CF419D"/>
    <w:rsid w:val="15F56485"/>
    <w:rsid w:val="17977E68"/>
    <w:rsid w:val="1CB173AC"/>
    <w:rsid w:val="1EE547CB"/>
    <w:rsid w:val="22AD0D6D"/>
    <w:rsid w:val="23685AAD"/>
    <w:rsid w:val="236A1D4D"/>
    <w:rsid w:val="251A292A"/>
    <w:rsid w:val="282B7942"/>
    <w:rsid w:val="2A2E0CBD"/>
    <w:rsid w:val="32A2190B"/>
    <w:rsid w:val="37B74604"/>
    <w:rsid w:val="39DE66D8"/>
    <w:rsid w:val="3B8F10E3"/>
    <w:rsid w:val="3E03642A"/>
    <w:rsid w:val="407A64E3"/>
    <w:rsid w:val="41135C54"/>
    <w:rsid w:val="42571D76"/>
    <w:rsid w:val="447C2B77"/>
    <w:rsid w:val="451F0348"/>
    <w:rsid w:val="47A81E11"/>
    <w:rsid w:val="4A302D10"/>
    <w:rsid w:val="4BCA68D7"/>
    <w:rsid w:val="4DE17D95"/>
    <w:rsid w:val="4E693966"/>
    <w:rsid w:val="4F4D0AD8"/>
    <w:rsid w:val="51426F27"/>
    <w:rsid w:val="526240FC"/>
    <w:rsid w:val="541925F5"/>
    <w:rsid w:val="55F57078"/>
    <w:rsid w:val="57E61C99"/>
    <w:rsid w:val="5ADB410E"/>
    <w:rsid w:val="5DA81400"/>
    <w:rsid w:val="61CF2496"/>
    <w:rsid w:val="62077AF8"/>
    <w:rsid w:val="6407545F"/>
    <w:rsid w:val="68955A33"/>
    <w:rsid w:val="78F5010F"/>
    <w:rsid w:val="7D0D4EDF"/>
    <w:rsid w:val="7FD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AD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A63CAD"/>
    <w:pPr>
      <w:ind w:left="1140"/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A63CAD"/>
    <w:pPr>
      <w:spacing w:before="34"/>
      <w:ind w:left="591"/>
      <w:outlineLvl w:val="1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63CAD"/>
    <w:pPr>
      <w:ind w:left="220"/>
    </w:pPr>
    <w:rPr>
      <w:rFonts w:ascii="宋体" w:eastAsia="宋体" w:hAnsi="宋体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63C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63CAD"/>
  </w:style>
  <w:style w:type="paragraph" w:customStyle="1" w:styleId="TableParagraph">
    <w:name w:val="Table Paragraph"/>
    <w:basedOn w:val="a"/>
    <w:uiPriority w:val="1"/>
    <w:qFormat/>
    <w:rsid w:val="00A63C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4</DocSecurity>
  <Lines>9</Lines>
  <Paragraphs>2</Paragraphs>
  <ScaleCrop>false</ScaleCrop>
  <Company>CNSTOCK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chenshu</dc:creator>
  <cp:lastModifiedBy>ZHONGM</cp:lastModifiedBy>
  <cp:revision>2</cp:revision>
  <dcterms:created xsi:type="dcterms:W3CDTF">2024-02-27T16:01:00Z</dcterms:created>
  <dcterms:modified xsi:type="dcterms:W3CDTF">2024-02-27T16:01:00Z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2024-02-23T00:00:00Z</vt:filetime>
  </property>
  <property fmtid="{D5CDD505-2E9C-101B-9397-08002B2CF9AE}" pid="5" name="KSOProductBuildVer">
    <vt:lpwstr>2052-11.8.2.9067</vt:lpwstr>
  </property>
</Properties>
</file>