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1E01" w:rsidRDefault="00FB1E01">
      <w:pPr>
        <w:pStyle w:val="p"/>
        <w:spacing w:line="360" w:lineRule="auto"/>
        <w:ind w:firstLine="480"/>
        <w:jc w:val="center"/>
        <w:rPr>
          <w:rFonts w:eastAsia="Times New Roman"/>
          <w:kern w:val="0"/>
          <w:sz w:val="24"/>
          <w:szCs w:val="24"/>
        </w:rPr>
      </w:pPr>
    </w:p>
    <w:p w:rsidR="00FB1E01" w:rsidRDefault="00B83A8A">
      <w:pPr>
        <w:pStyle w:val="div"/>
        <w:spacing w:line="360" w:lineRule="auto"/>
        <w:ind w:firstLine="480"/>
        <w:jc w:val="center"/>
        <w:rPr>
          <w:rFonts w:eastAsia="Times New Roman"/>
          <w:kern w:val="0"/>
          <w:sz w:val="24"/>
          <w:szCs w:val="24"/>
        </w:rPr>
      </w:pPr>
      <w:r>
        <w:rPr>
          <w:rStyle w:val="custom"/>
          <w:rFonts w:ascii="黑体" w:eastAsia="黑体" w:hAnsi="黑体" w:cs="黑体"/>
          <w:b/>
          <w:bCs/>
          <w:kern w:val="0"/>
          <w:sz w:val="32"/>
          <w:szCs w:val="32"/>
        </w:rPr>
        <w:t>国投瑞银和泰6个月定期开放债券型发起式证券投资基金</w:t>
      </w:r>
      <w:r>
        <w:rPr>
          <w:rFonts w:ascii="黑体" w:eastAsia="黑体" w:hAnsi="黑体" w:cs="黑体"/>
          <w:b/>
          <w:bCs/>
          <w:kern w:val="0"/>
          <w:sz w:val="32"/>
          <w:szCs w:val="32"/>
        </w:rPr>
        <w:t>开放申购、赎回业务的公</w:t>
      </w:r>
      <w:r>
        <w:rPr>
          <w:rStyle w:val="custom"/>
          <w:rFonts w:ascii="黑体" w:eastAsia="黑体" w:hAnsi="黑体" w:cs="黑体"/>
          <w:b/>
          <w:bCs/>
          <w:kern w:val="0"/>
          <w:sz w:val="32"/>
          <w:szCs w:val="32"/>
        </w:rPr>
        <w:t>告</w:t>
      </w:r>
    </w:p>
    <w:p w:rsidR="00FB1E01" w:rsidRDefault="00FB1E01">
      <w:pPr>
        <w:pStyle w:val="p"/>
        <w:spacing w:line="360" w:lineRule="auto"/>
        <w:ind w:firstLine="480"/>
        <w:jc w:val="center"/>
        <w:rPr>
          <w:rFonts w:eastAsia="Times New Roman"/>
          <w:kern w:val="0"/>
          <w:sz w:val="24"/>
          <w:szCs w:val="24"/>
        </w:rPr>
      </w:pPr>
    </w:p>
    <w:p w:rsidR="00FB1E01" w:rsidRDefault="00B83A8A">
      <w:pPr>
        <w:pStyle w:val="div"/>
        <w:spacing w:line="360" w:lineRule="auto"/>
        <w:ind w:firstLine="480"/>
        <w:jc w:val="center"/>
        <w:rPr>
          <w:rFonts w:ascii="宋体" w:hAnsi="宋体" w:cs="宋体"/>
          <w:kern w:val="0"/>
          <w:sz w:val="24"/>
          <w:szCs w:val="24"/>
        </w:rPr>
      </w:pPr>
      <w:r>
        <w:rPr>
          <w:rFonts w:ascii="宋体" w:hAnsi="宋体" w:cs="宋体"/>
          <w:kern w:val="0"/>
          <w:sz w:val="24"/>
          <w:szCs w:val="24"/>
        </w:rPr>
        <w:t>公告送出日期：</w:t>
      </w:r>
      <w:r>
        <w:rPr>
          <w:rStyle w:val="custom"/>
          <w:rFonts w:ascii="宋体" w:hAnsi="宋体" w:cs="宋体"/>
          <w:kern w:val="0"/>
          <w:sz w:val="24"/>
          <w:szCs w:val="24"/>
        </w:rPr>
        <w:t>2024年2月28日</w:t>
      </w:r>
    </w:p>
    <w:p w:rsidR="00FB1E01" w:rsidRDefault="00FB1E01">
      <w:pPr>
        <w:autoSpaceDE w:val="0"/>
        <w:autoSpaceDN w:val="0"/>
        <w:adjustRightInd w:val="0"/>
        <w:spacing w:line="360" w:lineRule="auto"/>
        <w:ind w:firstLineChars="200" w:firstLine="480"/>
        <w:jc w:val="center"/>
        <w:rPr>
          <w:rFonts w:ascii="宋体" w:hAnsi="宋体"/>
          <w:sz w:val="24"/>
          <w:szCs w:val="24"/>
        </w:rPr>
      </w:pPr>
    </w:p>
    <w:p w:rsidR="00FB1E01" w:rsidRDefault="00B83A8A">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1</w:t>
      </w:r>
      <w:r>
        <w:rPr>
          <w:rFonts w:ascii="宋体" w:hAnsi="宋体" w:cs="宋体"/>
          <w:b/>
          <w:bCs/>
          <w:kern w:val="0"/>
          <w:sz w:val="24"/>
          <w:szCs w:val="24"/>
        </w:rPr>
        <w:t>公告基本信息</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3372"/>
        <w:gridCol w:w="5156"/>
      </w:tblGrid>
      <w:tr w:rsidR="00FB1E01">
        <w:trPr>
          <w:jc w:val="center"/>
        </w:trPr>
        <w:tc>
          <w:tcPr>
            <w:tcW w:w="3372" w:type="dxa"/>
            <w:tcBorders>
              <w:top w:val="single" w:sz="8" w:space="0" w:color="000000"/>
              <w:left w:val="single" w:sz="8" w:space="0" w:color="000000"/>
              <w:bottom w:val="single" w:sz="6" w:space="0" w:color="000000"/>
              <w:right w:val="single" w:sz="6" w:space="0" w:color="000000"/>
            </w:tcBorders>
            <w:tcMar>
              <w:top w:w="106" w:type="dxa"/>
              <w:left w:w="111" w:type="dxa"/>
              <w:bottom w:w="104" w:type="dxa"/>
              <w:right w:w="108" w:type="dxa"/>
            </w:tcMar>
            <w:hideMark/>
          </w:tcPr>
          <w:p w:rsidR="00FB1E01" w:rsidRDefault="00B83A8A">
            <w:pPr>
              <w:pStyle w:val="div"/>
              <w:rPr>
                <w:rFonts w:eastAsia="Times New Roman"/>
                <w:color w:val="000000"/>
                <w:kern w:val="0"/>
                <w:szCs w:val="21"/>
              </w:rPr>
            </w:pPr>
            <w:r>
              <w:rPr>
                <w:rFonts w:ascii="宋体" w:hAnsi="宋体" w:cs="宋体"/>
                <w:color w:val="000000"/>
                <w:kern w:val="0"/>
                <w:szCs w:val="21"/>
              </w:rPr>
              <w:t>基金名称</w:t>
            </w:r>
          </w:p>
        </w:tc>
        <w:tc>
          <w:tcPr>
            <w:tcW w:w="5156" w:type="dxa"/>
            <w:tcBorders>
              <w:top w:val="single" w:sz="8" w:space="0" w:color="000000"/>
              <w:left w:val="single" w:sz="6" w:space="0" w:color="000000"/>
              <w:bottom w:val="single" w:sz="6" w:space="0" w:color="000000"/>
              <w:right w:val="single" w:sz="8" w:space="0" w:color="000000"/>
            </w:tcBorders>
            <w:tcMar>
              <w:top w:w="106" w:type="dxa"/>
              <w:left w:w="108" w:type="dxa"/>
              <w:bottom w:w="104" w:type="dxa"/>
              <w:right w:w="111" w:type="dxa"/>
            </w:tcMar>
            <w:hideMark/>
          </w:tcPr>
          <w:p w:rsidR="00FB1E01" w:rsidRDefault="00B83A8A">
            <w:pPr>
              <w:pStyle w:val="div"/>
              <w:rPr>
                <w:rFonts w:eastAsia="Times New Roman"/>
                <w:color w:val="000000"/>
                <w:kern w:val="0"/>
                <w:szCs w:val="21"/>
              </w:rPr>
            </w:pPr>
            <w:r>
              <w:rPr>
                <w:rFonts w:ascii="宋体" w:hAnsi="宋体" w:cs="宋体"/>
                <w:color w:val="000000"/>
                <w:kern w:val="0"/>
                <w:szCs w:val="21"/>
              </w:rPr>
              <w:t>国投瑞银和泰6个月定期开放债券型发起式证券投资基金</w:t>
            </w:r>
          </w:p>
        </w:tc>
      </w:tr>
      <w:tr w:rsidR="00FB1E01">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FB1E01" w:rsidRDefault="00B83A8A">
            <w:pPr>
              <w:pStyle w:val="div"/>
              <w:rPr>
                <w:rFonts w:eastAsia="Times New Roman"/>
                <w:color w:val="000000"/>
                <w:kern w:val="0"/>
                <w:szCs w:val="21"/>
              </w:rPr>
            </w:pPr>
            <w:r>
              <w:rPr>
                <w:rFonts w:ascii="宋体" w:hAnsi="宋体" w:cs="宋体"/>
                <w:color w:val="000000"/>
                <w:kern w:val="0"/>
                <w:szCs w:val="21"/>
              </w:rPr>
              <w:t>基金简称</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FB1E01" w:rsidRDefault="00B83A8A">
            <w:pPr>
              <w:pStyle w:val="div"/>
              <w:rPr>
                <w:rFonts w:eastAsia="Times New Roman"/>
                <w:color w:val="000000"/>
                <w:kern w:val="0"/>
                <w:szCs w:val="21"/>
              </w:rPr>
            </w:pPr>
            <w:r>
              <w:rPr>
                <w:rFonts w:ascii="宋体" w:hAnsi="宋体" w:cs="宋体"/>
                <w:color w:val="000000"/>
                <w:kern w:val="0"/>
                <w:szCs w:val="21"/>
              </w:rPr>
              <w:t>国投瑞银和泰6个月债券</w:t>
            </w:r>
          </w:p>
        </w:tc>
      </w:tr>
      <w:tr w:rsidR="00FB1E01">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vAlign w:val="center"/>
            <w:hideMark/>
          </w:tcPr>
          <w:p w:rsidR="00FB1E01" w:rsidRDefault="00B83A8A">
            <w:pPr>
              <w:pStyle w:val="div"/>
              <w:rPr>
                <w:rFonts w:eastAsia="Times New Roman"/>
                <w:color w:val="000000"/>
                <w:kern w:val="0"/>
                <w:szCs w:val="21"/>
              </w:rPr>
            </w:pPr>
            <w:r>
              <w:rPr>
                <w:rFonts w:ascii="宋体" w:hAnsi="宋体" w:cs="宋体"/>
                <w:color w:val="000000"/>
                <w:kern w:val="0"/>
                <w:szCs w:val="21"/>
              </w:rPr>
              <w:t>基金主代码</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vAlign w:val="center"/>
            <w:hideMark/>
          </w:tcPr>
          <w:p w:rsidR="00FB1E01" w:rsidRDefault="00B83A8A">
            <w:pPr>
              <w:pStyle w:val="div"/>
              <w:rPr>
                <w:rFonts w:eastAsia="Times New Roman"/>
                <w:color w:val="000000"/>
                <w:kern w:val="0"/>
                <w:szCs w:val="21"/>
              </w:rPr>
            </w:pPr>
            <w:r>
              <w:rPr>
                <w:rFonts w:ascii="宋体" w:hAnsi="宋体" w:cs="宋体"/>
                <w:color w:val="000000"/>
                <w:kern w:val="0"/>
                <w:szCs w:val="21"/>
              </w:rPr>
              <w:t>005019</w:t>
            </w:r>
          </w:p>
        </w:tc>
      </w:tr>
      <w:tr w:rsidR="00FB1E01">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FB1E01" w:rsidRDefault="00B83A8A">
            <w:pPr>
              <w:pStyle w:val="div"/>
              <w:rPr>
                <w:rFonts w:eastAsia="Times New Roman"/>
                <w:color w:val="000000"/>
                <w:kern w:val="0"/>
                <w:szCs w:val="21"/>
              </w:rPr>
            </w:pPr>
            <w:r>
              <w:rPr>
                <w:rFonts w:ascii="宋体" w:hAnsi="宋体" w:cs="宋体"/>
                <w:color w:val="000000"/>
                <w:kern w:val="0"/>
                <w:szCs w:val="21"/>
              </w:rPr>
              <w:t>基金运作方式</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FB1E01" w:rsidRDefault="00B83A8A">
            <w:pPr>
              <w:pStyle w:val="div"/>
              <w:rPr>
                <w:rFonts w:eastAsia="Times New Roman"/>
                <w:color w:val="000000"/>
                <w:kern w:val="0"/>
                <w:szCs w:val="21"/>
              </w:rPr>
            </w:pPr>
            <w:r>
              <w:rPr>
                <w:rFonts w:ascii="宋体" w:hAnsi="宋体" w:cs="宋体"/>
                <w:color w:val="000000"/>
                <w:kern w:val="0"/>
                <w:szCs w:val="21"/>
              </w:rPr>
              <w:t>契约型、以定期开放方式运作</w:t>
            </w:r>
          </w:p>
        </w:tc>
      </w:tr>
      <w:tr w:rsidR="00FB1E01">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FB1E01" w:rsidRDefault="00B83A8A">
            <w:pPr>
              <w:pStyle w:val="div"/>
              <w:rPr>
                <w:rFonts w:eastAsia="Times New Roman"/>
                <w:color w:val="000000"/>
                <w:kern w:val="0"/>
                <w:szCs w:val="21"/>
              </w:rPr>
            </w:pPr>
            <w:r>
              <w:rPr>
                <w:rFonts w:ascii="宋体" w:hAnsi="宋体" w:cs="宋体"/>
                <w:color w:val="000000"/>
                <w:kern w:val="0"/>
                <w:szCs w:val="21"/>
              </w:rPr>
              <w:t>基金合同生效日</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FB1E01" w:rsidRDefault="00B83A8A">
            <w:pPr>
              <w:pStyle w:val="div"/>
              <w:rPr>
                <w:rFonts w:eastAsia="Times New Roman"/>
                <w:color w:val="000000"/>
                <w:kern w:val="0"/>
                <w:szCs w:val="21"/>
              </w:rPr>
            </w:pPr>
            <w:r>
              <w:rPr>
                <w:rFonts w:ascii="宋体" w:hAnsi="宋体" w:cs="宋体"/>
                <w:color w:val="000000"/>
                <w:kern w:val="0"/>
                <w:szCs w:val="21"/>
              </w:rPr>
              <w:t>2017年11月24日</w:t>
            </w:r>
          </w:p>
        </w:tc>
      </w:tr>
      <w:tr w:rsidR="00FB1E01">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FB1E01" w:rsidRDefault="00B83A8A">
            <w:pPr>
              <w:pStyle w:val="div"/>
              <w:rPr>
                <w:rFonts w:eastAsia="Times New Roman"/>
                <w:color w:val="000000"/>
                <w:kern w:val="0"/>
                <w:szCs w:val="21"/>
              </w:rPr>
            </w:pPr>
            <w:r>
              <w:rPr>
                <w:rFonts w:ascii="宋体" w:hAnsi="宋体" w:cs="宋体"/>
                <w:color w:val="000000"/>
                <w:kern w:val="0"/>
                <w:szCs w:val="21"/>
              </w:rPr>
              <w:t>基金管理人名称</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FB1E01" w:rsidRDefault="00B83A8A">
            <w:pPr>
              <w:pStyle w:val="div"/>
              <w:rPr>
                <w:rFonts w:eastAsia="Times New Roman"/>
                <w:color w:val="000000"/>
                <w:kern w:val="0"/>
                <w:szCs w:val="21"/>
              </w:rPr>
            </w:pPr>
            <w:r>
              <w:rPr>
                <w:rFonts w:ascii="宋体" w:hAnsi="宋体" w:cs="宋体"/>
                <w:color w:val="000000"/>
                <w:kern w:val="0"/>
                <w:szCs w:val="21"/>
              </w:rPr>
              <w:t>国投瑞银基金管理有限公司</w:t>
            </w:r>
          </w:p>
        </w:tc>
      </w:tr>
      <w:tr w:rsidR="00FB1E01">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FB1E01" w:rsidRDefault="00B83A8A">
            <w:pPr>
              <w:pStyle w:val="div"/>
              <w:rPr>
                <w:rFonts w:eastAsia="Times New Roman"/>
                <w:color w:val="000000"/>
                <w:kern w:val="0"/>
                <w:szCs w:val="21"/>
              </w:rPr>
            </w:pPr>
            <w:r>
              <w:rPr>
                <w:rFonts w:ascii="宋体" w:hAnsi="宋体" w:cs="宋体"/>
                <w:color w:val="000000"/>
                <w:kern w:val="0"/>
                <w:szCs w:val="21"/>
              </w:rPr>
              <w:t>基金托管人名称</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FB1E01" w:rsidRDefault="00B83A8A">
            <w:pPr>
              <w:pStyle w:val="div"/>
              <w:rPr>
                <w:rFonts w:eastAsia="Times New Roman"/>
                <w:color w:val="000000"/>
                <w:kern w:val="0"/>
                <w:szCs w:val="21"/>
              </w:rPr>
            </w:pPr>
            <w:r>
              <w:rPr>
                <w:rFonts w:ascii="宋体" w:hAnsi="宋体" w:cs="宋体"/>
                <w:color w:val="000000"/>
                <w:kern w:val="0"/>
                <w:szCs w:val="21"/>
              </w:rPr>
              <w:t>杭州银行股份有限公司</w:t>
            </w:r>
          </w:p>
        </w:tc>
      </w:tr>
      <w:tr w:rsidR="00FB1E01">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FB1E01" w:rsidRDefault="00B83A8A">
            <w:pPr>
              <w:pStyle w:val="div"/>
              <w:rPr>
                <w:rFonts w:eastAsia="Times New Roman"/>
                <w:color w:val="000000"/>
                <w:kern w:val="0"/>
                <w:szCs w:val="21"/>
              </w:rPr>
            </w:pPr>
            <w:r>
              <w:rPr>
                <w:rFonts w:ascii="宋体" w:hAnsi="宋体" w:cs="宋体"/>
                <w:color w:val="000000"/>
                <w:kern w:val="0"/>
                <w:szCs w:val="21"/>
              </w:rPr>
              <w:t>基金注册登记机构名称</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FB1E01" w:rsidRDefault="00B83A8A">
            <w:pPr>
              <w:pStyle w:val="div"/>
              <w:rPr>
                <w:rFonts w:eastAsia="Times New Roman"/>
                <w:color w:val="000000"/>
                <w:kern w:val="0"/>
                <w:szCs w:val="21"/>
              </w:rPr>
            </w:pPr>
            <w:r>
              <w:rPr>
                <w:rFonts w:ascii="宋体" w:hAnsi="宋体" w:cs="宋体"/>
                <w:color w:val="000000"/>
                <w:kern w:val="0"/>
                <w:szCs w:val="21"/>
              </w:rPr>
              <w:t>国投瑞银基金管理有限公司</w:t>
            </w:r>
          </w:p>
        </w:tc>
      </w:tr>
      <w:tr w:rsidR="00FB1E01">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vAlign w:val="center"/>
            <w:hideMark/>
          </w:tcPr>
          <w:p w:rsidR="00FB1E01" w:rsidRDefault="00B83A8A">
            <w:pPr>
              <w:pStyle w:val="div"/>
              <w:rPr>
                <w:rFonts w:eastAsia="Times New Roman"/>
                <w:color w:val="000000"/>
                <w:kern w:val="0"/>
                <w:szCs w:val="21"/>
              </w:rPr>
            </w:pPr>
            <w:r>
              <w:rPr>
                <w:rFonts w:ascii="宋体" w:hAnsi="宋体" w:cs="宋体"/>
                <w:color w:val="000000"/>
                <w:kern w:val="0"/>
                <w:szCs w:val="21"/>
              </w:rPr>
              <w:t>公告依据</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FB1E01" w:rsidRDefault="00B83A8A">
            <w:pPr>
              <w:pStyle w:val="div"/>
              <w:rPr>
                <w:rFonts w:eastAsia="Times New Roman"/>
                <w:color w:val="000000"/>
                <w:kern w:val="0"/>
                <w:szCs w:val="21"/>
              </w:rPr>
            </w:pPr>
            <w:r>
              <w:rPr>
                <w:rFonts w:ascii="宋体" w:hAnsi="宋体" w:cs="宋体"/>
                <w:color w:val="000000"/>
                <w:kern w:val="0"/>
                <w:szCs w:val="21"/>
              </w:rPr>
              <w:t>《公开募集证券投资基金信息披露管理办法》及本基金基金合同和招募说明书等</w:t>
            </w:r>
          </w:p>
        </w:tc>
      </w:tr>
      <w:tr w:rsidR="00FB1E01">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FB1E01" w:rsidRDefault="00B83A8A">
            <w:pPr>
              <w:pStyle w:val="div"/>
              <w:rPr>
                <w:rFonts w:eastAsia="Times New Roman"/>
                <w:color w:val="000000"/>
                <w:kern w:val="0"/>
                <w:szCs w:val="21"/>
              </w:rPr>
            </w:pPr>
            <w:r>
              <w:rPr>
                <w:rFonts w:ascii="宋体" w:hAnsi="宋体" w:cs="宋体"/>
                <w:color w:val="000000"/>
                <w:kern w:val="0"/>
                <w:szCs w:val="21"/>
              </w:rPr>
              <w:t>申购起始日</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FB1E01" w:rsidRDefault="00B83A8A">
            <w:pPr>
              <w:pStyle w:val="div"/>
              <w:rPr>
                <w:rFonts w:eastAsia="Times New Roman"/>
                <w:color w:val="000000"/>
                <w:kern w:val="0"/>
                <w:szCs w:val="21"/>
              </w:rPr>
            </w:pPr>
            <w:r>
              <w:rPr>
                <w:rFonts w:ascii="宋体" w:hAnsi="宋体" w:cs="宋体"/>
                <w:color w:val="000000"/>
                <w:kern w:val="0"/>
                <w:szCs w:val="21"/>
              </w:rPr>
              <w:t>2024年3月1日</w:t>
            </w:r>
          </w:p>
        </w:tc>
      </w:tr>
      <w:tr w:rsidR="00FB1E01">
        <w:trPr>
          <w:jc w:val="center"/>
        </w:trPr>
        <w:tc>
          <w:tcPr>
            <w:tcW w:w="3372" w:type="dxa"/>
            <w:tcBorders>
              <w:top w:val="single" w:sz="6" w:space="0" w:color="000000"/>
              <w:left w:val="single" w:sz="8" w:space="0" w:color="000000"/>
              <w:bottom w:val="single" w:sz="6" w:space="0" w:color="000000"/>
              <w:right w:val="single" w:sz="6" w:space="0" w:color="000000"/>
            </w:tcBorders>
            <w:tcMar>
              <w:top w:w="104" w:type="dxa"/>
              <w:left w:w="111" w:type="dxa"/>
              <w:bottom w:w="104" w:type="dxa"/>
              <w:right w:w="108" w:type="dxa"/>
            </w:tcMar>
            <w:hideMark/>
          </w:tcPr>
          <w:p w:rsidR="00FB1E01" w:rsidRDefault="00B83A8A">
            <w:pPr>
              <w:pStyle w:val="div"/>
              <w:rPr>
                <w:rFonts w:eastAsia="Times New Roman"/>
                <w:color w:val="000000"/>
                <w:kern w:val="0"/>
                <w:szCs w:val="21"/>
              </w:rPr>
            </w:pPr>
            <w:r>
              <w:rPr>
                <w:rFonts w:ascii="宋体" w:hAnsi="宋体" w:cs="宋体"/>
                <w:color w:val="000000"/>
                <w:kern w:val="0"/>
                <w:szCs w:val="21"/>
              </w:rPr>
              <w:t>赎回起始日</w:t>
            </w:r>
          </w:p>
        </w:tc>
        <w:tc>
          <w:tcPr>
            <w:tcW w:w="5156" w:type="dxa"/>
            <w:tcBorders>
              <w:top w:val="single" w:sz="6" w:space="0" w:color="000000"/>
              <w:left w:val="single" w:sz="6" w:space="0" w:color="000000"/>
              <w:bottom w:val="single" w:sz="6" w:space="0" w:color="000000"/>
              <w:right w:val="single" w:sz="8" w:space="0" w:color="000000"/>
            </w:tcBorders>
            <w:tcMar>
              <w:top w:w="104" w:type="dxa"/>
              <w:left w:w="108" w:type="dxa"/>
              <w:bottom w:w="104" w:type="dxa"/>
              <w:right w:w="111" w:type="dxa"/>
            </w:tcMar>
            <w:hideMark/>
          </w:tcPr>
          <w:p w:rsidR="00FB1E01" w:rsidRDefault="00B83A8A">
            <w:pPr>
              <w:pStyle w:val="div"/>
              <w:rPr>
                <w:rFonts w:eastAsia="Times New Roman"/>
                <w:color w:val="000000"/>
                <w:kern w:val="0"/>
                <w:szCs w:val="21"/>
              </w:rPr>
            </w:pPr>
            <w:r>
              <w:rPr>
                <w:rFonts w:ascii="宋体" w:hAnsi="宋体" w:cs="宋体"/>
                <w:color w:val="000000"/>
                <w:kern w:val="0"/>
                <w:szCs w:val="21"/>
              </w:rPr>
              <w:t>2024年3月1日</w:t>
            </w:r>
          </w:p>
        </w:tc>
      </w:tr>
    </w:tbl>
    <w:p w:rsidR="00FB1E01" w:rsidRDefault="00B83A8A">
      <w:pPr>
        <w:pStyle w:val="div"/>
        <w:ind w:firstLine="420"/>
        <w:rPr>
          <w:rFonts w:ascii="宋体" w:hAnsi="宋体" w:cs="宋体"/>
          <w:kern w:val="0"/>
          <w:szCs w:val="21"/>
        </w:rPr>
      </w:pPr>
      <w:r>
        <w:rPr>
          <w:rFonts w:ascii="宋体" w:hAnsi="宋体" w:cs="宋体"/>
          <w:kern w:val="0"/>
          <w:szCs w:val="21"/>
        </w:rPr>
        <w:t>1、本基金为定期开放基金，本次开放期时间为2024年3月1日至2024年3月28日，开放期内本基金接受申购、赎回申请。</w:t>
      </w:r>
    </w:p>
    <w:p w:rsidR="00FB1E01" w:rsidRDefault="00B83A8A">
      <w:pPr>
        <w:pStyle w:val="div"/>
        <w:ind w:firstLine="420"/>
        <w:rPr>
          <w:rFonts w:ascii="宋体" w:hAnsi="宋体" w:cs="宋体"/>
          <w:kern w:val="0"/>
          <w:szCs w:val="21"/>
        </w:rPr>
      </w:pPr>
      <w:r>
        <w:rPr>
          <w:rFonts w:ascii="宋体" w:hAnsi="宋体" w:cs="宋体"/>
          <w:kern w:val="0"/>
          <w:szCs w:val="21"/>
        </w:rPr>
        <w:t>2、本基金自2024年3月29日起进入封闭期，封闭期内本基金不接受申购、赎回申请。</w:t>
      </w:r>
    </w:p>
    <w:p w:rsidR="00FB1E01" w:rsidRDefault="00B83A8A">
      <w:pPr>
        <w:ind w:firstLine="420"/>
        <w:rPr>
          <w:rFonts w:ascii="宋体" w:hAnsi="宋体" w:cs="宋体"/>
          <w:kern w:val="0"/>
          <w:szCs w:val="21"/>
        </w:rPr>
      </w:pPr>
      <w:r>
        <w:rPr>
          <w:rFonts w:ascii="宋体" w:hAnsi="宋体" w:cs="宋体"/>
          <w:kern w:val="0"/>
          <w:szCs w:val="21"/>
        </w:rPr>
        <w:t> </w:t>
      </w:r>
    </w:p>
    <w:p w:rsidR="00FB1E01" w:rsidRDefault="00B83A8A">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2</w:t>
      </w:r>
      <w:r>
        <w:rPr>
          <w:rFonts w:ascii="宋体" w:hAnsi="宋体" w:cs="宋体"/>
          <w:b/>
          <w:bCs/>
          <w:kern w:val="0"/>
          <w:sz w:val="24"/>
          <w:szCs w:val="24"/>
        </w:rPr>
        <w:t>申购、赎回业务的办理时间</w:t>
      </w:r>
    </w:p>
    <w:p w:rsidR="00FB1E01" w:rsidRDefault="00B83A8A">
      <w:pPr>
        <w:pStyle w:val="div"/>
        <w:spacing w:line="360" w:lineRule="auto"/>
        <w:ind w:firstLine="480"/>
        <w:rPr>
          <w:rFonts w:ascii="宋体" w:hAnsi="宋体" w:cs="宋体"/>
          <w:kern w:val="0"/>
          <w:sz w:val="24"/>
          <w:szCs w:val="24"/>
        </w:rPr>
      </w:pPr>
      <w:r>
        <w:rPr>
          <w:rFonts w:ascii="宋体" w:hAnsi="宋体" w:cs="宋体"/>
          <w:kern w:val="0"/>
          <w:sz w:val="24"/>
          <w:szCs w:val="24"/>
        </w:rPr>
        <w:t>根据国投瑞银和泰6个月定期开放债券型发起式证券投资基金（以下简称：“本基金”）《基金合同》、《招募说明书》的规定，本基金以定期开放方式运作，即以封闭期和开放期相交替的方式运作。本基金以6个月为一个封闭期，每个封闭期为自基金合同生效日（包括基金合同生效日）或每个开放期结束之日次</w:t>
      </w:r>
      <w:r>
        <w:rPr>
          <w:rFonts w:ascii="宋体" w:hAnsi="宋体" w:cs="宋体"/>
          <w:kern w:val="0"/>
          <w:sz w:val="24"/>
          <w:szCs w:val="24"/>
        </w:rPr>
        <w:lastRenderedPageBreak/>
        <w:t>日起（包括该日）至6个月后的月度对应日（如无对应日则顺延至下一日）的前一日止。在封闭期内，本基金不办理申购与赎回业务（红利再投资除外），也不上市交易，因此，在封闭期内，基金份额持有人将面临因不能赎回或卖出基金份额而出现的流动性约束。本基金自每个封闭期结束之后第一个工作日起进入开放期，期间可以办理申购与赎回业务，本基金每个开放期不少于5个工作日并且最长不超过20个工作日。</w:t>
      </w:r>
    </w:p>
    <w:p w:rsidR="00FB1E01" w:rsidRDefault="00B83A8A">
      <w:pPr>
        <w:pStyle w:val="div"/>
        <w:spacing w:line="360" w:lineRule="auto"/>
        <w:ind w:firstLine="480"/>
        <w:rPr>
          <w:rFonts w:eastAsia="Times New Roman"/>
          <w:kern w:val="0"/>
          <w:sz w:val="24"/>
          <w:szCs w:val="24"/>
        </w:rPr>
      </w:pPr>
      <w:r>
        <w:rPr>
          <w:rFonts w:ascii="宋体" w:hAnsi="宋体" w:cs="宋体"/>
          <w:kern w:val="0"/>
          <w:sz w:val="24"/>
          <w:szCs w:val="24"/>
        </w:rPr>
        <w:t>本基金第</w:t>
      </w:r>
      <w:r>
        <w:rPr>
          <w:rStyle w:val="custom"/>
          <w:rFonts w:ascii="宋体" w:hAnsi="宋体" w:cs="宋体"/>
          <w:kern w:val="0"/>
          <w:sz w:val="24"/>
          <w:szCs w:val="24"/>
        </w:rPr>
        <w:t>12</w:t>
      </w:r>
      <w:r>
        <w:rPr>
          <w:rFonts w:ascii="宋体" w:hAnsi="宋体" w:cs="宋体"/>
          <w:kern w:val="0"/>
          <w:sz w:val="24"/>
          <w:szCs w:val="24"/>
        </w:rPr>
        <w:t>个封闭期为</w:t>
      </w:r>
      <w:r>
        <w:rPr>
          <w:rStyle w:val="custom"/>
          <w:rFonts w:ascii="宋体" w:hAnsi="宋体" w:cs="宋体"/>
          <w:kern w:val="0"/>
          <w:sz w:val="24"/>
          <w:szCs w:val="24"/>
        </w:rPr>
        <w:t>2023年9月1日</w:t>
      </w:r>
      <w:r>
        <w:rPr>
          <w:rFonts w:ascii="宋体" w:hAnsi="宋体" w:cs="宋体"/>
          <w:kern w:val="0"/>
          <w:sz w:val="24"/>
          <w:szCs w:val="24"/>
        </w:rPr>
        <w:t>至</w:t>
      </w:r>
      <w:r>
        <w:rPr>
          <w:rStyle w:val="custom"/>
          <w:rFonts w:ascii="宋体" w:hAnsi="宋体" w:cs="宋体"/>
          <w:kern w:val="0"/>
          <w:sz w:val="24"/>
          <w:szCs w:val="24"/>
        </w:rPr>
        <w:t>2024年2月29日</w:t>
      </w:r>
      <w:r>
        <w:rPr>
          <w:rFonts w:ascii="宋体" w:hAnsi="宋体" w:cs="宋体"/>
          <w:kern w:val="0"/>
          <w:sz w:val="24"/>
          <w:szCs w:val="24"/>
        </w:rPr>
        <w:t>止。本基金第</w:t>
      </w:r>
      <w:r>
        <w:rPr>
          <w:rStyle w:val="custom"/>
          <w:rFonts w:ascii="宋体" w:hAnsi="宋体" w:cs="宋体"/>
          <w:kern w:val="0"/>
          <w:sz w:val="24"/>
          <w:szCs w:val="24"/>
        </w:rPr>
        <w:t>12</w:t>
      </w:r>
      <w:r>
        <w:rPr>
          <w:rFonts w:ascii="宋体" w:hAnsi="宋体" w:cs="宋体"/>
          <w:kern w:val="0"/>
          <w:sz w:val="24"/>
          <w:szCs w:val="24"/>
        </w:rPr>
        <w:t>次办理申购、赎回业务的开放期为</w:t>
      </w:r>
      <w:r>
        <w:rPr>
          <w:rStyle w:val="custom"/>
          <w:rFonts w:ascii="宋体" w:hAnsi="宋体" w:cs="宋体"/>
          <w:kern w:val="0"/>
          <w:sz w:val="24"/>
          <w:szCs w:val="24"/>
        </w:rPr>
        <w:t>2024年3月1日</w:t>
      </w:r>
      <w:r>
        <w:rPr>
          <w:rFonts w:ascii="宋体" w:hAnsi="宋体" w:cs="宋体"/>
          <w:kern w:val="0"/>
          <w:sz w:val="24"/>
          <w:szCs w:val="24"/>
        </w:rPr>
        <w:t>至</w:t>
      </w:r>
      <w:r>
        <w:rPr>
          <w:rStyle w:val="custom"/>
          <w:rFonts w:ascii="宋体" w:hAnsi="宋体" w:cs="宋体"/>
          <w:kern w:val="0"/>
          <w:sz w:val="24"/>
          <w:szCs w:val="24"/>
        </w:rPr>
        <w:t>2024年3月28日</w:t>
      </w:r>
      <w:r>
        <w:rPr>
          <w:rFonts w:ascii="宋体" w:hAnsi="宋体" w:cs="宋体"/>
          <w:kern w:val="0"/>
          <w:sz w:val="24"/>
          <w:szCs w:val="24"/>
        </w:rPr>
        <w:t>的</w:t>
      </w:r>
      <w:r>
        <w:rPr>
          <w:rStyle w:val="custom"/>
          <w:rFonts w:ascii="宋体" w:hAnsi="宋体" w:cs="宋体"/>
          <w:kern w:val="0"/>
          <w:sz w:val="24"/>
          <w:szCs w:val="24"/>
        </w:rPr>
        <w:t>20</w:t>
      </w:r>
      <w:r>
        <w:rPr>
          <w:rFonts w:ascii="宋体" w:hAnsi="宋体" w:cs="宋体"/>
          <w:kern w:val="0"/>
          <w:sz w:val="24"/>
          <w:szCs w:val="24"/>
        </w:rPr>
        <w:t>个工作日。自</w:t>
      </w:r>
      <w:r>
        <w:rPr>
          <w:rStyle w:val="custom"/>
          <w:rFonts w:ascii="宋体" w:hAnsi="宋体" w:cs="宋体"/>
          <w:kern w:val="0"/>
          <w:sz w:val="24"/>
          <w:szCs w:val="24"/>
        </w:rPr>
        <w:t>2024年3月29日</w:t>
      </w:r>
      <w:r>
        <w:rPr>
          <w:rFonts w:ascii="宋体" w:hAnsi="宋体" w:cs="宋体"/>
          <w:kern w:val="0"/>
          <w:sz w:val="24"/>
          <w:szCs w:val="24"/>
        </w:rPr>
        <w:t>起至</w:t>
      </w:r>
      <w:r>
        <w:rPr>
          <w:rStyle w:val="custom"/>
          <w:rFonts w:ascii="宋体" w:hAnsi="宋体" w:cs="宋体"/>
          <w:kern w:val="0"/>
          <w:sz w:val="24"/>
          <w:szCs w:val="24"/>
        </w:rPr>
        <w:t>2024年9月29日</w:t>
      </w:r>
      <w:r>
        <w:rPr>
          <w:rFonts w:ascii="宋体" w:hAnsi="宋体" w:cs="宋体"/>
          <w:kern w:val="0"/>
          <w:sz w:val="24"/>
          <w:szCs w:val="24"/>
        </w:rPr>
        <w:t>止，为本基金的第</w:t>
      </w:r>
      <w:r>
        <w:rPr>
          <w:rStyle w:val="custom"/>
          <w:rFonts w:ascii="宋体" w:hAnsi="宋体" w:cs="宋体"/>
          <w:kern w:val="0"/>
          <w:sz w:val="24"/>
          <w:szCs w:val="24"/>
        </w:rPr>
        <w:t>13</w:t>
      </w:r>
      <w:r>
        <w:rPr>
          <w:rFonts w:ascii="宋体" w:hAnsi="宋体" w:cs="宋体"/>
          <w:kern w:val="0"/>
          <w:sz w:val="24"/>
          <w:szCs w:val="24"/>
        </w:rPr>
        <w:t>个封闭期，在封闭期内不办理申购、赎回业务，也不上市交易。</w:t>
      </w:r>
    </w:p>
    <w:p w:rsidR="00FB1E01" w:rsidRDefault="00B83A8A">
      <w:pPr>
        <w:pStyle w:val="div"/>
        <w:spacing w:line="360" w:lineRule="auto"/>
        <w:ind w:firstLine="480"/>
        <w:rPr>
          <w:rFonts w:eastAsia="Times New Roman"/>
          <w:kern w:val="0"/>
          <w:sz w:val="24"/>
          <w:szCs w:val="24"/>
        </w:rPr>
      </w:pPr>
      <w:r>
        <w:rPr>
          <w:rFonts w:ascii="宋体" w:hAnsi="宋体" w:cs="宋体"/>
          <w:kern w:val="0"/>
          <w:sz w:val="24"/>
          <w:szCs w:val="24"/>
        </w:rPr>
        <w:t>办理本基金的申购、赎回业务的开放日为开放期内的每个工作日，具体办理时间为上海证券交易所、深圳证券交易所的正常交易日的交易时间，但基金管理人根据法律法规、中国证监会的要求或基金合同的规定公告暂停申购、赎回时除外。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FB1E01" w:rsidRDefault="00B83A8A">
      <w:pPr>
        <w:pStyle w:val="div"/>
        <w:spacing w:line="360" w:lineRule="auto"/>
        <w:ind w:firstLine="480"/>
        <w:jc w:val="left"/>
        <w:rPr>
          <w:rFonts w:eastAsia="Times New Roman"/>
          <w:kern w:val="0"/>
          <w:sz w:val="24"/>
          <w:szCs w:val="24"/>
        </w:rPr>
      </w:pPr>
      <w:r>
        <w:rPr>
          <w:rFonts w:ascii="宋体" w:hAnsi="宋体" w:cs="宋体"/>
          <w:kern w:val="0"/>
          <w:sz w:val="24"/>
          <w:szCs w:val="24"/>
        </w:rPr>
        <w:t>由于各销售机构系统及业务安排等原因，具体业务办理时间可能有所不同，请详见各销售机构的具体规定。</w:t>
      </w:r>
    </w:p>
    <w:p w:rsidR="00FB1E01" w:rsidRDefault="00FB1E01">
      <w:pPr>
        <w:autoSpaceDE w:val="0"/>
        <w:autoSpaceDN w:val="0"/>
        <w:adjustRightInd w:val="0"/>
        <w:spacing w:line="360" w:lineRule="auto"/>
        <w:ind w:firstLineChars="200" w:firstLine="480"/>
        <w:jc w:val="center"/>
        <w:rPr>
          <w:rFonts w:ascii="宋体" w:hAnsi="宋体"/>
          <w:sz w:val="24"/>
          <w:szCs w:val="24"/>
        </w:rPr>
      </w:pPr>
    </w:p>
    <w:p w:rsidR="00FB1E01" w:rsidRDefault="00B83A8A">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3</w:t>
      </w:r>
      <w:r>
        <w:rPr>
          <w:rFonts w:ascii="宋体" w:hAnsi="宋体" w:cs="宋体"/>
          <w:b/>
          <w:bCs/>
          <w:kern w:val="0"/>
          <w:sz w:val="24"/>
          <w:szCs w:val="24"/>
        </w:rPr>
        <w:t>申购业务</w:t>
      </w:r>
    </w:p>
    <w:p w:rsidR="00FB1E01" w:rsidRDefault="00B83A8A">
      <w:pPr>
        <w:pStyle w:val="div"/>
        <w:spacing w:line="360" w:lineRule="auto"/>
        <w:ind w:firstLine="480"/>
        <w:rPr>
          <w:rFonts w:ascii="宋体" w:hAnsi="宋体" w:cs="宋体"/>
          <w:kern w:val="0"/>
          <w:sz w:val="24"/>
          <w:szCs w:val="24"/>
        </w:rPr>
      </w:pPr>
      <w:r>
        <w:rPr>
          <w:rStyle w:val="custom"/>
          <w:rFonts w:ascii="宋体" w:hAnsi="宋体" w:cs="宋体"/>
          <w:b/>
          <w:bCs/>
          <w:kern w:val="0"/>
          <w:sz w:val="24"/>
          <w:szCs w:val="24"/>
        </w:rPr>
        <w:t>3</w:t>
      </w:r>
      <w:r>
        <w:rPr>
          <w:rFonts w:ascii="宋体" w:hAnsi="宋体" w:cs="宋体"/>
          <w:b/>
          <w:bCs/>
          <w:kern w:val="0"/>
          <w:sz w:val="24"/>
          <w:szCs w:val="24"/>
        </w:rPr>
        <w:t>.1 申购金额限制</w:t>
      </w:r>
    </w:p>
    <w:p w:rsidR="00FB1E01" w:rsidRDefault="00B83A8A">
      <w:pPr>
        <w:pStyle w:val="div"/>
        <w:spacing w:line="360" w:lineRule="auto"/>
        <w:ind w:firstLine="480"/>
        <w:rPr>
          <w:rFonts w:ascii="宋体" w:hAnsi="宋体" w:cs="宋体"/>
          <w:kern w:val="0"/>
          <w:sz w:val="24"/>
          <w:szCs w:val="24"/>
        </w:rPr>
      </w:pPr>
      <w:r>
        <w:rPr>
          <w:rFonts w:ascii="宋体" w:hAnsi="宋体" w:cs="宋体"/>
          <w:kern w:val="0"/>
          <w:sz w:val="24"/>
          <w:szCs w:val="24"/>
        </w:rPr>
        <w:t>（1）投资人在销售机构网点首次申购基金份额的单笔最低限额为人民币</w:t>
      </w:r>
      <w:r>
        <w:rPr>
          <w:rStyle w:val="custom"/>
          <w:rFonts w:ascii="宋体" w:hAnsi="宋体" w:cs="宋体"/>
          <w:kern w:val="0"/>
          <w:sz w:val="24"/>
          <w:szCs w:val="24"/>
        </w:rPr>
        <w:t>10</w:t>
      </w:r>
      <w:r>
        <w:rPr>
          <w:rFonts w:ascii="宋体" w:hAnsi="宋体" w:cs="宋体"/>
          <w:kern w:val="0"/>
          <w:sz w:val="24"/>
          <w:szCs w:val="24"/>
        </w:rPr>
        <w:t>元（含申购费），追加申购单笔最低限额为人民币</w:t>
      </w:r>
      <w:r>
        <w:rPr>
          <w:rStyle w:val="custom"/>
          <w:rFonts w:ascii="宋体" w:hAnsi="宋体" w:cs="宋体"/>
          <w:kern w:val="0"/>
          <w:sz w:val="24"/>
          <w:szCs w:val="24"/>
        </w:rPr>
        <w:t>10</w:t>
      </w:r>
      <w:r>
        <w:rPr>
          <w:rFonts w:ascii="宋体" w:hAnsi="宋体" w:cs="宋体"/>
          <w:kern w:val="0"/>
          <w:sz w:val="24"/>
          <w:szCs w:val="24"/>
        </w:rPr>
        <w:t>元（含申购费）。在不低于上述规定的金额下限的前提下，如基金销售机构有不同规定，投资者需同时遵循该销售机构的相关规定。</w:t>
      </w:r>
    </w:p>
    <w:p w:rsidR="00FB1E01" w:rsidRDefault="00B83A8A">
      <w:pPr>
        <w:pStyle w:val="div"/>
        <w:spacing w:line="360" w:lineRule="auto"/>
        <w:ind w:firstLine="480"/>
        <w:rPr>
          <w:rFonts w:ascii="宋体" w:hAnsi="宋体" w:cs="宋体"/>
          <w:kern w:val="0"/>
          <w:sz w:val="24"/>
          <w:szCs w:val="24"/>
        </w:rPr>
      </w:pPr>
      <w:r>
        <w:rPr>
          <w:rFonts w:ascii="宋体" w:hAnsi="宋体" w:cs="宋体"/>
          <w:kern w:val="0"/>
          <w:sz w:val="24"/>
          <w:szCs w:val="24"/>
        </w:rPr>
        <w:t>（2）基金管理人可在法律法规允许的情况下，调整上述规定申购金额数量限制。基金管理人必须在调整实施前依照《信息披露办法》的有关规定在指定媒介上公告。</w:t>
      </w:r>
    </w:p>
    <w:p w:rsidR="00FB1E01" w:rsidRDefault="00B83A8A">
      <w:pPr>
        <w:pStyle w:val="div"/>
        <w:spacing w:line="360" w:lineRule="auto"/>
        <w:ind w:firstLine="480"/>
        <w:rPr>
          <w:rFonts w:ascii="宋体" w:hAnsi="宋体" w:cs="宋体"/>
          <w:kern w:val="0"/>
          <w:sz w:val="24"/>
          <w:szCs w:val="24"/>
        </w:rPr>
      </w:pPr>
      <w:r>
        <w:rPr>
          <w:rStyle w:val="custom"/>
          <w:rFonts w:ascii="宋体" w:hAnsi="宋体" w:cs="宋体"/>
          <w:b/>
          <w:bCs/>
          <w:kern w:val="0"/>
          <w:sz w:val="24"/>
          <w:szCs w:val="24"/>
        </w:rPr>
        <w:t>3</w:t>
      </w:r>
      <w:r>
        <w:rPr>
          <w:rFonts w:ascii="宋体" w:hAnsi="宋体" w:cs="宋体"/>
          <w:b/>
          <w:bCs/>
          <w:kern w:val="0"/>
          <w:sz w:val="24"/>
          <w:szCs w:val="24"/>
        </w:rPr>
        <w:t>.2 申购费率</w:t>
      </w:r>
    </w:p>
    <w:p w:rsidR="00FB1E01" w:rsidRDefault="00B83A8A">
      <w:pPr>
        <w:pStyle w:val="div"/>
        <w:spacing w:line="288" w:lineRule="auto"/>
        <w:ind w:firstLine="480"/>
        <w:rPr>
          <w:rFonts w:ascii="宋体" w:hAnsi="宋体" w:cs="宋体"/>
          <w:kern w:val="0"/>
          <w:sz w:val="24"/>
          <w:szCs w:val="24"/>
        </w:rPr>
      </w:pPr>
      <w:r>
        <w:rPr>
          <w:rFonts w:ascii="宋体" w:hAnsi="宋体" w:cs="宋体"/>
          <w:kern w:val="0"/>
          <w:sz w:val="24"/>
          <w:szCs w:val="24"/>
        </w:rPr>
        <w:t>本基金基金份额申购费率如下：</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4259"/>
        <w:gridCol w:w="4259"/>
      </w:tblGrid>
      <w:tr w:rsidR="00FB1E01">
        <w:trPr>
          <w:jc w:val="center"/>
        </w:trPr>
        <w:tc>
          <w:tcPr>
            <w:tcW w:w="2791" w:type="dxa"/>
            <w:tcBorders>
              <w:top w:val="single" w:sz="8" w:space="0" w:color="000000"/>
              <w:left w:val="single" w:sz="8" w:space="0" w:color="000000"/>
              <w:bottom w:val="single" w:sz="6" w:space="0" w:color="000000"/>
              <w:right w:val="single" w:sz="6" w:space="0" w:color="000000"/>
            </w:tcBorders>
            <w:tcMar>
              <w:top w:w="106" w:type="dxa"/>
              <w:left w:w="106" w:type="dxa"/>
              <w:bottom w:w="104" w:type="dxa"/>
              <w:right w:w="104" w:type="dxa"/>
            </w:tcMar>
            <w:vAlign w:val="center"/>
            <w:hideMark/>
          </w:tcPr>
          <w:p w:rsidR="00FB1E01" w:rsidRDefault="00B83A8A">
            <w:pPr>
              <w:pStyle w:val="div"/>
              <w:spacing w:line="288" w:lineRule="auto"/>
              <w:jc w:val="center"/>
              <w:rPr>
                <w:rFonts w:ascii="宋体" w:hAnsi="宋体" w:cs="宋体"/>
                <w:color w:val="000000"/>
                <w:kern w:val="0"/>
                <w:szCs w:val="21"/>
              </w:rPr>
            </w:pPr>
            <w:r>
              <w:rPr>
                <w:rFonts w:ascii="宋体" w:hAnsi="宋体" w:cs="宋体"/>
                <w:b/>
                <w:bCs/>
                <w:color w:val="000000"/>
                <w:kern w:val="0"/>
                <w:szCs w:val="21"/>
              </w:rPr>
              <w:lastRenderedPageBreak/>
              <w:t>申购金额（M）</w:t>
            </w:r>
          </w:p>
        </w:tc>
        <w:tc>
          <w:tcPr>
            <w:tcW w:w="1790" w:type="dxa"/>
            <w:tcBorders>
              <w:top w:val="single" w:sz="8" w:space="0" w:color="000000"/>
              <w:left w:val="single" w:sz="6" w:space="0" w:color="000000"/>
              <w:bottom w:val="single" w:sz="6" w:space="0" w:color="000000"/>
              <w:right w:val="single" w:sz="8" w:space="0" w:color="000000"/>
            </w:tcBorders>
            <w:tcMar>
              <w:top w:w="106" w:type="dxa"/>
              <w:left w:w="104" w:type="dxa"/>
              <w:bottom w:w="104" w:type="dxa"/>
              <w:right w:w="106" w:type="dxa"/>
            </w:tcMar>
            <w:vAlign w:val="center"/>
            <w:hideMark/>
          </w:tcPr>
          <w:p w:rsidR="00FB1E01" w:rsidRDefault="00B83A8A">
            <w:pPr>
              <w:pStyle w:val="div"/>
              <w:spacing w:line="288" w:lineRule="auto"/>
              <w:jc w:val="center"/>
              <w:rPr>
                <w:rFonts w:ascii="宋体" w:hAnsi="宋体" w:cs="宋体"/>
                <w:color w:val="000000"/>
                <w:kern w:val="0"/>
                <w:szCs w:val="21"/>
              </w:rPr>
            </w:pPr>
            <w:r>
              <w:rPr>
                <w:rFonts w:ascii="宋体" w:hAnsi="宋体" w:cs="宋体"/>
                <w:b/>
                <w:bCs/>
                <w:color w:val="000000"/>
                <w:kern w:val="0"/>
                <w:szCs w:val="21"/>
              </w:rPr>
              <w:t>申购费率</w:t>
            </w:r>
          </w:p>
        </w:tc>
      </w:tr>
      <w:tr w:rsidR="00FB1E01">
        <w:trPr>
          <w:jc w:val="center"/>
        </w:trPr>
        <w:tc>
          <w:tcPr>
            <w:tcW w:w="2791" w:type="dxa"/>
            <w:tcBorders>
              <w:top w:val="single" w:sz="6" w:space="0" w:color="000000"/>
              <w:left w:val="single" w:sz="8" w:space="0" w:color="000000"/>
              <w:bottom w:val="single" w:sz="6" w:space="0" w:color="000000"/>
              <w:right w:val="single" w:sz="6" w:space="0" w:color="000000"/>
            </w:tcBorders>
            <w:tcMar>
              <w:top w:w="104" w:type="dxa"/>
              <w:left w:w="106" w:type="dxa"/>
              <w:bottom w:w="104" w:type="dxa"/>
              <w:right w:w="104" w:type="dxa"/>
            </w:tcMar>
            <w:vAlign w:val="center"/>
            <w:hideMark/>
          </w:tcPr>
          <w:p w:rsidR="00FB1E01" w:rsidRDefault="00B83A8A">
            <w:pPr>
              <w:pStyle w:val="div"/>
              <w:spacing w:line="288" w:lineRule="auto"/>
              <w:jc w:val="center"/>
              <w:rPr>
                <w:rFonts w:ascii="宋体" w:hAnsi="宋体" w:cs="宋体"/>
                <w:color w:val="000000"/>
                <w:kern w:val="0"/>
                <w:szCs w:val="21"/>
              </w:rPr>
            </w:pPr>
            <w:r>
              <w:rPr>
                <w:rFonts w:ascii="宋体" w:hAnsi="宋体" w:cs="宋体"/>
                <w:color w:val="000000"/>
                <w:kern w:val="0"/>
                <w:szCs w:val="21"/>
              </w:rPr>
              <w:t>M ＜ 100万</w:t>
            </w:r>
          </w:p>
        </w:tc>
        <w:tc>
          <w:tcPr>
            <w:tcW w:w="2791" w:type="dxa"/>
            <w:tcBorders>
              <w:top w:val="single" w:sz="6" w:space="0" w:color="000000"/>
              <w:left w:val="single" w:sz="8" w:space="0" w:color="000000"/>
              <w:bottom w:val="single" w:sz="6" w:space="0" w:color="000000"/>
              <w:right w:val="single" w:sz="6" w:space="0" w:color="000000"/>
            </w:tcBorders>
            <w:tcMar>
              <w:top w:w="104" w:type="dxa"/>
              <w:left w:w="106" w:type="dxa"/>
              <w:bottom w:w="104" w:type="dxa"/>
              <w:right w:w="104" w:type="dxa"/>
            </w:tcMar>
            <w:vAlign w:val="center"/>
            <w:hideMark/>
          </w:tcPr>
          <w:p w:rsidR="00FB1E01" w:rsidRDefault="00B83A8A">
            <w:pPr>
              <w:pStyle w:val="div"/>
              <w:spacing w:line="288" w:lineRule="auto"/>
              <w:jc w:val="center"/>
              <w:rPr>
                <w:rFonts w:ascii="宋体" w:hAnsi="宋体" w:cs="宋体"/>
                <w:color w:val="000000"/>
                <w:kern w:val="0"/>
                <w:szCs w:val="21"/>
              </w:rPr>
            </w:pPr>
            <w:r>
              <w:rPr>
                <w:rFonts w:ascii="宋体" w:hAnsi="宋体" w:cs="宋体"/>
                <w:color w:val="000000"/>
                <w:kern w:val="0"/>
                <w:szCs w:val="21"/>
              </w:rPr>
              <w:t>0.60%</w:t>
            </w:r>
          </w:p>
        </w:tc>
      </w:tr>
      <w:tr w:rsidR="00FB1E01">
        <w:trPr>
          <w:jc w:val="center"/>
        </w:trPr>
        <w:tc>
          <w:tcPr>
            <w:tcW w:w="2791" w:type="dxa"/>
            <w:tcBorders>
              <w:top w:val="single" w:sz="6" w:space="0" w:color="000000"/>
              <w:left w:val="single" w:sz="8" w:space="0" w:color="000000"/>
              <w:bottom w:val="single" w:sz="6" w:space="0" w:color="000000"/>
              <w:right w:val="single" w:sz="6" w:space="0" w:color="000000"/>
            </w:tcBorders>
            <w:tcMar>
              <w:top w:w="104" w:type="dxa"/>
              <w:left w:w="106" w:type="dxa"/>
              <w:bottom w:w="104" w:type="dxa"/>
              <w:right w:w="104" w:type="dxa"/>
            </w:tcMar>
            <w:vAlign w:val="center"/>
            <w:hideMark/>
          </w:tcPr>
          <w:p w:rsidR="00FB1E01" w:rsidRDefault="00B83A8A">
            <w:pPr>
              <w:pStyle w:val="div"/>
              <w:spacing w:line="288" w:lineRule="auto"/>
              <w:jc w:val="center"/>
              <w:rPr>
                <w:rFonts w:ascii="宋体" w:hAnsi="宋体" w:cs="宋体"/>
                <w:color w:val="000000"/>
                <w:kern w:val="0"/>
                <w:szCs w:val="21"/>
              </w:rPr>
            </w:pPr>
            <w:r>
              <w:rPr>
                <w:rFonts w:ascii="宋体" w:hAnsi="宋体" w:cs="宋体"/>
                <w:color w:val="000000"/>
                <w:kern w:val="0"/>
                <w:szCs w:val="21"/>
              </w:rPr>
              <w:t>100万 ≤ M ＜ 500万</w:t>
            </w:r>
          </w:p>
        </w:tc>
        <w:tc>
          <w:tcPr>
            <w:tcW w:w="2791" w:type="dxa"/>
            <w:tcBorders>
              <w:top w:val="single" w:sz="6" w:space="0" w:color="000000"/>
              <w:left w:val="single" w:sz="8" w:space="0" w:color="000000"/>
              <w:bottom w:val="single" w:sz="6" w:space="0" w:color="000000"/>
              <w:right w:val="single" w:sz="6" w:space="0" w:color="000000"/>
            </w:tcBorders>
            <w:tcMar>
              <w:top w:w="104" w:type="dxa"/>
              <w:left w:w="106" w:type="dxa"/>
              <w:bottom w:w="104" w:type="dxa"/>
              <w:right w:w="104" w:type="dxa"/>
            </w:tcMar>
            <w:vAlign w:val="center"/>
            <w:hideMark/>
          </w:tcPr>
          <w:p w:rsidR="00FB1E01" w:rsidRDefault="00B83A8A">
            <w:pPr>
              <w:pStyle w:val="div"/>
              <w:spacing w:line="288" w:lineRule="auto"/>
              <w:jc w:val="center"/>
              <w:rPr>
                <w:rFonts w:ascii="宋体" w:hAnsi="宋体" w:cs="宋体"/>
                <w:color w:val="000000"/>
                <w:kern w:val="0"/>
                <w:szCs w:val="21"/>
              </w:rPr>
            </w:pPr>
            <w:r>
              <w:rPr>
                <w:rFonts w:ascii="宋体" w:hAnsi="宋体" w:cs="宋体"/>
                <w:color w:val="000000"/>
                <w:kern w:val="0"/>
                <w:szCs w:val="21"/>
              </w:rPr>
              <w:t>0.30%</w:t>
            </w:r>
          </w:p>
        </w:tc>
      </w:tr>
      <w:tr w:rsidR="00FB1E01">
        <w:trPr>
          <w:jc w:val="center"/>
        </w:trPr>
        <w:tc>
          <w:tcPr>
            <w:tcW w:w="2791" w:type="dxa"/>
            <w:tcBorders>
              <w:top w:val="single" w:sz="6" w:space="0" w:color="000000"/>
              <w:left w:val="single" w:sz="8" w:space="0" w:color="000000"/>
              <w:bottom w:val="single" w:sz="6" w:space="0" w:color="000000"/>
              <w:right w:val="single" w:sz="6" w:space="0" w:color="000000"/>
            </w:tcBorders>
            <w:tcMar>
              <w:top w:w="104" w:type="dxa"/>
              <w:left w:w="106" w:type="dxa"/>
              <w:bottom w:w="104" w:type="dxa"/>
              <w:right w:w="104" w:type="dxa"/>
            </w:tcMar>
            <w:vAlign w:val="center"/>
            <w:hideMark/>
          </w:tcPr>
          <w:p w:rsidR="00FB1E01" w:rsidRDefault="00B83A8A">
            <w:pPr>
              <w:pStyle w:val="div"/>
              <w:spacing w:line="288" w:lineRule="auto"/>
              <w:jc w:val="center"/>
              <w:rPr>
                <w:rFonts w:ascii="宋体" w:hAnsi="宋体" w:cs="宋体"/>
                <w:color w:val="000000"/>
                <w:kern w:val="0"/>
                <w:szCs w:val="21"/>
              </w:rPr>
            </w:pPr>
            <w:r>
              <w:rPr>
                <w:rFonts w:ascii="宋体" w:hAnsi="宋体" w:cs="宋体"/>
                <w:color w:val="000000"/>
                <w:kern w:val="0"/>
                <w:szCs w:val="21"/>
              </w:rPr>
              <w:t>500万 ≤ M</w:t>
            </w:r>
          </w:p>
        </w:tc>
        <w:tc>
          <w:tcPr>
            <w:tcW w:w="2791" w:type="dxa"/>
            <w:tcBorders>
              <w:top w:val="single" w:sz="6" w:space="0" w:color="000000"/>
              <w:left w:val="single" w:sz="8" w:space="0" w:color="000000"/>
              <w:bottom w:val="single" w:sz="6" w:space="0" w:color="000000"/>
              <w:right w:val="single" w:sz="6" w:space="0" w:color="000000"/>
            </w:tcBorders>
            <w:tcMar>
              <w:top w:w="104" w:type="dxa"/>
              <w:left w:w="106" w:type="dxa"/>
              <w:bottom w:w="104" w:type="dxa"/>
              <w:right w:w="104" w:type="dxa"/>
            </w:tcMar>
            <w:vAlign w:val="center"/>
            <w:hideMark/>
          </w:tcPr>
          <w:p w:rsidR="00FB1E01" w:rsidRDefault="00B83A8A">
            <w:pPr>
              <w:pStyle w:val="div"/>
              <w:spacing w:line="288" w:lineRule="auto"/>
              <w:jc w:val="center"/>
              <w:rPr>
                <w:rFonts w:ascii="宋体" w:hAnsi="宋体" w:cs="宋体"/>
                <w:color w:val="000000"/>
                <w:kern w:val="0"/>
                <w:szCs w:val="21"/>
              </w:rPr>
            </w:pPr>
            <w:r>
              <w:rPr>
                <w:rFonts w:ascii="宋体" w:hAnsi="宋体" w:cs="宋体"/>
                <w:color w:val="000000"/>
                <w:kern w:val="0"/>
                <w:szCs w:val="21"/>
              </w:rPr>
              <w:t>0</w:t>
            </w:r>
          </w:p>
        </w:tc>
      </w:tr>
    </w:tbl>
    <w:p w:rsidR="00FB1E01" w:rsidRDefault="00B83A8A">
      <w:pPr>
        <w:pStyle w:val="div"/>
        <w:spacing w:line="360" w:lineRule="auto"/>
        <w:ind w:firstLine="480"/>
        <w:rPr>
          <w:rFonts w:ascii="宋体" w:hAnsi="宋体" w:cs="宋体"/>
          <w:kern w:val="0"/>
          <w:sz w:val="24"/>
          <w:szCs w:val="24"/>
        </w:rPr>
      </w:pPr>
      <w:r>
        <w:rPr>
          <w:rStyle w:val="custom"/>
          <w:rFonts w:ascii="宋体" w:hAnsi="宋体" w:cs="宋体"/>
          <w:b/>
          <w:bCs/>
          <w:kern w:val="0"/>
          <w:sz w:val="24"/>
          <w:szCs w:val="24"/>
        </w:rPr>
        <w:t>3</w:t>
      </w:r>
      <w:r>
        <w:rPr>
          <w:rFonts w:ascii="宋体" w:hAnsi="宋体" w:cs="宋体"/>
          <w:b/>
          <w:bCs/>
          <w:kern w:val="0"/>
          <w:sz w:val="24"/>
          <w:szCs w:val="24"/>
        </w:rPr>
        <w:t>.3 其他与申购相关的事项</w:t>
      </w:r>
    </w:p>
    <w:p w:rsidR="00FB1E01" w:rsidRDefault="00B83A8A">
      <w:pPr>
        <w:pStyle w:val="div"/>
        <w:spacing w:line="360" w:lineRule="auto"/>
        <w:ind w:firstLine="480"/>
        <w:rPr>
          <w:rFonts w:ascii="宋体" w:hAnsi="宋体" w:cs="宋体"/>
          <w:kern w:val="0"/>
          <w:sz w:val="24"/>
          <w:szCs w:val="24"/>
        </w:rPr>
      </w:pPr>
      <w:r>
        <w:rPr>
          <w:rFonts w:ascii="宋体" w:hAnsi="宋体" w:cs="宋体"/>
          <w:kern w:val="0"/>
          <w:sz w:val="24"/>
          <w:szCs w:val="24"/>
        </w:rPr>
        <w:t>（1）申购采用全额缴款方式，若申购资金在规定时间内未全额到账则申购不成功，若申购不成功或无效，申购款项将退回投资者账户。</w:t>
      </w:r>
    </w:p>
    <w:p w:rsidR="00FB1E01" w:rsidRDefault="00B83A8A">
      <w:pPr>
        <w:pStyle w:val="div"/>
        <w:spacing w:line="360" w:lineRule="auto"/>
        <w:ind w:firstLine="480"/>
        <w:rPr>
          <w:rFonts w:ascii="宋体" w:hAnsi="宋体" w:cs="宋体"/>
          <w:kern w:val="0"/>
          <w:sz w:val="24"/>
          <w:szCs w:val="24"/>
        </w:rPr>
      </w:pPr>
      <w:r>
        <w:rPr>
          <w:rFonts w:ascii="宋体" w:hAnsi="宋体" w:cs="宋体"/>
          <w:kern w:val="0"/>
          <w:sz w:val="24"/>
          <w:szCs w:val="24"/>
        </w:rPr>
        <w:t>（2）基金管理人可以在基金合同约定的范围内调整费率或收费方式，并最迟应于新的费率或收费方式实施日前依照《信息披露办法》的有关规定在指定媒介上公告。</w:t>
      </w:r>
    </w:p>
    <w:p w:rsidR="00FB1E01" w:rsidRDefault="00B83A8A">
      <w:pPr>
        <w:pStyle w:val="div"/>
        <w:spacing w:line="360" w:lineRule="auto"/>
        <w:ind w:firstLine="480"/>
        <w:rPr>
          <w:rFonts w:ascii="宋体" w:hAnsi="宋体" w:cs="宋体"/>
          <w:kern w:val="0"/>
          <w:sz w:val="24"/>
          <w:szCs w:val="24"/>
        </w:rPr>
      </w:pPr>
      <w:r>
        <w:rPr>
          <w:rFonts w:ascii="宋体" w:hAnsi="宋体" w:cs="宋体"/>
          <w:kern w:val="0"/>
          <w:sz w:val="24"/>
          <w:szCs w:val="24"/>
        </w:rPr>
        <w:t>（3）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w:t>
      </w:r>
    </w:p>
    <w:p w:rsidR="00FB1E01" w:rsidRDefault="00B83A8A">
      <w:pPr>
        <w:pStyle w:val="div"/>
        <w:spacing w:line="360" w:lineRule="auto"/>
        <w:ind w:firstLine="480"/>
        <w:rPr>
          <w:rFonts w:ascii="宋体" w:hAnsi="宋体" w:cs="宋体"/>
          <w:kern w:val="0"/>
          <w:sz w:val="24"/>
          <w:szCs w:val="24"/>
        </w:rPr>
      </w:pPr>
      <w:r>
        <w:rPr>
          <w:rFonts w:ascii="宋体" w:hAnsi="宋体" w:cs="宋体"/>
          <w:kern w:val="0"/>
          <w:sz w:val="24"/>
          <w:szCs w:val="24"/>
        </w:rPr>
        <w:t>（4）基金管理人应以交易时间结束前受理有效申购申请的当天作为申购申请日（T日），在正常情况下，本基金登记机构在T+</w:t>
      </w:r>
      <w:r>
        <w:rPr>
          <w:rStyle w:val="custom"/>
          <w:rFonts w:ascii="宋体" w:hAnsi="宋体" w:cs="宋体"/>
          <w:kern w:val="0"/>
          <w:sz w:val="24"/>
          <w:szCs w:val="24"/>
        </w:rPr>
        <w:t>1</w:t>
      </w:r>
      <w:r>
        <w:rPr>
          <w:rFonts w:ascii="宋体" w:hAnsi="宋体" w:cs="宋体"/>
          <w:kern w:val="0"/>
          <w:sz w:val="24"/>
          <w:szCs w:val="24"/>
        </w:rPr>
        <w:t>日内对该交易的有效性进行确认。T日提交的有效申请，投资人可在T+</w:t>
      </w:r>
      <w:r>
        <w:rPr>
          <w:rStyle w:val="custom"/>
          <w:rFonts w:ascii="宋体" w:hAnsi="宋体" w:cs="宋体"/>
          <w:kern w:val="0"/>
          <w:sz w:val="24"/>
          <w:szCs w:val="24"/>
        </w:rPr>
        <w:t>2</w:t>
      </w:r>
      <w:r>
        <w:rPr>
          <w:rFonts w:ascii="宋体" w:hAnsi="宋体" w:cs="宋体"/>
          <w:kern w:val="0"/>
          <w:sz w:val="24"/>
          <w:szCs w:val="24"/>
        </w:rPr>
        <w:t>日后（包括该日）到销售网点柜台或以销售机构规定的其他方式查询申请的确认情况。若申购不成功，则申购款项本金退还给投资人。</w:t>
      </w:r>
    </w:p>
    <w:p w:rsidR="00FB1E01" w:rsidRDefault="00B83A8A">
      <w:pPr>
        <w:pStyle w:val="div"/>
        <w:spacing w:line="360" w:lineRule="auto"/>
        <w:ind w:firstLine="480"/>
        <w:rPr>
          <w:rFonts w:ascii="宋体" w:hAnsi="宋体" w:cs="宋体"/>
          <w:kern w:val="0"/>
          <w:sz w:val="24"/>
          <w:szCs w:val="24"/>
        </w:rPr>
      </w:pPr>
      <w:r>
        <w:rPr>
          <w:rFonts w:ascii="宋体" w:hAnsi="宋体" w:cs="宋体"/>
          <w:kern w:val="0"/>
          <w:sz w:val="24"/>
          <w:szCs w:val="24"/>
        </w:rPr>
        <w:t>销售机构对申购申请的受理并不代表该申请一定成功，而仅代表销售机构确实接收到申购申请。申购的确认以登记机构的确认结果为准。对于申购申请及申购份额的确认情况，投资人应及时查询并妥善行使合法权利。</w:t>
      </w:r>
    </w:p>
    <w:p w:rsidR="00FB1E01" w:rsidRDefault="00FB1E01">
      <w:pPr>
        <w:autoSpaceDE w:val="0"/>
        <w:autoSpaceDN w:val="0"/>
        <w:adjustRightInd w:val="0"/>
        <w:spacing w:line="360" w:lineRule="auto"/>
        <w:ind w:firstLineChars="200" w:firstLine="480"/>
        <w:jc w:val="center"/>
        <w:rPr>
          <w:rFonts w:ascii="宋体" w:hAnsi="宋体"/>
          <w:sz w:val="24"/>
          <w:szCs w:val="24"/>
        </w:rPr>
      </w:pPr>
    </w:p>
    <w:p w:rsidR="00FB1E01" w:rsidRDefault="00B83A8A">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4</w:t>
      </w:r>
      <w:r>
        <w:rPr>
          <w:rFonts w:ascii="宋体" w:hAnsi="宋体" w:cs="宋体"/>
          <w:b/>
          <w:bCs/>
          <w:kern w:val="0"/>
          <w:sz w:val="24"/>
          <w:szCs w:val="24"/>
        </w:rPr>
        <w:t>赎回业务</w:t>
      </w:r>
    </w:p>
    <w:p w:rsidR="00FB1E01" w:rsidRDefault="00B83A8A">
      <w:pPr>
        <w:pStyle w:val="div"/>
        <w:spacing w:line="360" w:lineRule="auto"/>
        <w:ind w:firstLine="480"/>
        <w:rPr>
          <w:rFonts w:ascii="宋体" w:hAnsi="宋体" w:cs="宋体"/>
          <w:kern w:val="0"/>
          <w:sz w:val="24"/>
          <w:szCs w:val="24"/>
        </w:rPr>
      </w:pPr>
      <w:r>
        <w:rPr>
          <w:rStyle w:val="custom"/>
          <w:rFonts w:ascii="宋体" w:hAnsi="宋体" w:cs="宋体"/>
          <w:b/>
          <w:bCs/>
          <w:kern w:val="0"/>
          <w:sz w:val="24"/>
          <w:szCs w:val="24"/>
        </w:rPr>
        <w:t>4</w:t>
      </w:r>
      <w:r>
        <w:rPr>
          <w:rFonts w:ascii="宋体" w:hAnsi="宋体" w:cs="宋体"/>
          <w:b/>
          <w:bCs/>
          <w:kern w:val="0"/>
          <w:sz w:val="24"/>
          <w:szCs w:val="24"/>
        </w:rPr>
        <w:t>.1 赎回份额限制</w:t>
      </w:r>
    </w:p>
    <w:p w:rsidR="00FB1E01" w:rsidRDefault="00B83A8A" w:rsidP="005E4E8A">
      <w:pPr>
        <w:pStyle w:val="div"/>
        <w:spacing w:line="360" w:lineRule="auto"/>
        <w:ind w:firstLine="480"/>
        <w:rPr>
          <w:rFonts w:ascii="宋体" w:hAnsi="宋体" w:cs="宋体"/>
          <w:kern w:val="0"/>
          <w:sz w:val="24"/>
          <w:szCs w:val="24"/>
        </w:rPr>
      </w:pPr>
      <w:r>
        <w:rPr>
          <w:rFonts w:ascii="宋体" w:hAnsi="宋体" w:cs="宋体"/>
          <w:kern w:val="0"/>
          <w:sz w:val="24"/>
          <w:szCs w:val="24"/>
        </w:rPr>
        <w:t>（1）</w:t>
      </w:r>
      <w:r w:rsidR="005E4E8A" w:rsidRPr="005E4E8A">
        <w:rPr>
          <w:rFonts w:ascii="宋体" w:hAnsi="宋体" w:cs="宋体" w:hint="eastAsia"/>
          <w:kern w:val="0"/>
          <w:sz w:val="24"/>
          <w:szCs w:val="24"/>
        </w:rPr>
        <w:t>投资人赎回基金份额，单笔赎回不得少于500份（如该账户在该销售机构托管的基金余额不足500份，则必须一次性赎回基金全部份额）；若某笔赎回将导致投资人在销售机构托管的基金余额不足500份时，基金管理人有权将投资人在该销售机构托管的剩余基金份额一次性全部赎回。在不低于上述规定的基金份额下限的前提下，如基金销售机构有不同规定，投资者在销售机构办理涉及上述规则的业务时，需同时遵循该销售机构的相关规定。</w:t>
      </w:r>
    </w:p>
    <w:p w:rsidR="00FB1E01" w:rsidRDefault="00B83A8A">
      <w:pPr>
        <w:pStyle w:val="div"/>
        <w:spacing w:line="360" w:lineRule="auto"/>
        <w:ind w:firstLine="480"/>
        <w:rPr>
          <w:rFonts w:ascii="宋体" w:hAnsi="宋体" w:cs="宋体"/>
          <w:kern w:val="0"/>
          <w:sz w:val="24"/>
          <w:szCs w:val="24"/>
        </w:rPr>
      </w:pPr>
      <w:r>
        <w:rPr>
          <w:rFonts w:ascii="宋体" w:hAnsi="宋体" w:cs="宋体"/>
          <w:kern w:val="0"/>
          <w:sz w:val="24"/>
          <w:szCs w:val="24"/>
        </w:rPr>
        <w:t>（2）基金管理人可在法律法规允许的情况下，调整上述规定赎回份额的数量限制。基金管理人必须在调整前依照《信息披露办法》的有关规定在指定媒介上公告。</w:t>
      </w:r>
    </w:p>
    <w:p w:rsidR="00FB1E01" w:rsidRDefault="00B83A8A">
      <w:pPr>
        <w:pStyle w:val="div"/>
        <w:spacing w:line="360" w:lineRule="auto"/>
        <w:ind w:firstLine="480"/>
        <w:rPr>
          <w:rFonts w:ascii="宋体" w:hAnsi="宋体" w:cs="宋体"/>
          <w:kern w:val="0"/>
          <w:sz w:val="24"/>
          <w:szCs w:val="24"/>
        </w:rPr>
      </w:pPr>
      <w:r>
        <w:rPr>
          <w:rStyle w:val="custom"/>
          <w:rFonts w:ascii="宋体" w:hAnsi="宋体" w:cs="宋体"/>
          <w:b/>
          <w:bCs/>
          <w:kern w:val="0"/>
          <w:sz w:val="24"/>
          <w:szCs w:val="24"/>
        </w:rPr>
        <w:t>4.2 赎回费率</w:t>
      </w:r>
    </w:p>
    <w:p w:rsidR="00FB1E01" w:rsidRDefault="00B83A8A">
      <w:pPr>
        <w:pStyle w:val="div"/>
        <w:spacing w:line="288" w:lineRule="auto"/>
        <w:ind w:firstLine="480"/>
        <w:rPr>
          <w:rFonts w:ascii="宋体" w:hAnsi="宋体" w:cs="宋体"/>
          <w:kern w:val="0"/>
          <w:sz w:val="24"/>
          <w:szCs w:val="24"/>
        </w:rPr>
      </w:pPr>
      <w:r>
        <w:rPr>
          <w:rFonts w:ascii="宋体" w:hAnsi="宋体" w:cs="宋体"/>
          <w:kern w:val="0"/>
          <w:sz w:val="24"/>
          <w:szCs w:val="24"/>
        </w:rPr>
        <w:t>本基金的赎回费率如下：</w:t>
      </w:r>
    </w:p>
    <w:tbl>
      <w:tblPr>
        <w:tblStyle w:val="table"/>
        <w:tblW w:w="5000" w:type="pct"/>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5E0"/>
      </w:tblPr>
      <w:tblGrid>
        <w:gridCol w:w="5108"/>
        <w:gridCol w:w="3410"/>
      </w:tblGrid>
      <w:tr w:rsidR="00FB1E01" w:rsidTr="005E4E8A">
        <w:trPr>
          <w:jc w:val="center"/>
        </w:trPr>
        <w:tc>
          <w:tcPr>
            <w:tcW w:w="4969"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center"/>
              <w:rPr>
                <w:rFonts w:ascii="宋体" w:hAnsi="宋体" w:cs="宋体"/>
                <w:color w:val="000000"/>
                <w:kern w:val="0"/>
                <w:szCs w:val="21"/>
              </w:rPr>
            </w:pPr>
            <w:r>
              <w:rPr>
                <w:rFonts w:ascii="宋体" w:hAnsi="宋体" w:cs="宋体"/>
                <w:b/>
                <w:bCs/>
                <w:color w:val="000000"/>
                <w:kern w:val="0"/>
                <w:szCs w:val="21"/>
              </w:rPr>
              <w:t>持有时间</w:t>
            </w:r>
          </w:p>
        </w:tc>
        <w:tc>
          <w:tcPr>
            <w:tcW w:w="3317"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center"/>
              <w:rPr>
                <w:rFonts w:ascii="宋体" w:hAnsi="宋体" w:cs="宋体"/>
                <w:color w:val="000000"/>
                <w:kern w:val="0"/>
                <w:szCs w:val="21"/>
              </w:rPr>
            </w:pPr>
            <w:r>
              <w:rPr>
                <w:rFonts w:ascii="宋体" w:hAnsi="宋体" w:cs="宋体"/>
                <w:b/>
                <w:bCs/>
                <w:color w:val="000000"/>
                <w:kern w:val="0"/>
                <w:szCs w:val="21"/>
              </w:rPr>
              <w:t>赎回费率</w:t>
            </w:r>
          </w:p>
        </w:tc>
      </w:tr>
      <w:tr w:rsidR="00FB1E01" w:rsidTr="005E4E8A">
        <w:trPr>
          <w:jc w:val="center"/>
        </w:trPr>
        <w:tc>
          <w:tcPr>
            <w:tcW w:w="4969"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5E4E8A">
            <w:pPr>
              <w:pStyle w:val="div"/>
              <w:spacing w:line="288" w:lineRule="auto"/>
              <w:jc w:val="center"/>
              <w:rPr>
                <w:rFonts w:ascii="宋体" w:hAnsi="宋体" w:cs="宋体"/>
                <w:color w:val="000000"/>
                <w:kern w:val="0"/>
                <w:szCs w:val="21"/>
              </w:rPr>
            </w:pPr>
            <w:r w:rsidRPr="005E4E8A">
              <w:rPr>
                <w:rFonts w:ascii="宋体" w:hAnsi="宋体" w:cs="宋体" w:hint="eastAsia"/>
                <w:color w:val="000000"/>
                <w:kern w:val="0"/>
                <w:szCs w:val="21"/>
              </w:rPr>
              <w:t>持有时间少于7日</w:t>
            </w:r>
          </w:p>
        </w:tc>
        <w:tc>
          <w:tcPr>
            <w:tcW w:w="3317"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center"/>
              <w:rPr>
                <w:rFonts w:ascii="宋体" w:hAnsi="宋体" w:cs="宋体"/>
                <w:color w:val="000000"/>
                <w:kern w:val="0"/>
                <w:szCs w:val="21"/>
              </w:rPr>
            </w:pPr>
            <w:r>
              <w:rPr>
                <w:rFonts w:ascii="宋体" w:hAnsi="宋体" w:cs="宋体"/>
                <w:color w:val="000000"/>
                <w:kern w:val="0"/>
                <w:szCs w:val="21"/>
              </w:rPr>
              <w:t>1.5%</w:t>
            </w:r>
          </w:p>
        </w:tc>
      </w:tr>
      <w:tr w:rsidR="00FB1E01" w:rsidTr="005E4E8A">
        <w:trPr>
          <w:jc w:val="center"/>
        </w:trPr>
        <w:tc>
          <w:tcPr>
            <w:tcW w:w="4969"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5E4E8A">
            <w:pPr>
              <w:pStyle w:val="div"/>
              <w:spacing w:line="288" w:lineRule="auto"/>
              <w:jc w:val="center"/>
              <w:rPr>
                <w:rFonts w:ascii="宋体" w:hAnsi="宋体" w:cs="宋体"/>
                <w:color w:val="000000"/>
                <w:kern w:val="0"/>
                <w:szCs w:val="21"/>
              </w:rPr>
            </w:pPr>
            <w:r w:rsidRPr="005E4E8A">
              <w:rPr>
                <w:rFonts w:ascii="宋体" w:hAnsi="宋体" w:cs="宋体" w:hint="eastAsia"/>
                <w:color w:val="000000"/>
                <w:kern w:val="0"/>
                <w:szCs w:val="21"/>
              </w:rPr>
              <w:t>持有时间大于等于7日但少于一个封闭期</w:t>
            </w:r>
          </w:p>
        </w:tc>
        <w:tc>
          <w:tcPr>
            <w:tcW w:w="3317"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center"/>
              <w:rPr>
                <w:rFonts w:ascii="宋体" w:hAnsi="宋体" w:cs="宋体"/>
                <w:color w:val="000000"/>
                <w:kern w:val="0"/>
                <w:szCs w:val="21"/>
              </w:rPr>
            </w:pPr>
            <w:r>
              <w:rPr>
                <w:rFonts w:ascii="宋体" w:hAnsi="宋体" w:cs="宋体"/>
                <w:color w:val="000000"/>
                <w:kern w:val="0"/>
                <w:szCs w:val="21"/>
              </w:rPr>
              <w:t>0.1%</w:t>
            </w:r>
          </w:p>
        </w:tc>
      </w:tr>
      <w:tr w:rsidR="00FB1E01" w:rsidTr="005E4E8A">
        <w:trPr>
          <w:jc w:val="center"/>
        </w:trPr>
        <w:tc>
          <w:tcPr>
            <w:tcW w:w="4969"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5E4E8A">
            <w:pPr>
              <w:pStyle w:val="div"/>
              <w:spacing w:line="288" w:lineRule="auto"/>
              <w:jc w:val="center"/>
              <w:rPr>
                <w:rFonts w:ascii="宋体" w:hAnsi="宋体" w:cs="宋体"/>
                <w:color w:val="000000"/>
                <w:kern w:val="0"/>
                <w:szCs w:val="21"/>
              </w:rPr>
            </w:pPr>
            <w:r w:rsidRPr="005E4E8A">
              <w:rPr>
                <w:rFonts w:ascii="宋体" w:hAnsi="宋体" w:cs="宋体" w:hint="eastAsia"/>
                <w:color w:val="000000"/>
                <w:kern w:val="0"/>
                <w:szCs w:val="21"/>
              </w:rPr>
              <w:t>持有时间满一个封闭期或以上</w:t>
            </w:r>
          </w:p>
        </w:tc>
        <w:tc>
          <w:tcPr>
            <w:tcW w:w="3317" w:type="dxa"/>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center"/>
              <w:rPr>
                <w:rFonts w:ascii="宋体" w:hAnsi="宋体" w:cs="宋体"/>
                <w:color w:val="000000"/>
                <w:kern w:val="0"/>
                <w:szCs w:val="21"/>
              </w:rPr>
            </w:pPr>
            <w:r>
              <w:rPr>
                <w:rFonts w:ascii="宋体" w:hAnsi="宋体" w:cs="宋体"/>
                <w:color w:val="000000"/>
                <w:kern w:val="0"/>
                <w:szCs w:val="21"/>
              </w:rPr>
              <w:t>0</w:t>
            </w:r>
          </w:p>
        </w:tc>
      </w:tr>
    </w:tbl>
    <w:p w:rsidR="005E4E8A" w:rsidRPr="005E4E8A" w:rsidRDefault="005E4E8A" w:rsidP="005E4E8A">
      <w:pPr>
        <w:pStyle w:val="div"/>
        <w:spacing w:line="360" w:lineRule="auto"/>
        <w:ind w:firstLine="480"/>
        <w:rPr>
          <w:rStyle w:val="custom"/>
          <w:rFonts w:ascii="宋体" w:hAnsi="宋体" w:cs="宋体"/>
          <w:bCs/>
          <w:kern w:val="0"/>
          <w:sz w:val="24"/>
          <w:szCs w:val="24"/>
        </w:rPr>
      </w:pPr>
      <w:r w:rsidRPr="005E4E8A">
        <w:rPr>
          <w:rStyle w:val="custom"/>
          <w:rFonts w:ascii="宋体" w:hAnsi="宋体" w:cs="宋体" w:hint="eastAsia"/>
          <w:bCs/>
          <w:kern w:val="0"/>
          <w:sz w:val="24"/>
          <w:szCs w:val="24"/>
        </w:rPr>
        <w:t>对于持续持有基金份额少于7日的投资人收取的赎回费，将全额计入基金财产；对于持续持有期大于等于7日的投资人收取的赎回费，不低于赎回费总额的25%应归入基金财产，其余用于支付登记费和其他必要的手续费。</w:t>
      </w:r>
    </w:p>
    <w:p w:rsidR="00FB1E01" w:rsidRDefault="00B83A8A">
      <w:pPr>
        <w:pStyle w:val="div"/>
        <w:spacing w:line="360" w:lineRule="auto"/>
        <w:ind w:firstLine="480"/>
        <w:rPr>
          <w:rFonts w:ascii="宋体" w:hAnsi="宋体" w:cs="宋体"/>
          <w:kern w:val="0"/>
          <w:sz w:val="24"/>
          <w:szCs w:val="24"/>
        </w:rPr>
      </w:pPr>
      <w:r>
        <w:rPr>
          <w:rStyle w:val="custom"/>
          <w:rFonts w:ascii="宋体" w:hAnsi="宋体" w:cs="宋体"/>
          <w:b/>
          <w:bCs/>
          <w:kern w:val="0"/>
          <w:sz w:val="24"/>
          <w:szCs w:val="24"/>
        </w:rPr>
        <w:t>4</w:t>
      </w:r>
      <w:r>
        <w:rPr>
          <w:rFonts w:ascii="宋体" w:hAnsi="宋体" w:cs="宋体"/>
          <w:b/>
          <w:bCs/>
          <w:kern w:val="0"/>
          <w:sz w:val="24"/>
          <w:szCs w:val="24"/>
        </w:rPr>
        <w:t>.3 其他与赎回相关的事项</w:t>
      </w:r>
    </w:p>
    <w:p w:rsidR="00FB1E01" w:rsidRDefault="00B83A8A">
      <w:pPr>
        <w:pStyle w:val="div"/>
        <w:spacing w:line="360" w:lineRule="auto"/>
        <w:ind w:firstLine="480"/>
        <w:rPr>
          <w:rFonts w:ascii="宋体" w:hAnsi="宋体" w:cs="宋体"/>
          <w:kern w:val="0"/>
          <w:sz w:val="24"/>
          <w:szCs w:val="24"/>
        </w:rPr>
      </w:pPr>
      <w:r>
        <w:rPr>
          <w:rFonts w:ascii="宋体" w:hAnsi="宋体" w:cs="宋体"/>
          <w:kern w:val="0"/>
          <w:sz w:val="24"/>
          <w:szCs w:val="24"/>
        </w:rPr>
        <w:t>（1）基金份额持有人在赎回基金份额时，基金管理人按“先进先出”的原则，即对该基金份额持有人在该销售机构托管的基金份额进行赎回处理时，申购确认日在先的基金份额先赎回，申购确认日在后的基金份额后赎回，以确定所适用的赎回费率。</w:t>
      </w:r>
    </w:p>
    <w:p w:rsidR="00FB1E01" w:rsidRDefault="00B83A8A">
      <w:pPr>
        <w:pStyle w:val="div"/>
        <w:spacing w:line="360" w:lineRule="auto"/>
        <w:ind w:firstLine="480"/>
        <w:rPr>
          <w:rFonts w:ascii="宋体" w:hAnsi="宋体" w:cs="宋体"/>
          <w:kern w:val="0"/>
          <w:sz w:val="24"/>
          <w:szCs w:val="24"/>
        </w:rPr>
      </w:pPr>
      <w:r>
        <w:rPr>
          <w:rFonts w:ascii="宋体" w:hAnsi="宋体" w:cs="宋体"/>
          <w:kern w:val="0"/>
          <w:sz w:val="24"/>
          <w:szCs w:val="24"/>
        </w:rPr>
        <w:t>（2）基金管理人可以在基金合同约定的范围内调整费率或收费方式，并最迟应于新的费率或收费方式实施日前依照《信息披露办法》的有关规定在指定媒介上公告。</w:t>
      </w:r>
    </w:p>
    <w:p w:rsidR="00FB1E01" w:rsidRDefault="00B83A8A">
      <w:pPr>
        <w:pStyle w:val="div"/>
        <w:spacing w:line="360" w:lineRule="auto"/>
        <w:ind w:firstLine="480"/>
        <w:rPr>
          <w:rFonts w:ascii="宋体" w:hAnsi="宋体" w:cs="宋体"/>
          <w:kern w:val="0"/>
          <w:sz w:val="24"/>
          <w:szCs w:val="24"/>
        </w:rPr>
      </w:pPr>
      <w:r>
        <w:rPr>
          <w:rFonts w:ascii="宋体" w:hAnsi="宋体" w:cs="宋体"/>
          <w:kern w:val="0"/>
          <w:sz w:val="24"/>
          <w:szCs w:val="24"/>
        </w:rPr>
        <w:t>（3）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赎回费率。</w:t>
      </w:r>
    </w:p>
    <w:p w:rsidR="00FB1E01" w:rsidRDefault="00B83A8A">
      <w:pPr>
        <w:pStyle w:val="div"/>
        <w:spacing w:line="360" w:lineRule="auto"/>
        <w:ind w:firstLine="480"/>
        <w:rPr>
          <w:rFonts w:ascii="宋体" w:hAnsi="宋体" w:cs="宋体"/>
          <w:kern w:val="0"/>
          <w:sz w:val="24"/>
          <w:szCs w:val="24"/>
        </w:rPr>
      </w:pPr>
      <w:r>
        <w:rPr>
          <w:rFonts w:ascii="宋体" w:hAnsi="宋体" w:cs="宋体"/>
          <w:kern w:val="0"/>
          <w:sz w:val="24"/>
          <w:szCs w:val="24"/>
        </w:rPr>
        <w:t>（4）基金份额持有人递交赎回申请，赎回成立；登记机构确认赎回时，赎回生效。投资人赎回申请生效后，基金管理人将在T＋7日(包括该日)内支付赎回款项。在发生巨额赎回或基金合同载明的其他暂停赎回或延缓支付赎回款项的情形时，款项的支付办法参照基金合同有关条款处理。</w:t>
      </w:r>
    </w:p>
    <w:p w:rsidR="00FB1E01" w:rsidRDefault="00B83A8A">
      <w:pPr>
        <w:pStyle w:val="div"/>
        <w:spacing w:line="360" w:lineRule="auto"/>
        <w:ind w:firstLine="480"/>
        <w:rPr>
          <w:rFonts w:ascii="宋体" w:hAnsi="宋体" w:cs="宋体"/>
          <w:kern w:val="0"/>
          <w:sz w:val="24"/>
          <w:szCs w:val="24"/>
        </w:rPr>
      </w:pPr>
      <w:r>
        <w:rPr>
          <w:rFonts w:ascii="宋体" w:hAnsi="宋体" w:cs="宋体"/>
          <w:kern w:val="0"/>
          <w:sz w:val="24"/>
          <w:szCs w:val="24"/>
        </w:rPr>
        <w:t>遇交易所或交易市场数据传输延迟、通讯系统故障、银行数据交换系统故障或其它非基金管理人及基金托管人所能控制的因素影响业务处理流程，则赎回款顺延至上述情形消除后的下一个工作日划往基金份额持有人银行账户。</w:t>
      </w:r>
    </w:p>
    <w:p w:rsidR="00FB1E01" w:rsidRDefault="00FB1E01">
      <w:pPr>
        <w:autoSpaceDE w:val="0"/>
        <w:autoSpaceDN w:val="0"/>
        <w:adjustRightInd w:val="0"/>
        <w:spacing w:line="360" w:lineRule="auto"/>
        <w:ind w:firstLineChars="200" w:firstLine="480"/>
        <w:jc w:val="center"/>
        <w:rPr>
          <w:rFonts w:ascii="宋体" w:hAnsi="宋体"/>
          <w:sz w:val="24"/>
          <w:szCs w:val="24"/>
        </w:rPr>
      </w:pPr>
    </w:p>
    <w:p w:rsidR="00FB1E01" w:rsidRDefault="00B83A8A">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5</w:t>
      </w:r>
      <w:r>
        <w:rPr>
          <w:rFonts w:ascii="宋体" w:hAnsi="宋体" w:cs="宋体"/>
          <w:b/>
          <w:bCs/>
          <w:kern w:val="0"/>
          <w:sz w:val="24"/>
          <w:szCs w:val="24"/>
        </w:rPr>
        <w:t>基金销售机构</w:t>
      </w:r>
    </w:p>
    <w:p w:rsidR="00FB1E01" w:rsidRDefault="00B83A8A">
      <w:pPr>
        <w:pStyle w:val="div"/>
        <w:widowControl/>
        <w:spacing w:line="360" w:lineRule="auto"/>
        <w:ind w:firstLine="480"/>
        <w:rPr>
          <w:rFonts w:ascii="宋体" w:hAnsi="宋体" w:cs="宋体"/>
          <w:kern w:val="0"/>
          <w:sz w:val="24"/>
          <w:szCs w:val="24"/>
        </w:rPr>
      </w:pPr>
      <w:r>
        <w:rPr>
          <w:rStyle w:val="custom"/>
          <w:rFonts w:ascii="宋体" w:hAnsi="宋体" w:cs="宋体"/>
          <w:b/>
          <w:bCs/>
          <w:kern w:val="0"/>
          <w:sz w:val="24"/>
          <w:szCs w:val="24"/>
        </w:rPr>
        <w:t>5</w:t>
      </w:r>
      <w:r>
        <w:rPr>
          <w:rFonts w:ascii="宋体" w:hAnsi="宋体" w:cs="宋体"/>
          <w:b/>
          <w:bCs/>
          <w:kern w:val="0"/>
          <w:sz w:val="24"/>
          <w:szCs w:val="24"/>
        </w:rPr>
        <w:t>.1. 直销机构</w:t>
      </w:r>
    </w:p>
    <w:p w:rsidR="00FB1E01" w:rsidRDefault="00B83A8A">
      <w:pPr>
        <w:pStyle w:val="div"/>
        <w:spacing w:line="360" w:lineRule="auto"/>
        <w:ind w:firstLine="480"/>
        <w:rPr>
          <w:rFonts w:ascii="宋体" w:hAnsi="宋体" w:cs="宋体"/>
          <w:kern w:val="0"/>
          <w:sz w:val="24"/>
          <w:szCs w:val="24"/>
        </w:rPr>
      </w:pPr>
      <w:r>
        <w:rPr>
          <w:rFonts w:ascii="宋体" w:hAnsi="宋体" w:cs="宋体"/>
          <w:kern w:val="0"/>
          <w:sz w:val="24"/>
          <w:szCs w:val="24"/>
        </w:rPr>
        <w:t>国投瑞银基金管理有限公司直销中心</w:t>
      </w:r>
    </w:p>
    <w:p w:rsidR="00FB1E01" w:rsidRDefault="00B83A8A">
      <w:pPr>
        <w:pStyle w:val="div"/>
        <w:spacing w:line="360" w:lineRule="auto"/>
        <w:ind w:firstLine="480"/>
        <w:jc w:val="left"/>
        <w:rPr>
          <w:rFonts w:ascii="宋体" w:hAnsi="宋体" w:cs="宋体"/>
          <w:kern w:val="0"/>
          <w:sz w:val="24"/>
          <w:szCs w:val="24"/>
        </w:rPr>
      </w:pPr>
      <w:r>
        <w:rPr>
          <w:rFonts w:ascii="宋体" w:hAnsi="宋体" w:cs="宋体"/>
          <w:kern w:val="0"/>
          <w:sz w:val="24"/>
          <w:szCs w:val="24"/>
        </w:rPr>
        <w:t>办公地址：深圳市福田区福华一路119号安信金融大厦18楼</w:t>
      </w:r>
    </w:p>
    <w:p w:rsidR="00FB1E01" w:rsidRDefault="00B83A8A">
      <w:pPr>
        <w:pStyle w:val="div"/>
        <w:spacing w:line="360" w:lineRule="auto"/>
        <w:ind w:firstLine="480"/>
        <w:jc w:val="left"/>
        <w:rPr>
          <w:rFonts w:ascii="宋体" w:hAnsi="宋体" w:cs="宋体"/>
          <w:kern w:val="0"/>
          <w:sz w:val="24"/>
          <w:szCs w:val="24"/>
        </w:rPr>
      </w:pPr>
      <w:r>
        <w:rPr>
          <w:rFonts w:ascii="宋体" w:hAnsi="宋体" w:cs="宋体"/>
          <w:kern w:val="0"/>
          <w:sz w:val="24"/>
          <w:szCs w:val="24"/>
        </w:rPr>
        <w:t>电话：(0755)83575993 83575994</w:t>
      </w:r>
    </w:p>
    <w:p w:rsidR="00FB1E01" w:rsidRDefault="00B83A8A">
      <w:pPr>
        <w:pStyle w:val="div"/>
        <w:spacing w:line="360" w:lineRule="auto"/>
        <w:ind w:firstLine="480"/>
        <w:jc w:val="left"/>
        <w:rPr>
          <w:rFonts w:ascii="宋体" w:hAnsi="宋体" w:cs="宋体"/>
          <w:kern w:val="0"/>
          <w:sz w:val="24"/>
          <w:szCs w:val="24"/>
        </w:rPr>
      </w:pPr>
      <w:r>
        <w:rPr>
          <w:rFonts w:ascii="宋体" w:hAnsi="宋体" w:cs="宋体"/>
          <w:kern w:val="0"/>
          <w:sz w:val="24"/>
          <w:szCs w:val="24"/>
        </w:rPr>
        <w:t>传真：(0755)82904048</w:t>
      </w:r>
    </w:p>
    <w:p w:rsidR="00FB1E01" w:rsidRDefault="00B83A8A">
      <w:pPr>
        <w:pStyle w:val="div"/>
        <w:spacing w:line="360" w:lineRule="auto"/>
        <w:ind w:firstLine="480"/>
        <w:jc w:val="left"/>
        <w:rPr>
          <w:rFonts w:ascii="宋体" w:hAnsi="宋体" w:cs="宋体"/>
          <w:kern w:val="0"/>
          <w:sz w:val="24"/>
          <w:szCs w:val="24"/>
        </w:rPr>
      </w:pPr>
      <w:r>
        <w:rPr>
          <w:rFonts w:ascii="宋体" w:hAnsi="宋体" w:cs="宋体"/>
          <w:kern w:val="0"/>
          <w:sz w:val="24"/>
          <w:szCs w:val="24"/>
        </w:rPr>
        <w:t>联系人：马征、李沫</w:t>
      </w:r>
    </w:p>
    <w:p w:rsidR="00FB1E01" w:rsidRDefault="00B83A8A">
      <w:pPr>
        <w:pStyle w:val="div"/>
        <w:spacing w:line="360" w:lineRule="auto"/>
        <w:ind w:firstLine="480"/>
        <w:jc w:val="left"/>
        <w:rPr>
          <w:rFonts w:ascii="宋体" w:hAnsi="宋体" w:cs="宋体"/>
          <w:kern w:val="0"/>
          <w:sz w:val="24"/>
          <w:szCs w:val="24"/>
        </w:rPr>
      </w:pPr>
      <w:r>
        <w:rPr>
          <w:rFonts w:ascii="宋体" w:hAnsi="宋体" w:cs="宋体"/>
          <w:kern w:val="0"/>
          <w:sz w:val="24"/>
          <w:szCs w:val="24"/>
        </w:rPr>
        <w:t>客户服务电话：400-880-6868</w:t>
      </w:r>
    </w:p>
    <w:p w:rsidR="00FB1E01" w:rsidRDefault="00B83A8A">
      <w:pPr>
        <w:pStyle w:val="div"/>
        <w:spacing w:line="360" w:lineRule="auto"/>
        <w:ind w:firstLine="480"/>
        <w:jc w:val="left"/>
        <w:rPr>
          <w:rFonts w:ascii="宋体" w:hAnsi="宋体" w:cs="宋体"/>
          <w:kern w:val="0"/>
          <w:sz w:val="24"/>
          <w:szCs w:val="24"/>
        </w:rPr>
      </w:pPr>
      <w:r>
        <w:rPr>
          <w:rFonts w:ascii="宋体" w:hAnsi="宋体" w:cs="宋体"/>
          <w:kern w:val="0"/>
          <w:sz w:val="24"/>
          <w:szCs w:val="24"/>
        </w:rPr>
        <w:t>公司网站：www.ubssdic.com</w:t>
      </w:r>
    </w:p>
    <w:p w:rsidR="00FB1E01" w:rsidRDefault="00B83A8A">
      <w:pPr>
        <w:pStyle w:val="div"/>
        <w:widowControl/>
        <w:spacing w:line="360" w:lineRule="auto"/>
        <w:ind w:firstLine="480"/>
        <w:rPr>
          <w:rFonts w:ascii="宋体" w:hAnsi="宋体" w:cs="宋体"/>
          <w:kern w:val="0"/>
          <w:sz w:val="24"/>
          <w:szCs w:val="24"/>
        </w:rPr>
      </w:pPr>
      <w:r>
        <w:rPr>
          <w:rStyle w:val="custom"/>
          <w:rFonts w:ascii="宋体" w:hAnsi="宋体" w:cs="宋体"/>
          <w:b/>
          <w:bCs/>
          <w:kern w:val="0"/>
          <w:sz w:val="24"/>
          <w:szCs w:val="24"/>
        </w:rPr>
        <w:t>5</w:t>
      </w:r>
      <w:r>
        <w:rPr>
          <w:rFonts w:ascii="宋体" w:hAnsi="宋体" w:cs="宋体"/>
          <w:b/>
          <w:bCs/>
          <w:kern w:val="0"/>
          <w:sz w:val="24"/>
          <w:szCs w:val="24"/>
        </w:rPr>
        <w:t>.2 非直销机构</w:t>
      </w:r>
    </w:p>
    <w:tbl>
      <w:tblPr>
        <w:tblStyle w:val="table"/>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5E0"/>
      </w:tblPr>
      <w:tblGrid>
        <w:gridCol w:w="8518"/>
      </w:tblGrid>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（1）诺亚正行基金销售有限公司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（2）上海好买基金销售有限公司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（3）上海联泰基金销售有限公司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（4）东方财富证券股份有限公司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（5）北京汇成基金销售有限公司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（6）京东肯特瑞基金销售有限公司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（7）蚂蚁（杭州）基金销售有限公司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（8）通华财富（上海）基金销售有限公司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（9）上海天天基金销售有限公司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（10）宁波银行股份有限公司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（11）上海基煜基金销售有限公司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（12）上海利得基金销售有限公司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（13）珠海盈米基金销售有限公司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（14）兴业银行股份有限公司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（15）平安银行股份有限公司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（16）阳光人寿保险股份有限公司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（17）中信证券股份有限公司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（18）北京度小满基金销售有限公司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（19）杭州银行股份有限公司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（20）泛华普益基金销售有限公司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（21）玄元保险代理有限公司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（22）深圳众禄基金销售股份有限公司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（23）北京中植基金销售有限公司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（24）浙江同花顺基金销售有限公司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（25）上海长量基金销售有限公司</w:t>
            </w:r>
          </w:p>
        </w:tc>
      </w:tr>
      <w:tr w:rsidR="00FB1E01">
        <w:tc>
          <w:tcPr>
            <w:tcW w:w="0" w:type="auto"/>
            <w:tcBorders>
              <w:top w:val="single" w:sz="8" w:space="0" w:color="000000"/>
              <w:left w:val="single" w:sz="8" w:space="0" w:color="000000"/>
              <w:bottom w:val="single" w:sz="8" w:space="0" w:color="000000"/>
              <w:right w:val="single" w:sz="8" w:space="0" w:color="000000"/>
            </w:tcBorders>
            <w:tcMar>
              <w:top w:w="106" w:type="dxa"/>
              <w:left w:w="106" w:type="dxa"/>
              <w:bottom w:w="106" w:type="dxa"/>
              <w:right w:w="106" w:type="dxa"/>
            </w:tcMar>
            <w:vAlign w:val="center"/>
            <w:hideMark/>
          </w:tcPr>
          <w:p w:rsidR="00FB1E01" w:rsidRDefault="00B83A8A">
            <w:pPr>
              <w:pStyle w:val="div"/>
              <w:spacing w:line="288" w:lineRule="auto"/>
              <w:jc w:val="left"/>
              <w:rPr>
                <w:rFonts w:ascii="宋体" w:hAnsi="宋体" w:cs="宋体"/>
                <w:color w:val="000000"/>
                <w:kern w:val="0"/>
                <w:sz w:val="24"/>
                <w:szCs w:val="24"/>
              </w:rPr>
            </w:pPr>
            <w:r>
              <w:rPr>
                <w:rFonts w:ascii="宋体" w:hAnsi="宋体" w:cs="宋体"/>
                <w:color w:val="000000"/>
                <w:kern w:val="0"/>
                <w:sz w:val="24"/>
                <w:szCs w:val="24"/>
              </w:rPr>
              <w:t>（26）和讯信息科技有限公司</w:t>
            </w:r>
          </w:p>
        </w:tc>
      </w:tr>
    </w:tbl>
    <w:p w:rsidR="00FB1E01" w:rsidRDefault="00B83A8A">
      <w:pPr>
        <w:pStyle w:val="div"/>
        <w:spacing w:line="360" w:lineRule="auto"/>
        <w:ind w:firstLine="480"/>
        <w:rPr>
          <w:rFonts w:ascii="宋体" w:hAnsi="宋体" w:cs="宋体"/>
          <w:kern w:val="0"/>
          <w:sz w:val="24"/>
          <w:szCs w:val="24"/>
        </w:rPr>
      </w:pPr>
      <w:r>
        <w:rPr>
          <w:rFonts w:ascii="宋体" w:hAnsi="宋体" w:cs="宋体"/>
          <w:kern w:val="0"/>
          <w:sz w:val="24"/>
          <w:szCs w:val="24"/>
        </w:rPr>
        <w:t>销售机构办理本基金申购、赎回等业务的具体网点、规则、流程、数额限制等请详见各销售机构的具体规定。销售机构可办理的业务类型及业务办理状况以各销售机构的规定为准。基金管理人可根据有关法律法规的要求，增减或变更基金销售机构，并在基金管理人网站公示基金销售机构名录，投资者可登录本公司网站（www.ubssdic.com）查询本基金销售机构信息。</w:t>
      </w:r>
    </w:p>
    <w:p w:rsidR="00FB1E01" w:rsidRDefault="00FB1E01">
      <w:pPr>
        <w:autoSpaceDE w:val="0"/>
        <w:autoSpaceDN w:val="0"/>
        <w:adjustRightInd w:val="0"/>
        <w:spacing w:line="360" w:lineRule="auto"/>
        <w:ind w:firstLineChars="200" w:firstLine="480"/>
        <w:jc w:val="center"/>
        <w:rPr>
          <w:rFonts w:ascii="宋体" w:hAnsi="宋体"/>
          <w:sz w:val="24"/>
          <w:szCs w:val="24"/>
        </w:rPr>
      </w:pPr>
    </w:p>
    <w:p w:rsidR="00FB1E01" w:rsidRDefault="00B83A8A">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6</w:t>
      </w:r>
      <w:r>
        <w:rPr>
          <w:rFonts w:ascii="宋体" w:hAnsi="宋体" w:cs="宋体"/>
          <w:b/>
          <w:bCs/>
          <w:kern w:val="0"/>
          <w:sz w:val="24"/>
          <w:szCs w:val="24"/>
        </w:rPr>
        <w:t>基金份额净值公告/基金收益公告的披露安排</w:t>
      </w:r>
    </w:p>
    <w:p w:rsidR="00FB1E01" w:rsidRDefault="00B83A8A">
      <w:pPr>
        <w:pStyle w:val="div"/>
        <w:spacing w:line="360" w:lineRule="auto"/>
        <w:ind w:firstLine="480"/>
        <w:rPr>
          <w:rFonts w:eastAsia="Times New Roman"/>
          <w:kern w:val="0"/>
          <w:sz w:val="24"/>
          <w:szCs w:val="24"/>
        </w:rPr>
      </w:pPr>
      <w:r>
        <w:rPr>
          <w:rFonts w:ascii="宋体" w:hAnsi="宋体" w:cs="宋体"/>
          <w:kern w:val="0"/>
          <w:sz w:val="24"/>
          <w:szCs w:val="24"/>
        </w:rPr>
        <w:t>《基金合同》生效后，在封闭期内，基金管理人应当至少每周在指定网站披露一次基金份额净值和基金份额累计净值。</w:t>
      </w:r>
    </w:p>
    <w:p w:rsidR="00FB1E01" w:rsidRDefault="00B83A8A">
      <w:pPr>
        <w:pStyle w:val="div"/>
        <w:spacing w:line="360" w:lineRule="auto"/>
        <w:ind w:firstLine="480"/>
        <w:rPr>
          <w:rFonts w:eastAsia="Times New Roman"/>
          <w:kern w:val="0"/>
          <w:sz w:val="24"/>
          <w:szCs w:val="24"/>
        </w:rPr>
      </w:pPr>
      <w:r>
        <w:rPr>
          <w:rFonts w:ascii="宋体" w:hAnsi="宋体" w:cs="宋体"/>
          <w:kern w:val="0"/>
          <w:sz w:val="24"/>
          <w:szCs w:val="24"/>
        </w:rPr>
        <w:t>在开放期内，基金管理人应当在不晚于每个开放日的次日，通过指定网站、基金销售机构网站或者营业网点披露前一日基金份额净值和基金份额累计净值。</w:t>
      </w:r>
    </w:p>
    <w:p w:rsidR="00FB1E01" w:rsidRDefault="00FB1E01">
      <w:pPr>
        <w:autoSpaceDE w:val="0"/>
        <w:autoSpaceDN w:val="0"/>
        <w:adjustRightInd w:val="0"/>
        <w:spacing w:line="360" w:lineRule="auto"/>
        <w:ind w:firstLineChars="200" w:firstLine="480"/>
        <w:jc w:val="center"/>
        <w:rPr>
          <w:rFonts w:ascii="宋体" w:hAnsi="宋体"/>
          <w:sz w:val="24"/>
          <w:szCs w:val="24"/>
        </w:rPr>
      </w:pPr>
    </w:p>
    <w:p w:rsidR="00FB1E01" w:rsidRDefault="00B83A8A">
      <w:pPr>
        <w:pStyle w:val="div"/>
        <w:spacing w:line="360" w:lineRule="auto"/>
        <w:ind w:firstLine="480"/>
        <w:rPr>
          <w:rFonts w:eastAsia="Times New Roman"/>
          <w:kern w:val="0"/>
          <w:sz w:val="24"/>
          <w:szCs w:val="24"/>
        </w:rPr>
      </w:pPr>
      <w:r>
        <w:rPr>
          <w:rStyle w:val="serial-tag"/>
          <w:rFonts w:ascii="宋体" w:hAnsi="宋体" w:cs="宋体"/>
          <w:b/>
          <w:bCs/>
          <w:kern w:val="0"/>
          <w:sz w:val="24"/>
          <w:szCs w:val="24"/>
        </w:rPr>
        <w:t>7</w:t>
      </w:r>
      <w:r>
        <w:rPr>
          <w:rFonts w:ascii="宋体" w:hAnsi="宋体" w:cs="宋体"/>
          <w:b/>
          <w:bCs/>
          <w:kern w:val="0"/>
          <w:sz w:val="24"/>
          <w:szCs w:val="24"/>
        </w:rPr>
        <w:t>其他需要提示的事项</w:t>
      </w:r>
    </w:p>
    <w:p w:rsidR="00FB1E01" w:rsidRDefault="00B83A8A">
      <w:pPr>
        <w:pStyle w:val="div"/>
        <w:spacing w:line="360" w:lineRule="auto"/>
        <w:ind w:firstLine="480"/>
        <w:jc w:val="left"/>
        <w:rPr>
          <w:rFonts w:ascii="宋体" w:hAnsi="宋体" w:cs="宋体"/>
          <w:kern w:val="0"/>
          <w:sz w:val="24"/>
          <w:szCs w:val="24"/>
        </w:rPr>
      </w:pPr>
      <w:r>
        <w:rPr>
          <w:rFonts w:ascii="宋体" w:hAnsi="宋体" w:cs="宋体"/>
          <w:kern w:val="0"/>
          <w:sz w:val="24"/>
          <w:szCs w:val="24"/>
        </w:rPr>
        <w:t>（1）本基金若参加其他代销机构的费率优惠活动，详见各代销机构相关公告或本公司网站相关提示。</w:t>
      </w:r>
    </w:p>
    <w:p w:rsidR="00FB1E01" w:rsidRDefault="00B83A8A">
      <w:pPr>
        <w:pStyle w:val="div"/>
        <w:spacing w:line="360" w:lineRule="auto"/>
        <w:ind w:firstLine="480"/>
        <w:jc w:val="left"/>
        <w:rPr>
          <w:rFonts w:ascii="宋体" w:hAnsi="宋体" w:cs="宋体"/>
          <w:kern w:val="0"/>
          <w:sz w:val="24"/>
          <w:szCs w:val="24"/>
        </w:rPr>
      </w:pPr>
      <w:r>
        <w:rPr>
          <w:rFonts w:ascii="宋体" w:hAnsi="宋体" w:cs="宋体"/>
          <w:kern w:val="0"/>
          <w:sz w:val="24"/>
          <w:szCs w:val="24"/>
        </w:rPr>
        <w:t>（2）2024年3月1日至2024年3月28日为本基金第12个开放期，即在开放期内的每个工作日接受办理本基金份额的申购、赎回业务，2024年3月28日15:00以后暂停接受办理本基金的申购、赎回业务直至下一个开放期。</w:t>
      </w:r>
    </w:p>
    <w:p w:rsidR="00FB1E01" w:rsidRDefault="00B83A8A" w:rsidP="005E4E8A">
      <w:pPr>
        <w:pStyle w:val="div"/>
        <w:spacing w:line="360" w:lineRule="auto"/>
        <w:ind w:firstLine="480"/>
        <w:jc w:val="left"/>
        <w:rPr>
          <w:rFonts w:ascii="宋体" w:hAnsi="宋体" w:cs="宋体"/>
          <w:kern w:val="0"/>
          <w:sz w:val="24"/>
          <w:szCs w:val="24"/>
        </w:rPr>
      </w:pPr>
      <w:r>
        <w:rPr>
          <w:rFonts w:ascii="宋体" w:hAnsi="宋体" w:cs="宋体"/>
          <w:kern w:val="0"/>
          <w:sz w:val="24"/>
          <w:szCs w:val="24"/>
        </w:rPr>
        <w:t xml:space="preserve">(3) </w:t>
      </w:r>
      <w:bookmarkStart w:id="0" w:name="_GoBack"/>
      <w:bookmarkEnd w:id="0"/>
      <w:r>
        <w:rPr>
          <w:rFonts w:ascii="宋体" w:hAnsi="宋体" w:cs="宋体"/>
          <w:kern w:val="0"/>
          <w:sz w:val="24"/>
          <w:szCs w:val="24"/>
        </w:rPr>
        <w:t xml:space="preserve">《基金合同》生效之日起满三年后的对应日，若基金资产规模低于2亿元，本《基金合同》自动终止并按其约定程序进行清算，无需召开基金份额持有人大会审议，且不得通过召开基金份额持有人大会的方式延续本《基金合同》期限。 </w:t>
      </w:r>
    </w:p>
    <w:p w:rsidR="00FB1E01" w:rsidRDefault="00B83A8A">
      <w:pPr>
        <w:pStyle w:val="div"/>
        <w:spacing w:line="360" w:lineRule="auto"/>
        <w:ind w:firstLine="480"/>
        <w:jc w:val="left"/>
        <w:rPr>
          <w:rFonts w:ascii="宋体" w:hAnsi="宋体" w:cs="宋体"/>
          <w:kern w:val="0"/>
          <w:sz w:val="24"/>
          <w:szCs w:val="24"/>
        </w:rPr>
      </w:pPr>
      <w:r>
        <w:rPr>
          <w:rFonts w:ascii="宋体" w:hAnsi="宋体" w:cs="宋体"/>
          <w:kern w:val="0"/>
          <w:sz w:val="24"/>
          <w:szCs w:val="24"/>
        </w:rPr>
        <w:t xml:space="preserve">如届时有效的法律法规或中国证监会规定发生变化，上述终止规定被取消、更改或补充的，则本基金按照届时有效的法律法规或中国证监会规定执行。 </w:t>
      </w:r>
    </w:p>
    <w:p w:rsidR="00FB1E01" w:rsidRDefault="00B83A8A">
      <w:pPr>
        <w:pStyle w:val="div"/>
        <w:spacing w:line="360" w:lineRule="auto"/>
        <w:ind w:firstLine="480"/>
        <w:jc w:val="left"/>
        <w:rPr>
          <w:rFonts w:ascii="宋体" w:hAnsi="宋体" w:cs="宋体"/>
          <w:kern w:val="0"/>
          <w:sz w:val="24"/>
          <w:szCs w:val="24"/>
        </w:rPr>
      </w:pPr>
      <w:r>
        <w:rPr>
          <w:rFonts w:ascii="宋体" w:hAnsi="宋体" w:cs="宋体"/>
          <w:kern w:val="0"/>
          <w:sz w:val="24"/>
          <w:szCs w:val="24"/>
        </w:rPr>
        <w:t xml:space="preserve">《基金合同》生效三年后继续存续的，基金存续期内，连续20个工作日出现基金份额持有人数量不满200人或者基金资产净值低于5000万元情形的，基金管理人应当在定期报告中予以披露；连续60个工作日出现前述情形的，本基金合同将终止并进行基金财产清算，且无需召开基金份额持有人大会，同时基金管理人应履行相关的监管报告和信息披露程序。 </w:t>
      </w:r>
    </w:p>
    <w:p w:rsidR="00FB1E01" w:rsidRDefault="00B83A8A">
      <w:pPr>
        <w:pStyle w:val="div"/>
        <w:spacing w:line="360" w:lineRule="auto"/>
        <w:ind w:firstLine="480"/>
        <w:jc w:val="left"/>
        <w:rPr>
          <w:rFonts w:ascii="宋体" w:hAnsi="宋体" w:cs="宋体"/>
          <w:kern w:val="0"/>
          <w:sz w:val="24"/>
          <w:szCs w:val="24"/>
        </w:rPr>
      </w:pPr>
      <w:r>
        <w:rPr>
          <w:rFonts w:ascii="宋体" w:hAnsi="宋体" w:cs="宋体"/>
          <w:kern w:val="0"/>
          <w:sz w:val="24"/>
          <w:szCs w:val="24"/>
        </w:rPr>
        <w:t xml:space="preserve">法律法规或监管部门另有规定时，从其规定。 </w:t>
      </w:r>
    </w:p>
    <w:p w:rsidR="00FB1E01" w:rsidRDefault="00B83A8A">
      <w:pPr>
        <w:pStyle w:val="div"/>
        <w:spacing w:line="360" w:lineRule="auto"/>
        <w:ind w:firstLine="480"/>
        <w:jc w:val="left"/>
        <w:rPr>
          <w:rFonts w:ascii="宋体" w:hAnsi="宋体" w:cs="宋体"/>
          <w:kern w:val="0"/>
          <w:sz w:val="24"/>
          <w:szCs w:val="24"/>
        </w:rPr>
      </w:pPr>
      <w:r>
        <w:rPr>
          <w:rFonts w:ascii="宋体" w:hAnsi="宋体" w:cs="宋体"/>
          <w:kern w:val="0"/>
          <w:sz w:val="24"/>
          <w:szCs w:val="24"/>
        </w:rPr>
        <w:t>（4）本公告仅对本基金第12个开放期办理申购、赎回业务的有关事项予以说明。投资者欲了解本基金的详细情况，可登录本基金管理人网站（www.ubssdic.com）查阅基金合同、招募说明书、基金产品资料概要等资料。投资者还可拨打本公司客服电话（400-880-6868)或代销机构咨询电话咨询基金的相关事宜。</w:t>
      </w:r>
    </w:p>
    <w:p w:rsidR="00FB1E01" w:rsidRDefault="00B83A8A">
      <w:pPr>
        <w:pStyle w:val="div"/>
        <w:spacing w:line="360" w:lineRule="auto"/>
        <w:ind w:firstLine="480"/>
        <w:rPr>
          <w:rFonts w:eastAsia="Times New Roman"/>
          <w:kern w:val="0"/>
          <w:sz w:val="24"/>
          <w:szCs w:val="24"/>
        </w:rPr>
      </w:pPr>
      <w:r>
        <w:rPr>
          <w:rFonts w:ascii="宋体" w:hAnsi="宋体" w:cs="宋体"/>
          <w:kern w:val="0"/>
          <w:sz w:val="24"/>
          <w:szCs w:val="24"/>
        </w:rPr>
        <w:t>风险提示：基金管理人依照恪尽职守、诚实信用、谨慎勤勉的原则管理和运用基金财产，但不保证基金一定盈利，也不保证最低收益。投资有风险，投资人申购本基金时应认真阅读《基金合同》、《招募说明书》、《基金产品资料概要》等相关法律文件。</w:t>
      </w:r>
    </w:p>
    <w:p w:rsidR="00FB1E01" w:rsidRDefault="00FB1E01">
      <w:pPr>
        <w:pStyle w:val="p"/>
        <w:spacing w:line="360" w:lineRule="auto"/>
        <w:ind w:firstLine="480"/>
        <w:jc w:val="left"/>
        <w:rPr>
          <w:rFonts w:eastAsia="Times New Roman"/>
          <w:kern w:val="0"/>
          <w:sz w:val="24"/>
          <w:szCs w:val="24"/>
        </w:rPr>
      </w:pPr>
    </w:p>
    <w:p w:rsidR="00FB1E01" w:rsidRDefault="00FB1E01">
      <w:pPr>
        <w:pStyle w:val="p"/>
        <w:spacing w:line="360" w:lineRule="auto"/>
        <w:ind w:firstLine="480"/>
        <w:jc w:val="left"/>
        <w:rPr>
          <w:rFonts w:eastAsia="Times New Roman"/>
          <w:kern w:val="0"/>
          <w:sz w:val="24"/>
          <w:szCs w:val="24"/>
        </w:rPr>
      </w:pPr>
    </w:p>
    <w:p w:rsidR="00FB1E01" w:rsidRDefault="00B83A8A">
      <w:pPr>
        <w:pStyle w:val="div"/>
        <w:spacing w:line="360" w:lineRule="auto"/>
        <w:ind w:firstLine="480"/>
        <w:jc w:val="right"/>
        <w:rPr>
          <w:rFonts w:eastAsia="Times New Roman"/>
          <w:kern w:val="0"/>
          <w:sz w:val="24"/>
          <w:szCs w:val="24"/>
        </w:rPr>
      </w:pPr>
      <w:r>
        <w:rPr>
          <w:rFonts w:ascii="宋体" w:hAnsi="宋体" w:cs="宋体"/>
          <w:kern w:val="0"/>
          <w:sz w:val="24"/>
          <w:szCs w:val="24"/>
        </w:rPr>
        <w:t>国投瑞银基金管理有限公司</w:t>
      </w:r>
    </w:p>
    <w:p w:rsidR="00FB1E01" w:rsidRDefault="00B83A8A">
      <w:pPr>
        <w:pStyle w:val="div"/>
        <w:widowControl/>
        <w:spacing w:line="360" w:lineRule="auto"/>
        <w:ind w:firstLine="480"/>
        <w:jc w:val="right"/>
        <w:rPr>
          <w:rFonts w:ascii="宋体" w:hAnsi="宋体" w:cs="宋体"/>
          <w:kern w:val="0"/>
          <w:sz w:val="24"/>
          <w:szCs w:val="24"/>
        </w:rPr>
      </w:pPr>
      <w:r>
        <w:rPr>
          <w:rFonts w:ascii="宋体" w:hAnsi="宋体" w:cs="宋体"/>
          <w:kern w:val="0"/>
          <w:sz w:val="24"/>
          <w:szCs w:val="24"/>
        </w:rPr>
        <w:t>2024年2月28日</w:t>
      </w:r>
    </w:p>
    <w:sectPr w:rsidR="00FB1E01" w:rsidSect="00515D0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A8A" w:rsidRDefault="00B83A8A">
      <w:r>
        <w:separator/>
      </w:r>
    </w:p>
  </w:endnote>
  <w:endnote w:type="continuationSeparator" w:id="0">
    <w:p w:rsidR="00B83A8A" w:rsidRDefault="00B83A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E01" w:rsidRDefault="00515D08">
    <w:pPr>
      <w:pStyle w:val="a9"/>
      <w:jc w:val="center"/>
      <w:rPr>
        <w:color w:val="000000" w:themeColor="text1"/>
      </w:rPr>
    </w:pPr>
    <w:r>
      <w:rPr>
        <w:color w:val="000000" w:themeColor="text1"/>
      </w:rPr>
      <w:fldChar w:fldCharType="begin"/>
    </w:r>
    <w:r w:rsidR="00B83A8A">
      <w:rPr>
        <w:color w:val="000000" w:themeColor="text1"/>
      </w:rPr>
      <w:instrText>PAGE   \* MERGEFORMAT</w:instrText>
    </w:r>
    <w:r>
      <w:rPr>
        <w:color w:val="000000" w:themeColor="text1"/>
      </w:rPr>
      <w:fldChar w:fldCharType="separate"/>
    </w:r>
    <w:r w:rsidR="003D689D" w:rsidRPr="003D689D">
      <w:rPr>
        <w:noProof/>
        <w:color w:val="000000" w:themeColor="text1"/>
        <w:lang w:val="zh-CN"/>
      </w:rPr>
      <w:t>2</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A8A" w:rsidRDefault="00B83A8A">
      <w:r>
        <w:separator/>
      </w:r>
    </w:p>
  </w:footnote>
  <w:footnote w:type="continuationSeparator" w:id="0">
    <w:p w:rsidR="00B83A8A" w:rsidRDefault="00B83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D689D"/>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5D08"/>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4E8A"/>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3A8A"/>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1E01"/>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qFormat="1"/>
    <w:lsdException w:name="toc 2" w:uiPriority="39" w:unhideWhenUsed="1"/>
    <w:lsdException w:name="toc 3"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semiHidden="0" w:uiPriority="0" w:qFormat="1"/>
    <w:lsdException w:name="annotation text" w:semiHidden="0" w:uiPriority="0" w:qFormat="1"/>
    <w:lsdException w:name="header" w:semiHidden="0" w:qFormat="1"/>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semiHidden="0" w:uiPriority="0"/>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uiPriority="0" w:qFormat="1"/>
    <w:lsdException w:name="FollowedHyperlink" w:unhideWhenUsed="1"/>
    <w:lsdException w:name="Strong" w:semiHidden="0" w:uiPriority="22" w:qFormat="1"/>
    <w:lsdException w:name="Emphasis" w:semiHidden="0" w:uiPriority="20" w:qFormat="1"/>
    <w:lsdException w:name="Document Map" w:semiHidden="0"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semiHidden="0" w:uiPriority="0"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uiPriority="0" w:qFormat="1"/>
    <w:lsdException w:name="Table Grid" w:uiPriority="59" w:unhideWhenUsed="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15D08"/>
    <w:pPr>
      <w:widowControl w:val="0"/>
      <w:jc w:val="both"/>
    </w:pPr>
    <w:rPr>
      <w:kern w:val="2"/>
      <w:sz w:val="21"/>
      <w:lang w:eastAsia="zh-CN"/>
    </w:rPr>
  </w:style>
  <w:style w:type="paragraph" w:styleId="1">
    <w:name w:val="heading 1"/>
    <w:basedOn w:val="a"/>
    <w:next w:val="a"/>
    <w:link w:val="1Char"/>
    <w:qFormat/>
    <w:rsid w:val="00515D08"/>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515D08"/>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15D08"/>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515D08"/>
    <w:pPr>
      <w:ind w:firstLineChars="200" w:firstLine="420"/>
    </w:pPr>
  </w:style>
  <w:style w:type="paragraph" w:styleId="a4">
    <w:name w:val="Document Map"/>
    <w:basedOn w:val="a"/>
    <w:qFormat/>
    <w:rsid w:val="00515D08"/>
    <w:pPr>
      <w:shd w:val="clear" w:color="auto" w:fill="000080"/>
    </w:pPr>
  </w:style>
  <w:style w:type="paragraph" w:styleId="a5">
    <w:name w:val="annotation text"/>
    <w:basedOn w:val="a"/>
    <w:link w:val="Char"/>
    <w:qFormat/>
    <w:rsid w:val="00515D08"/>
    <w:pPr>
      <w:jc w:val="left"/>
    </w:pPr>
  </w:style>
  <w:style w:type="paragraph" w:styleId="a6">
    <w:name w:val="Body Text"/>
    <w:basedOn w:val="a"/>
    <w:link w:val="Char0"/>
    <w:qFormat/>
    <w:rsid w:val="00515D08"/>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515D08"/>
    <w:pPr>
      <w:ind w:leftChars="400" w:left="840"/>
    </w:pPr>
  </w:style>
  <w:style w:type="paragraph" w:styleId="a7">
    <w:name w:val="Plain Text"/>
    <w:basedOn w:val="a"/>
    <w:qFormat/>
    <w:rsid w:val="00515D08"/>
    <w:pPr>
      <w:adjustRightInd w:val="0"/>
      <w:spacing w:line="312" w:lineRule="atLeast"/>
      <w:textAlignment w:val="baseline"/>
    </w:pPr>
    <w:rPr>
      <w:rFonts w:ascii="宋体" w:hAnsi="Courier New"/>
      <w:kern w:val="0"/>
    </w:rPr>
  </w:style>
  <w:style w:type="paragraph" w:styleId="20">
    <w:name w:val="Body Text Indent 2"/>
    <w:basedOn w:val="a"/>
    <w:qFormat/>
    <w:rsid w:val="00515D08"/>
    <w:pPr>
      <w:spacing w:line="360" w:lineRule="auto"/>
      <w:ind w:firstLine="425"/>
    </w:pPr>
    <w:rPr>
      <w:rFonts w:ascii="仿宋_GB2312" w:eastAsia="仿宋_GB2312"/>
      <w:sz w:val="28"/>
    </w:rPr>
  </w:style>
  <w:style w:type="paragraph" w:styleId="a8">
    <w:name w:val="Balloon Text"/>
    <w:basedOn w:val="a"/>
    <w:qFormat/>
    <w:rsid w:val="00515D08"/>
    <w:rPr>
      <w:sz w:val="18"/>
    </w:rPr>
  </w:style>
  <w:style w:type="paragraph" w:styleId="a9">
    <w:name w:val="footer"/>
    <w:basedOn w:val="a"/>
    <w:link w:val="Char1"/>
    <w:uiPriority w:val="99"/>
    <w:qFormat/>
    <w:rsid w:val="00515D08"/>
    <w:pPr>
      <w:tabs>
        <w:tab w:val="center" w:pos="4153"/>
        <w:tab w:val="right" w:pos="8306"/>
      </w:tabs>
      <w:snapToGrid w:val="0"/>
      <w:jc w:val="left"/>
    </w:pPr>
    <w:rPr>
      <w:sz w:val="18"/>
    </w:rPr>
  </w:style>
  <w:style w:type="paragraph" w:styleId="aa">
    <w:name w:val="header"/>
    <w:basedOn w:val="a"/>
    <w:link w:val="Char2"/>
    <w:uiPriority w:val="99"/>
    <w:qFormat/>
    <w:rsid w:val="00515D08"/>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515D08"/>
    <w:pPr>
      <w:tabs>
        <w:tab w:val="right" w:leader="dot" w:pos="8296"/>
      </w:tabs>
      <w:spacing w:line="360" w:lineRule="auto"/>
    </w:pPr>
  </w:style>
  <w:style w:type="paragraph" w:styleId="ab">
    <w:name w:val="footnote text"/>
    <w:basedOn w:val="a"/>
    <w:qFormat/>
    <w:rsid w:val="00515D08"/>
    <w:pPr>
      <w:snapToGrid w:val="0"/>
      <w:jc w:val="left"/>
    </w:pPr>
    <w:rPr>
      <w:sz w:val="18"/>
    </w:rPr>
  </w:style>
  <w:style w:type="paragraph" w:styleId="31">
    <w:name w:val="Body Text Indent 3"/>
    <w:basedOn w:val="a"/>
    <w:qFormat/>
    <w:rsid w:val="00515D08"/>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515D08"/>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515D08"/>
    <w:pPr>
      <w:spacing w:before="240" w:after="60"/>
      <w:jc w:val="center"/>
      <w:outlineLvl w:val="0"/>
    </w:pPr>
    <w:rPr>
      <w:rFonts w:ascii="Cambria" w:hAnsi="Cambria"/>
      <w:b/>
      <w:sz w:val="32"/>
      <w:lang w:val="zh-CN"/>
    </w:rPr>
  </w:style>
  <w:style w:type="paragraph" w:styleId="ae">
    <w:name w:val="annotation subject"/>
    <w:basedOn w:val="a5"/>
    <w:next w:val="a5"/>
    <w:qFormat/>
    <w:rsid w:val="00515D08"/>
    <w:rPr>
      <w:b/>
    </w:rPr>
  </w:style>
  <w:style w:type="character" w:styleId="af">
    <w:name w:val="page number"/>
    <w:basedOn w:val="a0"/>
    <w:rsid w:val="00515D08"/>
  </w:style>
  <w:style w:type="character" w:styleId="af0">
    <w:name w:val="Hyperlink"/>
    <w:qFormat/>
    <w:rsid w:val="00515D08"/>
    <w:rPr>
      <w:color w:val="0000FF"/>
      <w:u w:val="single"/>
    </w:rPr>
  </w:style>
  <w:style w:type="character" w:styleId="af1">
    <w:name w:val="annotation reference"/>
    <w:rsid w:val="00515D08"/>
    <w:rPr>
      <w:sz w:val="21"/>
    </w:rPr>
  </w:style>
  <w:style w:type="character" w:styleId="af2">
    <w:name w:val="footnote reference"/>
    <w:rsid w:val="00515D08"/>
    <w:rPr>
      <w:vertAlign w:val="superscript"/>
    </w:rPr>
  </w:style>
  <w:style w:type="character" w:customStyle="1" w:styleId="Char0">
    <w:name w:val="正文文本 Char"/>
    <w:link w:val="a6"/>
    <w:rsid w:val="00515D08"/>
    <w:rPr>
      <w:rFonts w:ascii="宋体"/>
      <w:lang w:val="zh-CN" w:eastAsia="zh-CN"/>
    </w:rPr>
  </w:style>
  <w:style w:type="character" w:customStyle="1" w:styleId="unnamed11">
    <w:name w:val="unnamed11"/>
    <w:rsid w:val="00515D08"/>
    <w:rPr>
      <w:rFonts w:ascii="宋体" w:eastAsia="宋体" w:hAnsi="宋体" w:hint="eastAsia"/>
      <w:sz w:val="18"/>
    </w:rPr>
  </w:style>
  <w:style w:type="character" w:customStyle="1" w:styleId="Char3">
    <w:name w:val="标题 Char"/>
    <w:link w:val="ad"/>
    <w:rsid w:val="00515D08"/>
    <w:rPr>
      <w:rFonts w:ascii="Cambria" w:hAnsi="Cambria"/>
      <w:b/>
      <w:kern w:val="2"/>
      <w:sz w:val="32"/>
      <w:lang w:val="zh-CN" w:eastAsia="zh-CN"/>
    </w:rPr>
  </w:style>
  <w:style w:type="character" w:customStyle="1" w:styleId="Char2">
    <w:name w:val="页眉 Char"/>
    <w:link w:val="aa"/>
    <w:uiPriority w:val="99"/>
    <w:qFormat/>
    <w:rsid w:val="00515D08"/>
    <w:rPr>
      <w:kern w:val="2"/>
      <w:sz w:val="18"/>
    </w:rPr>
  </w:style>
  <w:style w:type="character" w:customStyle="1" w:styleId="read">
    <w:name w:val="read"/>
    <w:basedOn w:val="a0"/>
    <w:qFormat/>
    <w:rsid w:val="00515D08"/>
  </w:style>
  <w:style w:type="paragraph" w:customStyle="1" w:styleId="CharChar">
    <w:name w:val="Char Char"/>
    <w:basedOn w:val="a"/>
    <w:qFormat/>
    <w:rsid w:val="00515D08"/>
  </w:style>
  <w:style w:type="paragraph" w:customStyle="1" w:styleId="Default">
    <w:name w:val="Default"/>
    <w:qFormat/>
    <w:rsid w:val="00515D08"/>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515D08"/>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515D08"/>
    <w:pPr>
      <w:widowControl/>
      <w:numPr>
        <w:numId w:val="1"/>
      </w:numPr>
      <w:jc w:val="left"/>
    </w:pPr>
    <w:rPr>
      <w:kern w:val="0"/>
      <w:sz w:val="24"/>
    </w:rPr>
  </w:style>
  <w:style w:type="paragraph" w:customStyle="1" w:styleId="msonormal1">
    <w:name w:val="msonormal1"/>
    <w:qFormat/>
    <w:rsid w:val="00515D08"/>
    <w:pPr>
      <w:widowControl w:val="0"/>
      <w:jc w:val="both"/>
    </w:pPr>
    <w:rPr>
      <w:kern w:val="2"/>
      <w:sz w:val="21"/>
      <w:lang w:eastAsia="zh-CN"/>
    </w:rPr>
  </w:style>
  <w:style w:type="paragraph" w:customStyle="1" w:styleId="af3">
    <w:name w:val="正文正文"/>
    <w:basedOn w:val="a"/>
    <w:qFormat/>
    <w:rsid w:val="00515D08"/>
    <w:pPr>
      <w:spacing w:afterLines="25" w:line="360" w:lineRule="auto"/>
      <w:ind w:firstLineChars="200" w:firstLine="200"/>
    </w:pPr>
    <w:rPr>
      <w:sz w:val="24"/>
    </w:rPr>
  </w:style>
  <w:style w:type="paragraph" w:customStyle="1" w:styleId="Char4">
    <w:name w:val="Char"/>
    <w:basedOn w:val="a"/>
    <w:qFormat/>
    <w:rsid w:val="00515D08"/>
  </w:style>
  <w:style w:type="paragraph" w:customStyle="1" w:styleId="Char10">
    <w:name w:val="Char1"/>
    <w:basedOn w:val="a"/>
    <w:qFormat/>
    <w:rsid w:val="00515D08"/>
  </w:style>
  <w:style w:type="paragraph" w:customStyle="1" w:styleId="CharCharChar">
    <w:name w:val="Char Char Char"/>
    <w:basedOn w:val="a"/>
    <w:qFormat/>
    <w:rsid w:val="00515D08"/>
  </w:style>
  <w:style w:type="paragraph" w:customStyle="1" w:styleId="InfoBlue">
    <w:name w:val="InfoBlue"/>
    <w:basedOn w:val="a"/>
    <w:next w:val="a6"/>
    <w:qFormat/>
    <w:rsid w:val="00515D08"/>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515D08"/>
    <w:pPr>
      <w:tabs>
        <w:tab w:val="left" w:pos="360"/>
      </w:tabs>
    </w:pPr>
  </w:style>
  <w:style w:type="paragraph" w:customStyle="1" w:styleId="CharChar1">
    <w:name w:val="Char Char1"/>
    <w:basedOn w:val="a"/>
    <w:qFormat/>
    <w:rsid w:val="00515D08"/>
  </w:style>
  <w:style w:type="paragraph" w:customStyle="1" w:styleId="af4">
    <w:name w:val="正文所"/>
    <w:basedOn w:val="a"/>
    <w:qFormat/>
    <w:rsid w:val="00515D08"/>
    <w:pPr>
      <w:spacing w:line="360" w:lineRule="auto"/>
      <w:ind w:firstLineChars="200" w:firstLine="420"/>
    </w:pPr>
    <w:rPr>
      <w:rFonts w:ascii="宋体"/>
    </w:rPr>
  </w:style>
  <w:style w:type="paragraph" w:customStyle="1" w:styleId="11">
    <w:name w:val="修订1"/>
    <w:hidden/>
    <w:uiPriority w:val="99"/>
    <w:semiHidden/>
    <w:qFormat/>
    <w:rsid w:val="00515D08"/>
    <w:rPr>
      <w:kern w:val="2"/>
      <w:sz w:val="21"/>
      <w:lang w:eastAsia="zh-CN"/>
    </w:rPr>
  </w:style>
  <w:style w:type="character" w:customStyle="1" w:styleId="1Char">
    <w:name w:val="标题 1 Char"/>
    <w:link w:val="1"/>
    <w:qFormat/>
    <w:rsid w:val="00515D08"/>
    <w:rPr>
      <w:rFonts w:ascii="宋体"/>
      <w:b/>
      <w:color w:val="000000"/>
      <w:sz w:val="24"/>
    </w:rPr>
  </w:style>
  <w:style w:type="character" w:customStyle="1" w:styleId="Char">
    <w:name w:val="批注文字 Char"/>
    <w:link w:val="a5"/>
    <w:qFormat/>
    <w:rsid w:val="00515D08"/>
    <w:rPr>
      <w:kern w:val="2"/>
      <w:sz w:val="21"/>
    </w:rPr>
  </w:style>
  <w:style w:type="paragraph" w:customStyle="1" w:styleId="CharChar2">
    <w:name w:val="Char Char2"/>
    <w:basedOn w:val="a"/>
    <w:qFormat/>
    <w:rsid w:val="00515D08"/>
  </w:style>
  <w:style w:type="paragraph" w:customStyle="1" w:styleId="CharChar3">
    <w:name w:val="Char Char3"/>
    <w:basedOn w:val="a"/>
    <w:qFormat/>
    <w:rsid w:val="00515D08"/>
  </w:style>
  <w:style w:type="paragraph" w:customStyle="1" w:styleId="Char20">
    <w:name w:val="Char2"/>
    <w:basedOn w:val="a"/>
    <w:qFormat/>
    <w:rsid w:val="00515D08"/>
  </w:style>
  <w:style w:type="paragraph" w:customStyle="1" w:styleId="CharCharChar1">
    <w:name w:val="Char Char Char1"/>
    <w:basedOn w:val="a"/>
    <w:qFormat/>
    <w:rsid w:val="00515D08"/>
  </w:style>
  <w:style w:type="paragraph" w:customStyle="1" w:styleId="CharCharCharChar1">
    <w:name w:val="Char Char Char Char1"/>
    <w:basedOn w:val="a"/>
    <w:qFormat/>
    <w:rsid w:val="00515D08"/>
    <w:pPr>
      <w:tabs>
        <w:tab w:val="left" w:pos="360"/>
      </w:tabs>
    </w:pPr>
  </w:style>
  <w:style w:type="paragraph" w:customStyle="1" w:styleId="CharChar11">
    <w:name w:val="Char Char11"/>
    <w:basedOn w:val="a"/>
    <w:qFormat/>
    <w:rsid w:val="00515D08"/>
  </w:style>
  <w:style w:type="paragraph" w:customStyle="1" w:styleId="CharChar4">
    <w:name w:val="Char Char4"/>
    <w:basedOn w:val="a"/>
    <w:qFormat/>
    <w:rsid w:val="00515D08"/>
  </w:style>
  <w:style w:type="paragraph" w:styleId="af5">
    <w:name w:val="List Paragraph"/>
    <w:basedOn w:val="a"/>
    <w:uiPriority w:val="34"/>
    <w:qFormat/>
    <w:rsid w:val="00515D08"/>
    <w:pPr>
      <w:ind w:firstLineChars="200" w:firstLine="420"/>
    </w:pPr>
  </w:style>
  <w:style w:type="paragraph" w:customStyle="1" w:styleId="CharChar12">
    <w:name w:val="Char Char12"/>
    <w:basedOn w:val="a"/>
    <w:qFormat/>
    <w:rsid w:val="00515D08"/>
  </w:style>
  <w:style w:type="paragraph" w:customStyle="1" w:styleId="Char30">
    <w:name w:val="Char3"/>
    <w:basedOn w:val="a"/>
    <w:qFormat/>
    <w:rsid w:val="00515D08"/>
  </w:style>
  <w:style w:type="paragraph" w:customStyle="1" w:styleId="CharChar13">
    <w:name w:val="Char Char13"/>
    <w:basedOn w:val="a"/>
    <w:qFormat/>
    <w:rsid w:val="00515D08"/>
  </w:style>
  <w:style w:type="paragraph" w:customStyle="1" w:styleId="Char40">
    <w:name w:val="Char4"/>
    <w:basedOn w:val="a"/>
    <w:qFormat/>
    <w:rsid w:val="00515D08"/>
  </w:style>
  <w:style w:type="paragraph" w:customStyle="1" w:styleId="CharChar14">
    <w:name w:val="Char Char14"/>
    <w:basedOn w:val="a"/>
    <w:qFormat/>
    <w:rsid w:val="00515D08"/>
  </w:style>
  <w:style w:type="paragraph" w:customStyle="1" w:styleId="Char5">
    <w:name w:val="Char5"/>
    <w:basedOn w:val="a"/>
    <w:qFormat/>
    <w:rsid w:val="00515D08"/>
  </w:style>
  <w:style w:type="paragraph" w:customStyle="1" w:styleId="CharChar5">
    <w:name w:val="Char Char5"/>
    <w:basedOn w:val="a"/>
    <w:qFormat/>
    <w:rsid w:val="00515D08"/>
  </w:style>
  <w:style w:type="character" w:customStyle="1" w:styleId="Char1">
    <w:name w:val="页脚 Char"/>
    <w:basedOn w:val="a0"/>
    <w:link w:val="a9"/>
    <w:uiPriority w:val="99"/>
    <w:qFormat/>
    <w:rsid w:val="00515D08"/>
    <w:rPr>
      <w:kern w:val="2"/>
      <w:sz w:val="18"/>
    </w:rPr>
  </w:style>
  <w:style w:type="paragraph" w:customStyle="1" w:styleId="p">
    <w:name w:val="p"/>
    <w:basedOn w:val="a"/>
    <w:rsid w:val="00515D08"/>
  </w:style>
  <w:style w:type="paragraph" w:customStyle="1" w:styleId="div">
    <w:name w:val="div"/>
    <w:basedOn w:val="a"/>
    <w:rsid w:val="00515D08"/>
  </w:style>
  <w:style w:type="character" w:customStyle="1" w:styleId="custom">
    <w:name w:val="custom"/>
    <w:basedOn w:val="a0"/>
    <w:rsid w:val="00515D08"/>
  </w:style>
  <w:style w:type="character" w:customStyle="1" w:styleId="serial-tag">
    <w:name w:val="serial-tag"/>
    <w:basedOn w:val="a0"/>
    <w:rsid w:val="00515D08"/>
  </w:style>
  <w:style w:type="table" w:customStyle="1" w:styleId="table">
    <w:name w:val="table"/>
    <w:basedOn w:val="a1"/>
    <w:rsid w:val="00515D08"/>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8A644-6C1E-4E8D-A282-9B1D10BF5B63}">
  <ds:schemaRefs>
    <ds:schemaRef ds:uri="http://schemas.openxmlformats.org/officeDocument/2006/bibliography"/>
  </ds:schemaRefs>
</ds:datastoreItem>
</file>

<file path=customXml/itemProps2.xml><?xml version="1.0" encoding="utf-8"?>
<ds:datastoreItem xmlns:ds="http://schemas.openxmlformats.org/officeDocument/2006/customXml" ds:itemID="{564EEDF5-68F0-4645-8AEF-331CCCDE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4042</Characters>
  <Application>Microsoft Office Word</Application>
  <DocSecurity>4</DocSecurity>
  <Lines>33</Lines>
  <Paragraphs>9</Paragraphs>
  <ScaleCrop>false</ScaleCrop>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2024-02-27T16:00:00Z</dcterms:created>
  <dcterms:modified xsi:type="dcterms:W3CDTF">2024-02-27T16:00:00Z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