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95" w:rsidRDefault="005E32CC">
      <w:pPr>
        <w:spacing w:line="360" w:lineRule="auto"/>
        <w:jc w:val="center"/>
        <w:rPr>
          <w:rFonts w:ascii="宋体" w:eastAsia="宋体" w:hAnsi="宋体"/>
          <w:b/>
          <w:bCs/>
          <w:color w:val="000000"/>
          <w:sz w:val="28"/>
          <w:szCs w:val="32"/>
        </w:rPr>
      </w:pPr>
      <w:r>
        <w:rPr>
          <w:rFonts w:ascii="宋体" w:eastAsia="宋体" w:hAnsi="宋体" w:hint="eastAsia"/>
          <w:b/>
          <w:bCs/>
          <w:color w:val="000000"/>
          <w:sz w:val="28"/>
          <w:szCs w:val="32"/>
        </w:rPr>
        <w:t>博时基金管理有限公司关于博时量化多策略股票型证券投资基金证券交易结算模式转换有关事项的公告</w:t>
      </w:r>
    </w:p>
    <w:p w:rsidR="00D44595" w:rsidRDefault="00D44595">
      <w:pPr>
        <w:spacing w:line="360" w:lineRule="auto"/>
        <w:jc w:val="left"/>
        <w:rPr>
          <w:rFonts w:ascii="宋体" w:eastAsia="宋体" w:hAnsi="宋体"/>
          <w:color w:val="000000"/>
          <w:sz w:val="24"/>
        </w:rPr>
      </w:pPr>
    </w:p>
    <w:p w:rsidR="00D44595" w:rsidRDefault="005E32CC">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为更好地满足投资者的需求，提升博时量化多策略股票型证券投资基金（以下简称“本基金”）的市场竞争力，博时基金管理有限公司（以下简称“本基金管理人”）根据《中华人民共和国证券投资基金法》、《公开募集证券投资基金运作管理办法》等法律法规的有关规定和《博时量化多策略股票型证券投资基金基金合同》（以下简称“《基金合同》”）的有关约定，经与基金托管人招商银行股份有限公司协商一致，并履行适当程序后，决定转换本基金的证券交易结算模式，由托管人交易结算模式改为证券经纪商交易结算结算模式，并相应修改《博时量化多策略股票型证券投</w:t>
      </w:r>
      <w:r>
        <w:rPr>
          <w:rFonts w:ascii="宋体" w:eastAsia="宋体" w:hAnsi="宋体" w:cs="宋体" w:hint="eastAsia"/>
          <w:color w:val="000000"/>
          <w:szCs w:val="21"/>
        </w:rPr>
        <w:t>资基金托管协议》（以下简称“《托管协议》”）的相关内容，现将具体事宜公告如下：</w:t>
      </w:r>
      <w:r>
        <w:rPr>
          <w:rFonts w:ascii="宋体" w:eastAsia="宋体" w:hAnsi="宋体" w:cs="宋体" w:hint="eastAsia"/>
          <w:color w:val="000000"/>
          <w:szCs w:val="21"/>
        </w:rPr>
        <w:t xml:space="preserve"> </w:t>
      </w:r>
    </w:p>
    <w:p w:rsidR="00D44595" w:rsidRDefault="00D44595">
      <w:pPr>
        <w:spacing w:line="360" w:lineRule="auto"/>
        <w:ind w:firstLineChars="200" w:firstLine="420"/>
        <w:jc w:val="left"/>
        <w:rPr>
          <w:rFonts w:ascii="宋体" w:eastAsia="宋体" w:hAnsi="宋体" w:cs="宋体"/>
          <w:color w:val="000000"/>
          <w:szCs w:val="21"/>
        </w:rPr>
      </w:pPr>
    </w:p>
    <w:p w:rsidR="00D44595" w:rsidRDefault="005E32CC">
      <w:pPr>
        <w:spacing w:line="360" w:lineRule="auto"/>
        <w:ind w:firstLine="420"/>
        <w:jc w:val="left"/>
        <w:rPr>
          <w:rFonts w:ascii="宋体" w:eastAsia="宋体" w:hAnsi="宋体" w:cs="宋体"/>
          <w:b/>
          <w:bCs/>
          <w:color w:val="000000"/>
          <w:szCs w:val="21"/>
        </w:rPr>
      </w:pPr>
      <w:r>
        <w:rPr>
          <w:rFonts w:ascii="宋体" w:eastAsia="宋体" w:hAnsi="宋体" w:cs="宋体" w:hint="eastAsia"/>
          <w:b/>
          <w:bCs/>
          <w:color w:val="000000"/>
          <w:szCs w:val="21"/>
        </w:rPr>
        <w:t>一、证券交易结算模式转换</w:t>
      </w:r>
      <w:r>
        <w:rPr>
          <w:rFonts w:ascii="宋体" w:eastAsia="宋体" w:hAnsi="宋体" w:cs="宋体" w:hint="eastAsia"/>
          <w:b/>
          <w:bCs/>
          <w:color w:val="000000"/>
          <w:szCs w:val="21"/>
        </w:rPr>
        <w:t xml:space="preserve"> </w:t>
      </w:r>
    </w:p>
    <w:p w:rsidR="00D44595" w:rsidRDefault="005E32CC">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自</w:t>
      </w: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2</w:t>
      </w:r>
      <w:r>
        <w:rPr>
          <w:rFonts w:ascii="宋体" w:eastAsia="宋体" w:hAnsi="宋体" w:cs="宋体" w:hint="eastAsia"/>
          <w:color w:val="000000"/>
          <w:szCs w:val="21"/>
        </w:rPr>
        <w:t>月</w:t>
      </w:r>
      <w:r>
        <w:rPr>
          <w:rFonts w:ascii="宋体" w:eastAsia="宋体" w:hAnsi="宋体" w:cs="宋体" w:hint="eastAsia"/>
          <w:color w:val="000000"/>
          <w:szCs w:val="21"/>
        </w:rPr>
        <w:t>29</w:t>
      </w:r>
      <w:r>
        <w:rPr>
          <w:rFonts w:ascii="宋体" w:eastAsia="宋体" w:hAnsi="宋体" w:cs="宋体" w:hint="eastAsia"/>
          <w:color w:val="000000"/>
          <w:szCs w:val="21"/>
        </w:rPr>
        <w:t>日起，本基金将启动证券交易结算模式的转换工作。转换后，本基金的证券交易所交易结算将委托证券公司办理，由证券公司履行场内证券交易结算管理职责。</w:t>
      </w:r>
      <w:r>
        <w:rPr>
          <w:rFonts w:ascii="宋体" w:eastAsia="宋体" w:hAnsi="宋体" w:cs="宋体" w:hint="eastAsia"/>
          <w:color w:val="000000"/>
          <w:szCs w:val="21"/>
        </w:rPr>
        <w:t xml:space="preserve"> </w:t>
      </w:r>
    </w:p>
    <w:p w:rsidR="00D44595" w:rsidRDefault="005E32CC">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本次证券交易结算模式转换对基金份额持有人利益无实质性不利影响，无需召开基金份额持有人大会。</w:t>
      </w:r>
      <w:r>
        <w:rPr>
          <w:rFonts w:ascii="宋体" w:eastAsia="宋体" w:hAnsi="宋体" w:cs="宋体" w:hint="eastAsia"/>
          <w:color w:val="000000"/>
          <w:szCs w:val="21"/>
        </w:rPr>
        <w:t xml:space="preserve"> </w:t>
      </w:r>
    </w:p>
    <w:p w:rsidR="00D44595" w:rsidRDefault="00D44595">
      <w:pPr>
        <w:spacing w:line="360" w:lineRule="auto"/>
        <w:ind w:firstLineChars="200" w:firstLine="420"/>
        <w:jc w:val="left"/>
        <w:rPr>
          <w:rFonts w:ascii="宋体" w:eastAsia="宋体" w:hAnsi="宋体" w:cs="宋体"/>
          <w:color w:val="000000"/>
          <w:szCs w:val="21"/>
        </w:rPr>
      </w:pPr>
    </w:p>
    <w:p w:rsidR="00D44595" w:rsidRDefault="005E32CC">
      <w:pPr>
        <w:spacing w:line="360" w:lineRule="auto"/>
        <w:ind w:firstLine="420"/>
        <w:jc w:val="left"/>
        <w:rPr>
          <w:rFonts w:ascii="宋体" w:eastAsia="宋体" w:hAnsi="宋体" w:cs="宋体"/>
          <w:b/>
          <w:bCs/>
          <w:color w:val="000000"/>
          <w:szCs w:val="21"/>
        </w:rPr>
      </w:pPr>
      <w:r>
        <w:rPr>
          <w:rFonts w:ascii="宋体" w:eastAsia="宋体" w:hAnsi="宋体" w:cs="宋体" w:hint="eastAsia"/>
          <w:b/>
          <w:bCs/>
          <w:color w:val="000000"/>
          <w:szCs w:val="21"/>
        </w:rPr>
        <w:t>二、托管协议的修订</w:t>
      </w:r>
    </w:p>
    <w:p w:rsidR="00D44595" w:rsidRDefault="005E32CC">
      <w:pPr>
        <w:adjustRightInd w:val="0"/>
        <w:snapToGrid w:val="0"/>
        <w:spacing w:line="360" w:lineRule="auto"/>
        <w:ind w:firstLine="480"/>
        <w:rPr>
          <w:rFonts w:ascii="宋体" w:eastAsia="宋体" w:hAnsi="宋体" w:cs="宋体"/>
          <w:color w:val="000000"/>
          <w:szCs w:val="21"/>
        </w:rPr>
      </w:pPr>
      <w:r>
        <w:rPr>
          <w:rFonts w:ascii="宋体" w:eastAsia="宋体" w:hAnsi="宋体" w:cs="宋体" w:hint="eastAsia"/>
          <w:color w:val="000000"/>
          <w:szCs w:val="21"/>
        </w:rPr>
        <w:t>因转换证券交易结算模式，本基金管理人拟对《托管协议》相关内容进行修订，具体修订内容详见本公告附件《</w:t>
      </w:r>
      <w:r>
        <w:rPr>
          <w:rFonts w:ascii="宋体" w:eastAsia="宋体" w:hAnsi="宋体" w:cs="宋体" w:hint="eastAsia"/>
          <w:color w:val="000000"/>
          <w:szCs w:val="21"/>
        </w:rPr>
        <w:t>&lt;</w:t>
      </w:r>
      <w:r>
        <w:rPr>
          <w:rFonts w:ascii="宋体" w:eastAsia="宋体" w:hAnsi="宋体" w:cs="宋体" w:hint="eastAsia"/>
          <w:color w:val="000000"/>
          <w:szCs w:val="21"/>
        </w:rPr>
        <w:t>托管协议</w:t>
      </w:r>
      <w:r>
        <w:rPr>
          <w:rFonts w:ascii="宋体" w:eastAsia="宋体" w:hAnsi="宋体" w:cs="宋体" w:hint="eastAsia"/>
          <w:color w:val="000000"/>
          <w:szCs w:val="21"/>
        </w:rPr>
        <w:t>&gt;</w:t>
      </w:r>
      <w:r>
        <w:rPr>
          <w:rFonts w:ascii="宋体" w:eastAsia="宋体" w:hAnsi="宋体" w:cs="宋体" w:hint="eastAsia"/>
          <w:color w:val="000000"/>
          <w:szCs w:val="21"/>
        </w:rPr>
        <w:t>修订对照表</w:t>
      </w:r>
      <w:r>
        <w:rPr>
          <w:rFonts w:ascii="宋体" w:eastAsia="宋体" w:hAnsi="宋体" w:cs="宋体" w:hint="eastAsia"/>
          <w:color w:val="000000"/>
          <w:szCs w:val="21"/>
        </w:rPr>
        <w:t>》。</w:t>
      </w:r>
    </w:p>
    <w:p w:rsidR="00D44595" w:rsidRDefault="00D44595">
      <w:pPr>
        <w:adjustRightInd w:val="0"/>
        <w:snapToGrid w:val="0"/>
        <w:spacing w:line="360" w:lineRule="auto"/>
        <w:ind w:firstLine="480"/>
        <w:rPr>
          <w:rFonts w:ascii="宋体" w:eastAsia="宋体" w:hAnsi="宋体" w:cs="宋体"/>
          <w:color w:val="000000"/>
          <w:szCs w:val="21"/>
        </w:rPr>
      </w:pPr>
    </w:p>
    <w:p w:rsidR="00D44595" w:rsidRDefault="005E32CC">
      <w:pPr>
        <w:spacing w:line="360" w:lineRule="auto"/>
        <w:ind w:firstLine="420"/>
        <w:rPr>
          <w:rFonts w:ascii="宋体" w:eastAsia="宋体" w:hAnsi="宋体" w:cs="宋体"/>
          <w:b/>
          <w:bCs/>
          <w:color w:val="000000"/>
          <w:szCs w:val="21"/>
        </w:rPr>
      </w:pPr>
      <w:r>
        <w:rPr>
          <w:rFonts w:ascii="宋体" w:eastAsia="宋体" w:hAnsi="宋体" w:cs="宋体" w:hint="eastAsia"/>
          <w:b/>
          <w:bCs/>
          <w:color w:val="000000"/>
          <w:szCs w:val="21"/>
        </w:rPr>
        <w:t>三、重要提示</w:t>
      </w:r>
    </w:p>
    <w:p w:rsidR="00D44595" w:rsidRDefault="005E32CC">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、本基金证券交易结算模式转换完成以及修订后的《托管协议》生效时间将另行公告，并将更新后的文件依照《公开募集证券投资基金信息披露管理办法》的有关规定在规定网站披露。</w:t>
      </w:r>
    </w:p>
    <w:p w:rsidR="00D44595" w:rsidRDefault="005E32CC">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、招募说明书涉及前述修订内容的，将一并修订更新，并依照《公开募集证券投资基金信息披露管理办法》的有关规定在规定媒介上公告。</w:t>
      </w:r>
    </w:p>
    <w:p w:rsidR="00D44595" w:rsidRDefault="005E32CC">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、投资者可通过以下途径了解或咨询详情。</w:t>
      </w:r>
      <w:r>
        <w:rPr>
          <w:rFonts w:ascii="宋体" w:eastAsia="宋体" w:hAnsi="宋体" w:cs="宋体" w:hint="eastAsia"/>
          <w:color w:val="000000"/>
          <w:szCs w:val="21"/>
        </w:rPr>
        <w:t xml:space="preserve"> </w:t>
      </w:r>
    </w:p>
    <w:p w:rsidR="00D44595" w:rsidRDefault="005E32CC">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lastRenderedPageBreak/>
        <w:t>公司网址：</w:t>
      </w:r>
      <w:r>
        <w:rPr>
          <w:rFonts w:ascii="宋体" w:eastAsia="宋体" w:hAnsi="宋体" w:cs="宋体" w:hint="eastAsia"/>
          <w:color w:val="000000"/>
          <w:szCs w:val="21"/>
        </w:rPr>
        <w:t xml:space="preserve">www.bosera.com </w:t>
      </w:r>
    </w:p>
    <w:p w:rsidR="00D44595" w:rsidRDefault="005E32CC">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博时基金客户服务热线：</w:t>
      </w:r>
      <w:r>
        <w:rPr>
          <w:rFonts w:ascii="宋体" w:eastAsia="宋体" w:hAnsi="宋体" w:cs="宋体" w:hint="eastAsia"/>
          <w:color w:val="000000"/>
          <w:szCs w:val="21"/>
        </w:rPr>
        <w:t xml:space="preserve">95105568 </w:t>
      </w:r>
    </w:p>
    <w:p w:rsidR="00D44595" w:rsidRDefault="005E32CC">
      <w:pPr>
        <w:numPr>
          <w:ilvl w:val="255"/>
          <w:numId w:val="0"/>
        </w:numPr>
        <w:spacing w:line="360" w:lineRule="auto"/>
        <w:ind w:firstLine="42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、本公告的解释权归博时基金管理有限公司。</w:t>
      </w:r>
      <w:r>
        <w:rPr>
          <w:rFonts w:ascii="宋体" w:eastAsia="宋体" w:hAnsi="宋体" w:cs="宋体" w:hint="eastAsia"/>
          <w:color w:val="000000"/>
          <w:szCs w:val="21"/>
        </w:rPr>
        <w:t xml:space="preserve"> </w:t>
      </w:r>
    </w:p>
    <w:p w:rsidR="00D44595" w:rsidRDefault="00D44595">
      <w:pPr>
        <w:numPr>
          <w:ilvl w:val="255"/>
          <w:numId w:val="0"/>
        </w:numPr>
        <w:spacing w:line="360" w:lineRule="auto"/>
        <w:jc w:val="left"/>
        <w:rPr>
          <w:rFonts w:ascii="宋体" w:eastAsia="宋体" w:hAnsi="宋体" w:cs="宋体"/>
          <w:color w:val="000000"/>
          <w:szCs w:val="21"/>
        </w:rPr>
      </w:pPr>
    </w:p>
    <w:p w:rsidR="00D44595" w:rsidRDefault="005E32CC">
      <w:pPr>
        <w:spacing w:line="360" w:lineRule="auto"/>
        <w:ind w:firstLine="420"/>
        <w:jc w:val="left"/>
        <w:rPr>
          <w:rFonts w:ascii="宋体" w:eastAsia="宋体" w:hAnsi="宋体" w:cs="宋体"/>
          <w:b/>
          <w:bCs/>
          <w:color w:val="000000"/>
          <w:szCs w:val="21"/>
        </w:rPr>
      </w:pPr>
      <w:r>
        <w:rPr>
          <w:rFonts w:ascii="宋体" w:eastAsia="宋体" w:hAnsi="宋体" w:cs="宋体" w:hint="eastAsia"/>
          <w:b/>
          <w:bCs/>
          <w:color w:val="000000"/>
          <w:szCs w:val="21"/>
        </w:rPr>
        <w:t>四、风险提示</w:t>
      </w:r>
      <w:r>
        <w:rPr>
          <w:rFonts w:ascii="宋体" w:eastAsia="宋体" w:hAnsi="宋体" w:cs="宋体" w:hint="eastAsia"/>
          <w:b/>
          <w:bCs/>
          <w:color w:val="000000"/>
          <w:szCs w:val="21"/>
        </w:rPr>
        <w:t xml:space="preserve"> </w:t>
      </w:r>
    </w:p>
    <w:p w:rsidR="00D44595" w:rsidRDefault="005E32CC">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本基金管理人承诺以诚实信用、勤勉尽责的原</w:t>
      </w:r>
      <w:bookmarkStart w:id="0" w:name="_GoBack"/>
      <w:bookmarkEnd w:id="0"/>
      <w:r>
        <w:rPr>
          <w:rFonts w:ascii="宋体" w:eastAsia="宋体" w:hAnsi="宋体" w:cs="宋体" w:hint="eastAsia"/>
          <w:color w:val="000000"/>
          <w:szCs w:val="21"/>
        </w:rPr>
        <w:t>则管理和运用基金资产，但不保证本基金一定盈利，也不保证最低收益。基金的过往业绩及其净值高低并不预示其未来业绩表现，投资者投资于本基金时应认真阅读本基金的基金合同、招募说明书、基金产品资料概要等文件。敬请投资者留意投资风险。</w:t>
      </w:r>
      <w:r>
        <w:rPr>
          <w:rFonts w:ascii="宋体" w:eastAsia="宋体" w:hAnsi="宋体" w:cs="宋体" w:hint="eastAsia"/>
          <w:color w:val="000000"/>
          <w:szCs w:val="21"/>
        </w:rPr>
        <w:t xml:space="preserve"> </w:t>
      </w:r>
    </w:p>
    <w:p w:rsidR="00D44595" w:rsidRDefault="005E32CC">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特此公告。</w:t>
      </w:r>
    </w:p>
    <w:p w:rsidR="00D44595" w:rsidRDefault="00D44595">
      <w:pPr>
        <w:spacing w:line="360" w:lineRule="auto"/>
        <w:jc w:val="left"/>
        <w:rPr>
          <w:rFonts w:ascii="宋体" w:eastAsia="宋体" w:hAnsi="宋体" w:cs="宋体"/>
          <w:color w:val="000000"/>
          <w:szCs w:val="21"/>
        </w:rPr>
      </w:pPr>
    </w:p>
    <w:p w:rsidR="00D44595" w:rsidRDefault="005E32CC">
      <w:pPr>
        <w:spacing w:line="360" w:lineRule="auto"/>
        <w:jc w:val="right"/>
        <w:rPr>
          <w:rFonts w:ascii="宋体" w:eastAsia="宋体" w:hAnsi="宋体" w:cs="宋体"/>
          <w:color w:val="000000"/>
          <w:szCs w:val="21"/>
        </w:rPr>
      </w:pPr>
      <w:r>
        <w:rPr>
          <w:rFonts w:ascii="宋体" w:eastAsia="宋体" w:hAnsi="宋体" w:cs="宋体" w:hint="eastAsia"/>
          <w:color w:val="000000"/>
          <w:szCs w:val="21"/>
        </w:rPr>
        <w:t>博时基金管理有限公司</w:t>
      </w:r>
    </w:p>
    <w:p w:rsidR="00D44595" w:rsidRDefault="005E32CC">
      <w:pPr>
        <w:spacing w:line="360" w:lineRule="auto"/>
        <w:jc w:val="right"/>
      </w:pP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2</w:t>
      </w:r>
      <w:r>
        <w:rPr>
          <w:rFonts w:ascii="宋体" w:eastAsia="宋体" w:hAnsi="宋体" w:cs="宋体" w:hint="eastAsia"/>
          <w:color w:val="000000"/>
          <w:szCs w:val="21"/>
        </w:rPr>
        <w:t>月</w:t>
      </w:r>
      <w:r>
        <w:rPr>
          <w:rFonts w:ascii="宋体" w:eastAsia="宋体" w:hAnsi="宋体" w:cs="宋体" w:hint="eastAsia"/>
          <w:color w:val="000000"/>
          <w:szCs w:val="21"/>
        </w:rPr>
        <w:t>27</w:t>
      </w:r>
      <w:r>
        <w:rPr>
          <w:rFonts w:ascii="宋体" w:eastAsia="宋体" w:hAnsi="宋体" w:cs="宋体" w:hint="eastAsia"/>
          <w:color w:val="000000"/>
          <w:szCs w:val="21"/>
        </w:rPr>
        <w:t>日</w:t>
      </w:r>
    </w:p>
    <w:p w:rsidR="00D44595" w:rsidRDefault="005E32CC">
      <w:r>
        <w:br w:type="page"/>
      </w:r>
    </w:p>
    <w:p w:rsidR="00D44595" w:rsidRDefault="005E32CC" w:rsidP="005E32CC">
      <w:pPr>
        <w:snapToGrid w:val="0"/>
        <w:spacing w:beforeLines="50" w:afterLines="50" w:line="360" w:lineRule="auto"/>
        <w:rPr>
          <w:rFonts w:ascii="Times New Roman" w:hAnsi="Times New Roman"/>
          <w:b/>
          <w:color w:val="000000"/>
          <w:sz w:val="24"/>
        </w:rPr>
      </w:pPr>
      <w:r>
        <w:rPr>
          <w:rFonts w:ascii="Times New Roman" w:hAnsi="Times New Roman" w:cs="Times New Roman"/>
          <w:b/>
          <w:kern w:val="0"/>
          <w:sz w:val="24"/>
        </w:rPr>
        <w:lastRenderedPageBreak/>
        <w:t>附件：</w:t>
      </w:r>
      <w:r>
        <w:rPr>
          <w:rFonts w:ascii="Times New Roman" w:hAnsi="Times New Roman"/>
          <w:b/>
          <w:color w:val="000000"/>
          <w:sz w:val="24"/>
        </w:rPr>
        <w:t>《</w:t>
      </w:r>
      <w:r>
        <w:rPr>
          <w:rFonts w:ascii="Times New Roman" w:hAnsi="Times New Roman" w:hint="eastAsia"/>
          <w:b/>
          <w:color w:val="000000"/>
          <w:sz w:val="24"/>
        </w:rPr>
        <w:t>托管协议</w:t>
      </w:r>
      <w:r>
        <w:rPr>
          <w:rFonts w:ascii="Times New Roman" w:hAnsi="Times New Roman"/>
          <w:b/>
          <w:color w:val="000000"/>
          <w:sz w:val="24"/>
        </w:rPr>
        <w:t>》修订对照表</w:t>
      </w:r>
    </w:p>
    <w:tbl>
      <w:tblPr>
        <w:tblW w:w="9195"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018"/>
        <w:gridCol w:w="4082"/>
        <w:gridCol w:w="4095"/>
      </w:tblGrid>
      <w:tr w:rsidR="00D44595">
        <w:trPr>
          <w:trHeight w:val="355"/>
        </w:trPr>
        <w:tc>
          <w:tcPr>
            <w:tcW w:w="1018" w:type="dxa"/>
            <w:vAlign w:val="center"/>
          </w:tcPr>
          <w:p w:rsidR="00D44595" w:rsidRDefault="005E32CC">
            <w:pPr>
              <w:jc w:val="center"/>
              <w:rPr>
                <w:rFonts w:ascii="宋体" w:eastAsia="宋体" w:hAnsi="宋体" w:cs="宋体"/>
                <w:b/>
                <w:szCs w:val="21"/>
              </w:rPr>
            </w:pPr>
            <w:r>
              <w:rPr>
                <w:rFonts w:ascii="宋体" w:eastAsia="宋体" w:hAnsi="宋体" w:cs="宋体" w:hint="eastAsia"/>
                <w:b/>
                <w:szCs w:val="21"/>
              </w:rPr>
              <w:t>章节</w:t>
            </w:r>
          </w:p>
        </w:tc>
        <w:tc>
          <w:tcPr>
            <w:tcW w:w="4082" w:type="dxa"/>
            <w:vAlign w:val="center"/>
          </w:tcPr>
          <w:p w:rsidR="00D44595" w:rsidRDefault="005E32CC">
            <w:pPr>
              <w:jc w:val="center"/>
              <w:rPr>
                <w:rFonts w:ascii="宋体" w:eastAsia="宋体" w:hAnsi="宋体" w:cs="宋体"/>
                <w:b/>
                <w:szCs w:val="21"/>
              </w:rPr>
            </w:pPr>
            <w:r>
              <w:rPr>
                <w:rFonts w:ascii="宋体" w:eastAsia="宋体" w:hAnsi="宋体" w:cs="宋体" w:hint="eastAsia"/>
                <w:b/>
                <w:szCs w:val="21"/>
              </w:rPr>
              <w:t>原托管协议内容</w:t>
            </w:r>
          </w:p>
        </w:tc>
        <w:tc>
          <w:tcPr>
            <w:tcW w:w="4095" w:type="dxa"/>
            <w:vAlign w:val="center"/>
          </w:tcPr>
          <w:p w:rsidR="00D44595" w:rsidRDefault="005E32CC">
            <w:pPr>
              <w:jc w:val="center"/>
              <w:rPr>
                <w:rFonts w:ascii="宋体" w:eastAsia="宋体" w:hAnsi="宋体" w:cs="宋体"/>
                <w:b/>
                <w:szCs w:val="21"/>
              </w:rPr>
            </w:pPr>
            <w:r>
              <w:rPr>
                <w:rFonts w:ascii="宋体" w:eastAsia="宋体" w:hAnsi="宋体" w:cs="宋体" w:hint="eastAsia"/>
                <w:b/>
                <w:szCs w:val="21"/>
              </w:rPr>
              <w:t>修订后托管协议内容</w:t>
            </w:r>
          </w:p>
        </w:tc>
      </w:tr>
      <w:tr w:rsidR="00D44595">
        <w:trPr>
          <w:trHeight w:val="4697"/>
        </w:trPr>
        <w:tc>
          <w:tcPr>
            <w:tcW w:w="1018" w:type="dxa"/>
            <w:vMerge w:val="restart"/>
          </w:tcPr>
          <w:p w:rsidR="00D44595" w:rsidRDefault="005E32CC">
            <w:pPr>
              <w:pStyle w:val="111"/>
              <w:rPr>
                <w:rFonts w:eastAsia="宋体" w:hAnsi="宋体" w:cs="宋体"/>
                <w:bCs/>
                <w:color w:val="auto"/>
                <w:sz w:val="21"/>
                <w:szCs w:val="21"/>
              </w:rPr>
            </w:pPr>
            <w:r>
              <w:rPr>
                <w:rFonts w:eastAsia="宋体" w:hAnsi="宋体" w:cs="宋体" w:hint="eastAsia"/>
                <w:bCs/>
                <w:color w:val="auto"/>
                <w:sz w:val="21"/>
                <w:szCs w:val="21"/>
              </w:rPr>
              <w:t>五、基金财产的保管</w:t>
            </w:r>
          </w:p>
          <w:p w:rsidR="00D44595" w:rsidRDefault="00D44595">
            <w:pPr>
              <w:rPr>
                <w:rFonts w:ascii="宋体" w:eastAsia="宋体" w:hAnsi="宋体" w:cs="宋体"/>
                <w:b/>
                <w:bCs/>
                <w:szCs w:val="21"/>
              </w:rPr>
            </w:pPr>
          </w:p>
        </w:tc>
        <w:tc>
          <w:tcPr>
            <w:tcW w:w="4082" w:type="dxa"/>
          </w:tcPr>
          <w:p w:rsidR="00D44595" w:rsidRDefault="005E32CC">
            <w:pPr>
              <w:rPr>
                <w:rFonts w:ascii="宋体" w:eastAsia="宋体" w:hAnsi="宋体" w:cs="宋体"/>
                <w:szCs w:val="21"/>
              </w:rPr>
            </w:pPr>
            <w:r>
              <w:rPr>
                <w:rFonts w:ascii="宋体" w:eastAsia="宋体" w:hAnsi="宋体" w:cs="宋体" w:hint="eastAsia"/>
                <w:szCs w:val="21"/>
              </w:rPr>
              <w:t>（一）基金财产保管的原则</w:t>
            </w:r>
          </w:p>
          <w:p w:rsidR="00D44595" w:rsidRDefault="005E32CC">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D44595" w:rsidRDefault="005E32CC">
            <w:pPr>
              <w:rPr>
                <w:rFonts w:ascii="宋体" w:eastAsia="宋体" w:hAnsi="宋体" w:cs="宋体"/>
                <w:b/>
                <w:bCs/>
                <w:strike/>
                <w:szCs w:val="21"/>
              </w:rPr>
            </w:pPr>
            <w:r>
              <w:rPr>
                <w:rFonts w:ascii="宋体" w:eastAsia="宋体" w:hAnsi="宋体" w:cs="宋体" w:hint="eastAsia"/>
                <w:szCs w:val="21"/>
              </w:rPr>
              <w:t>8.</w:t>
            </w:r>
            <w:r>
              <w:rPr>
                <w:rFonts w:ascii="宋体" w:eastAsia="宋体" w:hAnsi="宋体" w:cs="宋体" w:hint="eastAsia"/>
                <w:szCs w:val="21"/>
              </w:rPr>
              <w:t>除依据法律法规和基金合同的规定外，基金托管人不得委托第三人托管基金资产。</w:t>
            </w:r>
          </w:p>
        </w:tc>
        <w:tc>
          <w:tcPr>
            <w:tcW w:w="4095" w:type="dxa"/>
          </w:tcPr>
          <w:p w:rsidR="00D44595" w:rsidRDefault="005E32CC">
            <w:pPr>
              <w:rPr>
                <w:rFonts w:ascii="宋体" w:eastAsia="宋体" w:hAnsi="宋体" w:cs="宋体"/>
                <w:szCs w:val="21"/>
              </w:rPr>
            </w:pPr>
            <w:r>
              <w:rPr>
                <w:rFonts w:ascii="宋体" w:eastAsia="宋体" w:hAnsi="宋体" w:cs="宋体" w:hint="eastAsia"/>
                <w:szCs w:val="21"/>
              </w:rPr>
              <w:t>（一）基金财产保管的原则</w:t>
            </w:r>
          </w:p>
          <w:p w:rsidR="00D44595" w:rsidRDefault="005E32CC">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基金托管人对因为基金管理人投资产生的存放或存管在基金托管人以外机构的基金资产或交由期货公司或证券公司负</w:t>
            </w:r>
            <w:r>
              <w:rPr>
                <w:rFonts w:ascii="宋体" w:eastAsia="宋体" w:hAnsi="宋体" w:cs="宋体" w:hint="eastAsia"/>
                <w:szCs w:val="21"/>
              </w:rPr>
              <w:t>责清算交收的基金资产（包括但不限于</w:t>
            </w:r>
            <w:r>
              <w:rPr>
                <w:rFonts w:ascii="宋体" w:eastAsia="宋体" w:hAnsi="宋体" w:cs="宋体" w:hint="eastAsia"/>
                <w:b/>
                <w:bCs/>
                <w:szCs w:val="21"/>
                <w:u w:val="single"/>
              </w:rPr>
              <w:t>证券交易资金账户内的资金、证券类基金资产、</w:t>
            </w:r>
            <w:r>
              <w:rPr>
                <w:rFonts w:ascii="宋体" w:eastAsia="宋体" w:hAnsi="宋体" w:cs="宋体" w:hint="eastAsia"/>
                <w:szCs w:val="21"/>
              </w:rPr>
              <w:t>期货保证金账户内的资金、期货合约等）及其收益；由于该等机构或该机构会员单位等本协议当事人外第三方的欺诈、疏忽、过失或破产等原因给基金资产造成的损失等不承担责任。</w:t>
            </w:r>
          </w:p>
          <w:p w:rsidR="00D44595" w:rsidRDefault="005E32CC">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除依据法律法规和基金合同的规定外，基金托管人不得委托第三人托管基金资产。</w:t>
            </w:r>
          </w:p>
        </w:tc>
      </w:tr>
      <w:tr w:rsidR="00D44595">
        <w:trPr>
          <w:trHeight w:val="4697"/>
        </w:trPr>
        <w:tc>
          <w:tcPr>
            <w:tcW w:w="1018" w:type="dxa"/>
            <w:vMerge/>
          </w:tcPr>
          <w:p w:rsidR="00D44595" w:rsidRDefault="00D44595">
            <w:pPr>
              <w:rPr>
                <w:rFonts w:ascii="宋体" w:eastAsia="宋体" w:hAnsi="宋体" w:cs="宋体"/>
                <w:b/>
                <w:bCs/>
                <w:szCs w:val="21"/>
              </w:rPr>
            </w:pPr>
          </w:p>
        </w:tc>
        <w:tc>
          <w:tcPr>
            <w:tcW w:w="4082" w:type="dxa"/>
          </w:tcPr>
          <w:p w:rsidR="00D44595" w:rsidRDefault="005E32CC">
            <w:pPr>
              <w:rPr>
                <w:rFonts w:ascii="宋体" w:eastAsia="宋体" w:hAnsi="宋体" w:cs="宋体"/>
                <w:szCs w:val="21"/>
              </w:rPr>
            </w:pPr>
            <w:r>
              <w:rPr>
                <w:rFonts w:ascii="宋体" w:eastAsia="宋体" w:hAnsi="宋体" w:cs="宋体" w:hint="eastAsia"/>
                <w:szCs w:val="21"/>
              </w:rPr>
              <w:t>（四）</w:t>
            </w:r>
            <w:r>
              <w:rPr>
                <w:rFonts w:ascii="宋体" w:hAnsi="宋体" w:cs="Arial" w:hint="eastAsia"/>
                <w:szCs w:val="21"/>
              </w:rPr>
              <w:t>基金证券账户</w:t>
            </w:r>
            <w:r>
              <w:rPr>
                <w:rFonts w:ascii="宋体" w:hAnsi="宋体" w:cs="Arial" w:hint="eastAsia"/>
                <w:b/>
                <w:bCs/>
                <w:strike/>
                <w:szCs w:val="21"/>
              </w:rPr>
              <w:t>和结算备付金账户</w:t>
            </w:r>
            <w:r>
              <w:rPr>
                <w:rFonts w:ascii="宋体" w:hAnsi="宋体" w:cs="Arial" w:hint="eastAsia"/>
                <w:szCs w:val="21"/>
              </w:rPr>
              <w:t>的开立和管理</w:t>
            </w:r>
          </w:p>
          <w:p w:rsidR="00D44595" w:rsidRDefault="005E32CC">
            <w:pPr>
              <w:rPr>
                <w:rFonts w:ascii="宋体" w:eastAsia="宋体" w:hAnsi="宋体" w:cs="宋体"/>
                <w:szCs w:val="21"/>
              </w:rPr>
            </w:pPr>
            <w:r>
              <w:rPr>
                <w:rFonts w:ascii="宋体" w:eastAsia="宋体" w:hAnsi="宋体" w:cs="宋体" w:hint="eastAsia"/>
                <w:szCs w:val="21"/>
              </w:rPr>
              <w:t>......</w:t>
            </w:r>
          </w:p>
          <w:p w:rsidR="00D44595" w:rsidRDefault="005E32CC">
            <w:pPr>
              <w:rPr>
                <w:rFonts w:ascii="宋体" w:eastAsia="宋体" w:hAnsi="宋体" w:cs="宋体"/>
                <w:b/>
                <w:bCs/>
                <w:strike/>
                <w:szCs w:val="21"/>
              </w:rPr>
            </w:pPr>
            <w:r>
              <w:rPr>
                <w:rFonts w:ascii="宋体" w:eastAsia="宋体" w:hAnsi="宋体" w:cs="宋体" w:hint="eastAsia"/>
                <w:b/>
                <w:bCs/>
                <w:strike/>
                <w:szCs w:val="21"/>
              </w:rPr>
              <w:t>4.</w:t>
            </w:r>
            <w:r>
              <w:rPr>
                <w:rFonts w:ascii="宋体" w:eastAsia="宋体" w:hAnsi="宋体" w:cs="宋体" w:hint="eastAsia"/>
                <w:b/>
                <w:bCs/>
                <w:strike/>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D44595" w:rsidRDefault="005E32CC">
            <w:pPr>
              <w:rPr>
                <w:rFonts w:ascii="宋体" w:eastAsia="宋体" w:hAnsi="宋体" w:cs="宋体"/>
                <w:szCs w:val="21"/>
              </w:rPr>
            </w:pPr>
            <w:r>
              <w:rPr>
                <w:rFonts w:ascii="宋体" w:eastAsia="宋体" w:hAnsi="宋体" w:cs="宋体" w:hint="eastAsia"/>
                <w:szCs w:val="21"/>
              </w:rPr>
              <w:t>......</w:t>
            </w:r>
          </w:p>
          <w:p w:rsidR="00D44595" w:rsidRDefault="00D44595">
            <w:pPr>
              <w:rPr>
                <w:rFonts w:ascii="宋体" w:eastAsia="宋体" w:hAnsi="宋体" w:cs="宋体"/>
                <w:szCs w:val="21"/>
              </w:rPr>
            </w:pPr>
          </w:p>
        </w:tc>
        <w:tc>
          <w:tcPr>
            <w:tcW w:w="4095" w:type="dxa"/>
          </w:tcPr>
          <w:p w:rsidR="00D44595" w:rsidRDefault="005E32CC">
            <w:pPr>
              <w:adjustRightInd w:val="0"/>
              <w:snapToGrid w:val="0"/>
              <w:spacing w:line="360" w:lineRule="auto"/>
              <w:rPr>
                <w:rFonts w:ascii="宋体" w:eastAsia="宋体" w:hAnsi="宋体" w:cs="宋体"/>
                <w:szCs w:val="21"/>
              </w:rPr>
            </w:pPr>
            <w:r>
              <w:rPr>
                <w:rFonts w:ascii="宋体" w:eastAsia="宋体" w:hAnsi="宋体" w:cs="宋体" w:hint="eastAsia"/>
                <w:szCs w:val="21"/>
              </w:rPr>
              <w:t>（四）</w:t>
            </w:r>
            <w:r>
              <w:rPr>
                <w:rFonts w:ascii="宋体" w:hAnsi="宋体" w:cs="Arial" w:hint="eastAsia"/>
                <w:szCs w:val="21"/>
              </w:rPr>
              <w:t>基金证券账户的开立和管理</w:t>
            </w:r>
          </w:p>
          <w:p w:rsidR="00D44595" w:rsidRDefault="005E32CC">
            <w:pPr>
              <w:rPr>
                <w:rFonts w:ascii="宋体" w:eastAsia="宋体" w:hAnsi="宋体" w:cs="宋体"/>
                <w:b/>
                <w:bCs/>
                <w:szCs w:val="21"/>
                <w:u w:val="single"/>
              </w:rPr>
            </w:pPr>
            <w:r>
              <w:rPr>
                <w:rFonts w:ascii="宋体" w:eastAsia="宋体" w:hAnsi="宋体" w:cs="宋体" w:hint="eastAsia"/>
                <w:szCs w:val="21"/>
              </w:rPr>
              <w:t>......</w:t>
            </w:r>
          </w:p>
          <w:p w:rsidR="00D44595" w:rsidRDefault="005E32CC">
            <w:pPr>
              <w:rPr>
                <w:rFonts w:ascii="宋体" w:eastAsia="宋体" w:hAnsi="宋体" w:cs="宋体"/>
                <w:b/>
                <w:bCs/>
                <w:szCs w:val="21"/>
                <w:u w:val="single"/>
              </w:rPr>
            </w:pPr>
            <w:r>
              <w:rPr>
                <w:rFonts w:ascii="宋体" w:eastAsia="宋体" w:hAnsi="宋体" w:cs="宋体" w:hint="eastAsia"/>
                <w:b/>
                <w:bCs/>
                <w:szCs w:val="21"/>
                <w:u w:val="single"/>
              </w:rPr>
              <w:t xml:space="preserve">4. </w:t>
            </w:r>
            <w:r>
              <w:rPr>
                <w:rFonts w:ascii="宋体" w:eastAsia="宋体" w:hAnsi="宋体" w:cs="宋体" w:hint="eastAsia"/>
                <w:b/>
                <w:bCs/>
                <w:szCs w:val="21"/>
                <w:u w:val="single"/>
              </w:rPr>
              <w:t>基金管理人为基金财产在证券经纪机构开立证券交易资金账户，用于基金财产证券交易结算资金的存管、记载交易结算资金的变动明细以及场内证券交易清算，并与基金托管人开立的托管账户建立第三方存管关系。</w:t>
            </w:r>
          </w:p>
          <w:p w:rsidR="00D44595" w:rsidRDefault="005E32CC">
            <w:pPr>
              <w:rPr>
                <w:rFonts w:ascii="宋体" w:eastAsia="宋体" w:hAnsi="宋体" w:cs="宋体"/>
                <w:b/>
                <w:bCs/>
                <w:szCs w:val="21"/>
                <w:u w:val="single"/>
              </w:rPr>
            </w:pPr>
            <w:r>
              <w:rPr>
                <w:rFonts w:ascii="宋体" w:eastAsia="宋体" w:hAnsi="宋体" w:cs="宋体" w:hint="eastAsia"/>
                <w:b/>
                <w:bCs/>
                <w:szCs w:val="21"/>
                <w:u w:val="single"/>
              </w:rPr>
              <w:t>基金托管人和基金管理人不得出借或转让证券账户、证券交易资金账户，亦不得使用证券账户或证券交易资金账户进行本基金业务以外的活动。本基金通过证券经纪机构进行的交易由证券经纪机构作为结算参与人代理本基金进行结算。</w:t>
            </w:r>
          </w:p>
          <w:p w:rsidR="00D44595" w:rsidRDefault="005E32CC">
            <w:pPr>
              <w:rPr>
                <w:rFonts w:ascii="宋体" w:eastAsia="宋体" w:hAnsi="宋体" w:cs="宋体"/>
                <w:b/>
                <w:bCs/>
                <w:szCs w:val="21"/>
                <w:u w:val="single"/>
              </w:rPr>
            </w:pPr>
            <w:r>
              <w:rPr>
                <w:rFonts w:ascii="宋体" w:eastAsia="宋体" w:hAnsi="宋体" w:cs="宋体" w:hint="eastAsia"/>
                <w:b/>
                <w:bCs/>
                <w:szCs w:val="21"/>
                <w:u w:val="single"/>
              </w:rPr>
              <w:t>5.</w:t>
            </w:r>
            <w:r>
              <w:rPr>
                <w:rFonts w:ascii="宋体" w:eastAsia="宋体" w:hAnsi="宋体" w:cs="宋体" w:hint="eastAsia"/>
                <w:b/>
                <w:bCs/>
                <w:szCs w:val="21"/>
                <w:u w:val="single"/>
              </w:rPr>
              <w:t>基金管理人承诺证券交易资金账户为主资金账户，不开立任何辅助资金账户；不为证券交易资金账户另行开立银行托管账户以外的其他银行账户。</w:t>
            </w:r>
          </w:p>
          <w:p w:rsidR="00D44595" w:rsidRDefault="005E32CC">
            <w:pPr>
              <w:rPr>
                <w:rFonts w:ascii="宋体" w:eastAsia="宋体" w:hAnsi="宋体" w:cs="宋体"/>
                <w:szCs w:val="21"/>
              </w:rPr>
            </w:pPr>
            <w:r>
              <w:rPr>
                <w:rFonts w:ascii="宋体" w:eastAsia="宋体" w:hAnsi="宋体" w:cs="宋体" w:hint="eastAsia"/>
                <w:szCs w:val="21"/>
              </w:rPr>
              <w:t>......</w:t>
            </w:r>
          </w:p>
        </w:tc>
      </w:tr>
      <w:tr w:rsidR="00D44595">
        <w:tc>
          <w:tcPr>
            <w:tcW w:w="1018" w:type="dxa"/>
            <w:vMerge w:val="restart"/>
          </w:tcPr>
          <w:p w:rsidR="00D44595" w:rsidRDefault="005E32CC">
            <w:pPr>
              <w:pStyle w:val="111"/>
              <w:rPr>
                <w:rFonts w:eastAsia="宋体" w:hAnsi="宋体" w:cs="宋体"/>
                <w:bCs/>
                <w:color w:val="auto"/>
                <w:sz w:val="21"/>
                <w:szCs w:val="21"/>
              </w:rPr>
            </w:pPr>
            <w:r>
              <w:rPr>
                <w:rFonts w:eastAsia="宋体" w:hAnsi="宋体" w:cs="宋体" w:hint="eastAsia"/>
                <w:bCs/>
                <w:color w:val="auto"/>
                <w:sz w:val="21"/>
                <w:szCs w:val="21"/>
              </w:rPr>
              <w:lastRenderedPageBreak/>
              <w:t>六、指令的发送、确认及执行</w:t>
            </w:r>
          </w:p>
          <w:p w:rsidR="00D44595" w:rsidRDefault="00D44595">
            <w:pPr>
              <w:pStyle w:val="111"/>
              <w:rPr>
                <w:rFonts w:eastAsia="宋体" w:hAnsi="宋体" w:cs="宋体"/>
                <w:bCs/>
                <w:color w:val="auto"/>
                <w:sz w:val="21"/>
                <w:szCs w:val="21"/>
              </w:rPr>
            </w:pPr>
          </w:p>
        </w:tc>
        <w:tc>
          <w:tcPr>
            <w:tcW w:w="4082" w:type="dxa"/>
          </w:tcPr>
          <w:p w:rsidR="00D44595" w:rsidRDefault="005E32CC">
            <w:pPr>
              <w:rPr>
                <w:rFonts w:ascii="宋体" w:eastAsia="宋体" w:hAnsi="宋体" w:cs="宋体"/>
                <w:szCs w:val="21"/>
              </w:rPr>
            </w:pPr>
            <w:r>
              <w:rPr>
                <w:rFonts w:ascii="宋体" w:eastAsia="宋体" w:hAnsi="宋体" w:cs="宋体" w:hint="eastAsia"/>
                <w:szCs w:val="21"/>
              </w:rPr>
              <w:t>基金管理人在运用基金财产时向基金托管人发送资金划拨及其他款项付款指令，基金托管人执行基金管理人的指令、办理基金名下的资金往来等有关事项。</w:t>
            </w:r>
          </w:p>
          <w:p w:rsidR="00D44595" w:rsidRDefault="005E32CC">
            <w:pPr>
              <w:rPr>
                <w:rFonts w:ascii="宋体" w:eastAsia="宋体" w:hAnsi="宋体" w:cs="宋体"/>
                <w:szCs w:val="21"/>
              </w:rPr>
            </w:pPr>
            <w:r>
              <w:rPr>
                <w:rFonts w:ascii="宋体" w:eastAsia="宋体" w:hAnsi="宋体" w:cs="宋体" w:hint="eastAsia"/>
                <w:szCs w:val="21"/>
              </w:rPr>
              <w:t>......</w:t>
            </w:r>
          </w:p>
        </w:tc>
        <w:tc>
          <w:tcPr>
            <w:tcW w:w="4095" w:type="dxa"/>
          </w:tcPr>
          <w:p w:rsidR="00D44595" w:rsidRDefault="005E32CC">
            <w:pPr>
              <w:rPr>
                <w:rFonts w:ascii="宋体" w:eastAsia="宋体" w:hAnsi="宋体" w:cs="宋体"/>
                <w:szCs w:val="21"/>
              </w:rPr>
            </w:pPr>
            <w:r>
              <w:rPr>
                <w:rFonts w:ascii="宋体" w:eastAsia="宋体" w:hAnsi="宋体" w:cs="宋体" w:hint="eastAsia"/>
                <w:szCs w:val="21"/>
              </w:rPr>
              <w:t>基金管理人在运用基金财产时向基金托管人发送</w:t>
            </w:r>
            <w:r>
              <w:rPr>
                <w:rFonts w:ascii="宋体" w:eastAsia="宋体" w:hAnsi="宋体" w:cs="宋体" w:hint="eastAsia"/>
                <w:b/>
                <w:bCs/>
                <w:szCs w:val="21"/>
                <w:u w:val="single"/>
              </w:rPr>
              <w:t>场外</w:t>
            </w:r>
            <w:r>
              <w:rPr>
                <w:rFonts w:ascii="宋体" w:eastAsia="宋体" w:hAnsi="宋体" w:cs="宋体" w:hint="eastAsia"/>
                <w:szCs w:val="21"/>
              </w:rPr>
              <w:t>资金划拨及其他款项付款指令，基金托管人执行基金管理人的指令、办理基金名下的资金往来等有关事项。</w:t>
            </w:r>
          </w:p>
          <w:p w:rsidR="00D44595" w:rsidRDefault="005E32CC">
            <w:pPr>
              <w:rPr>
                <w:rFonts w:ascii="宋体" w:eastAsia="宋体" w:hAnsi="宋体" w:cs="宋体"/>
                <w:szCs w:val="21"/>
              </w:rPr>
            </w:pPr>
            <w:r>
              <w:rPr>
                <w:rFonts w:ascii="宋体" w:eastAsia="宋体" w:hAnsi="宋体" w:cs="宋体" w:hint="eastAsia"/>
                <w:szCs w:val="21"/>
              </w:rPr>
              <w:t>......</w:t>
            </w:r>
          </w:p>
        </w:tc>
      </w:tr>
      <w:tr w:rsidR="00D44595">
        <w:tc>
          <w:tcPr>
            <w:tcW w:w="1018" w:type="dxa"/>
            <w:vMerge/>
          </w:tcPr>
          <w:p w:rsidR="00D44595" w:rsidRDefault="00D44595">
            <w:pPr>
              <w:pStyle w:val="111"/>
              <w:rPr>
                <w:rFonts w:eastAsia="宋体" w:hAnsi="宋体" w:cs="宋体"/>
                <w:bCs/>
                <w:color w:val="auto"/>
                <w:sz w:val="21"/>
                <w:szCs w:val="21"/>
              </w:rPr>
            </w:pPr>
          </w:p>
        </w:tc>
        <w:tc>
          <w:tcPr>
            <w:tcW w:w="4082" w:type="dxa"/>
          </w:tcPr>
          <w:p w:rsidR="00D44595" w:rsidRDefault="005E32CC">
            <w:pPr>
              <w:rPr>
                <w:rFonts w:ascii="宋体" w:eastAsia="宋体" w:hAnsi="宋体" w:cs="宋体"/>
                <w:szCs w:val="21"/>
              </w:rPr>
            </w:pPr>
            <w:r>
              <w:rPr>
                <w:rFonts w:ascii="宋体" w:eastAsia="宋体" w:hAnsi="宋体" w:cs="宋体" w:hint="eastAsia"/>
                <w:szCs w:val="21"/>
              </w:rPr>
              <w:t>（三）指令的发送、确认及执行的时间和程序</w:t>
            </w:r>
          </w:p>
          <w:p w:rsidR="00D44595" w:rsidRDefault="005E32CC">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指令的发送：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rsidR="00D44595" w:rsidRDefault="005E32CC">
            <w:pPr>
              <w:rPr>
                <w:rFonts w:ascii="宋体" w:eastAsia="宋体" w:hAnsi="宋体" w:cs="宋体"/>
                <w:szCs w:val="21"/>
              </w:rPr>
            </w:pPr>
            <w:r>
              <w:rPr>
                <w:rFonts w:ascii="宋体" w:eastAsia="宋体" w:hAnsi="宋体" w:cs="宋体" w:hint="eastAsia"/>
                <w:szCs w:val="21"/>
              </w:rPr>
              <w:t>对于新股、新债申购等网下公开发行业务，基金管理人应于网下申购缴款日的</w:t>
            </w:r>
            <w:r>
              <w:rPr>
                <w:rFonts w:ascii="宋体" w:eastAsia="宋体" w:hAnsi="宋体" w:cs="宋体" w:hint="eastAsia"/>
                <w:szCs w:val="21"/>
              </w:rPr>
              <w:t>10:00</w:t>
            </w:r>
            <w:r>
              <w:rPr>
                <w:rFonts w:ascii="宋体" w:eastAsia="宋体" w:hAnsi="宋体" w:cs="宋体" w:hint="eastAsia"/>
                <w:szCs w:val="21"/>
              </w:rPr>
              <w:t>前将指令发送给基金托管人。</w:t>
            </w:r>
          </w:p>
          <w:p w:rsidR="00D44595" w:rsidRDefault="005E32CC">
            <w:pPr>
              <w:rPr>
                <w:rFonts w:ascii="宋体" w:eastAsia="宋体" w:hAnsi="宋体" w:cs="宋体"/>
                <w:szCs w:val="21"/>
              </w:rPr>
            </w:pPr>
            <w:r>
              <w:rPr>
                <w:rFonts w:ascii="宋体" w:eastAsia="宋体" w:hAnsi="宋体" w:cs="宋体" w:hint="eastAsia"/>
                <w:szCs w:val="21"/>
              </w:rPr>
              <w:t>对于期货出入金业务，基金管理人应于交易日期货出入金截止时间前</w:t>
            </w:r>
            <w:r>
              <w:rPr>
                <w:rFonts w:ascii="宋体" w:eastAsia="宋体" w:hAnsi="宋体" w:cs="宋体" w:hint="eastAsia"/>
                <w:szCs w:val="21"/>
              </w:rPr>
              <w:t>2</w:t>
            </w:r>
            <w:r>
              <w:rPr>
                <w:rFonts w:ascii="宋体" w:eastAsia="宋体" w:hAnsi="宋体" w:cs="宋体" w:hint="eastAsia"/>
                <w:szCs w:val="21"/>
              </w:rPr>
              <w:t>小时将期货出入金指令发送至基金托管人。</w:t>
            </w:r>
          </w:p>
          <w:p w:rsidR="00D44595" w:rsidRDefault="005E32CC">
            <w:pPr>
              <w:rPr>
                <w:rFonts w:ascii="宋体" w:eastAsia="宋体" w:hAnsi="宋体" w:cs="宋体"/>
                <w:b/>
                <w:bCs/>
                <w:strike/>
                <w:szCs w:val="21"/>
              </w:rPr>
            </w:pPr>
            <w:r>
              <w:rPr>
                <w:rFonts w:ascii="宋体" w:eastAsia="宋体" w:hAnsi="宋体" w:cs="宋体" w:hint="eastAsia"/>
                <w:b/>
                <w:bCs/>
                <w:strike/>
                <w:szCs w:val="21"/>
              </w:rPr>
              <w:t>对于场内业务，首次进行场内</w:t>
            </w:r>
            <w:r>
              <w:rPr>
                <w:rFonts w:ascii="宋体" w:eastAsia="宋体" w:hAnsi="宋体" w:cs="宋体" w:hint="eastAsia"/>
                <w:b/>
                <w:bCs/>
                <w:strike/>
                <w:szCs w:val="21"/>
              </w:rPr>
              <w:t>交易前基金管理人应与基金托管人确认已完成交易单元和股东代码设置后方可进行。</w:t>
            </w:r>
          </w:p>
          <w:p w:rsidR="00D44595" w:rsidRDefault="005E32CC">
            <w:pPr>
              <w:rPr>
                <w:rFonts w:ascii="宋体" w:eastAsia="宋体" w:hAnsi="宋体" w:cs="宋体"/>
                <w:szCs w:val="21"/>
              </w:rPr>
            </w:pPr>
            <w:r>
              <w:rPr>
                <w:rFonts w:ascii="宋体" w:eastAsia="宋体" w:hAnsi="宋体" w:cs="宋体" w:hint="eastAsia"/>
                <w:szCs w:val="21"/>
              </w:rPr>
              <w:t>对于银行间业务，基金管理人应于交易日</w:t>
            </w:r>
            <w:r>
              <w:rPr>
                <w:rFonts w:ascii="宋体" w:eastAsia="宋体" w:hAnsi="宋体" w:cs="宋体" w:hint="eastAsia"/>
                <w:szCs w:val="21"/>
              </w:rPr>
              <w:t>15:00</w:t>
            </w:r>
            <w:r>
              <w:rPr>
                <w:rFonts w:ascii="宋体" w:eastAsia="宋体" w:hAnsi="宋体" w:cs="宋体" w:hint="eastAsia"/>
                <w:szCs w:val="21"/>
              </w:rPr>
              <w:t>前将银行间成交单及相关划款指令发送至基金托管人。基金管理人应与基金托管人确认基金托管人已完成证书和权限设置后方可进行基金财产的银行间交易。</w:t>
            </w:r>
          </w:p>
          <w:p w:rsidR="00D44595" w:rsidRDefault="005E32CC">
            <w:pPr>
              <w:rPr>
                <w:rFonts w:ascii="宋体" w:eastAsia="宋体" w:hAnsi="宋体" w:cs="宋体"/>
                <w:szCs w:val="21"/>
              </w:rPr>
            </w:pPr>
            <w:r>
              <w:rPr>
                <w:rFonts w:ascii="宋体" w:eastAsia="宋体" w:hAnsi="宋体" w:cs="宋体" w:hint="eastAsia"/>
                <w:szCs w:val="21"/>
              </w:rPr>
              <w:t>对上海证券交易所认购权证行权交易，基金管理人应于行权日</w:t>
            </w:r>
            <w:r>
              <w:rPr>
                <w:rFonts w:ascii="宋体" w:eastAsia="宋体" w:hAnsi="宋体" w:cs="宋体" w:hint="eastAsia"/>
                <w:szCs w:val="21"/>
              </w:rPr>
              <w:t xml:space="preserve">15:00 </w:t>
            </w:r>
            <w:r>
              <w:rPr>
                <w:rFonts w:ascii="宋体" w:eastAsia="宋体" w:hAnsi="宋体" w:cs="宋体" w:hint="eastAsia"/>
                <w:szCs w:val="21"/>
              </w:rPr>
              <w:t>前将需要交付的行权金额及费用书面通知基金托管人，基金托管人在</w:t>
            </w:r>
            <w:r>
              <w:rPr>
                <w:rFonts w:ascii="宋体" w:eastAsia="宋体" w:hAnsi="宋体" w:cs="宋体" w:hint="eastAsia"/>
                <w:szCs w:val="21"/>
              </w:rPr>
              <w:t xml:space="preserve">16:00 </w:t>
            </w:r>
            <w:r>
              <w:rPr>
                <w:rFonts w:ascii="宋体" w:eastAsia="宋体" w:hAnsi="宋体" w:cs="宋体" w:hint="eastAsia"/>
                <w:szCs w:val="21"/>
              </w:rPr>
              <w:t>前支付至中国证券登记结算有限责任公司指定账户。</w:t>
            </w:r>
          </w:p>
          <w:p w:rsidR="00D44595" w:rsidRDefault="005E32CC">
            <w:pPr>
              <w:rPr>
                <w:rFonts w:ascii="宋体" w:eastAsia="宋体" w:hAnsi="宋体" w:cs="宋体"/>
                <w:szCs w:val="21"/>
              </w:rPr>
            </w:pPr>
            <w:r>
              <w:rPr>
                <w:rFonts w:ascii="宋体" w:eastAsia="宋体" w:hAnsi="宋体" w:cs="宋体" w:hint="eastAsia"/>
                <w:szCs w:val="21"/>
              </w:rPr>
              <w:t>对于指定时间出款的交易指令，基金管理人应提前</w:t>
            </w:r>
            <w:r>
              <w:rPr>
                <w:rFonts w:ascii="宋体" w:eastAsia="宋体" w:hAnsi="宋体" w:cs="宋体" w:hint="eastAsia"/>
                <w:szCs w:val="21"/>
              </w:rPr>
              <w:t>2</w:t>
            </w:r>
            <w:r>
              <w:rPr>
                <w:rFonts w:ascii="宋体" w:eastAsia="宋体" w:hAnsi="宋体" w:cs="宋体" w:hint="eastAsia"/>
                <w:szCs w:val="21"/>
              </w:rPr>
              <w:t>小时将指令发送至基</w:t>
            </w:r>
            <w:r>
              <w:rPr>
                <w:rFonts w:ascii="宋体" w:eastAsia="宋体" w:hAnsi="宋体" w:cs="宋体" w:hint="eastAsia"/>
                <w:szCs w:val="21"/>
              </w:rPr>
              <w:t>金托管人；对于基金管理人于</w:t>
            </w:r>
            <w:r>
              <w:rPr>
                <w:rFonts w:ascii="宋体" w:eastAsia="宋体" w:hAnsi="宋体" w:cs="宋体" w:hint="eastAsia"/>
                <w:szCs w:val="21"/>
              </w:rPr>
              <w:t>15:00</w:t>
            </w:r>
            <w:r>
              <w:rPr>
                <w:rFonts w:ascii="宋体" w:eastAsia="宋体" w:hAnsi="宋体" w:cs="宋体" w:hint="eastAsia"/>
                <w:szCs w:val="21"/>
              </w:rPr>
              <w:t>以后发送至基金托管人的指令，基金托管人不保证当日出款。</w:t>
            </w:r>
          </w:p>
        </w:tc>
        <w:tc>
          <w:tcPr>
            <w:tcW w:w="4095" w:type="dxa"/>
          </w:tcPr>
          <w:p w:rsidR="00D44595" w:rsidRDefault="005E32CC">
            <w:pPr>
              <w:rPr>
                <w:rFonts w:ascii="宋体" w:eastAsia="宋体" w:hAnsi="宋体" w:cs="宋体"/>
                <w:szCs w:val="21"/>
              </w:rPr>
            </w:pPr>
            <w:r>
              <w:rPr>
                <w:rFonts w:ascii="宋体" w:eastAsia="宋体" w:hAnsi="宋体" w:cs="宋体" w:hint="eastAsia"/>
                <w:szCs w:val="21"/>
              </w:rPr>
              <w:t>（三）指令的发送、确认及执行的时间和程序</w:t>
            </w:r>
          </w:p>
          <w:p w:rsidR="00D44595" w:rsidRDefault="005E32CC">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指令的发送：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rsidR="00D44595" w:rsidRDefault="005E32CC">
            <w:pPr>
              <w:rPr>
                <w:rFonts w:ascii="宋体" w:eastAsia="宋体" w:hAnsi="宋体" w:cs="宋体"/>
                <w:szCs w:val="21"/>
              </w:rPr>
            </w:pPr>
            <w:r>
              <w:rPr>
                <w:rFonts w:ascii="宋体" w:eastAsia="宋体" w:hAnsi="宋体" w:cs="宋体" w:hint="eastAsia"/>
                <w:szCs w:val="21"/>
              </w:rPr>
              <w:t>对于新股、新债申购等网下公开发行业务，基金管理人应于网下申购缴款日的</w:t>
            </w:r>
            <w:r>
              <w:rPr>
                <w:rFonts w:ascii="宋体" w:eastAsia="宋体" w:hAnsi="宋体" w:cs="宋体" w:hint="eastAsia"/>
                <w:szCs w:val="21"/>
              </w:rPr>
              <w:t>10:00</w:t>
            </w:r>
            <w:r>
              <w:rPr>
                <w:rFonts w:ascii="宋体" w:eastAsia="宋体" w:hAnsi="宋体" w:cs="宋体" w:hint="eastAsia"/>
                <w:szCs w:val="21"/>
              </w:rPr>
              <w:t>前将指令发送给基金托管</w:t>
            </w:r>
            <w:r>
              <w:rPr>
                <w:rFonts w:ascii="宋体" w:eastAsia="宋体" w:hAnsi="宋体" w:cs="宋体" w:hint="eastAsia"/>
                <w:szCs w:val="21"/>
              </w:rPr>
              <w:t>人。</w:t>
            </w:r>
          </w:p>
          <w:p w:rsidR="00D44595" w:rsidRDefault="005E32CC">
            <w:pPr>
              <w:rPr>
                <w:rFonts w:ascii="宋体" w:eastAsia="宋体" w:hAnsi="宋体" w:cs="宋体"/>
                <w:szCs w:val="21"/>
              </w:rPr>
            </w:pPr>
            <w:r>
              <w:rPr>
                <w:rFonts w:ascii="宋体" w:eastAsia="宋体" w:hAnsi="宋体" w:cs="宋体" w:hint="eastAsia"/>
                <w:szCs w:val="21"/>
              </w:rPr>
              <w:t>对于期货出入金业务，基金管理人应于交易日期货出入金截止时间前</w:t>
            </w:r>
            <w:r>
              <w:rPr>
                <w:rFonts w:ascii="宋体" w:eastAsia="宋体" w:hAnsi="宋体" w:cs="宋体" w:hint="eastAsia"/>
                <w:szCs w:val="21"/>
              </w:rPr>
              <w:t>2</w:t>
            </w:r>
            <w:r>
              <w:rPr>
                <w:rFonts w:ascii="宋体" w:eastAsia="宋体" w:hAnsi="宋体" w:cs="宋体" w:hint="eastAsia"/>
                <w:szCs w:val="21"/>
              </w:rPr>
              <w:t>小时将期货出入金指令发送至基金托管人。</w:t>
            </w:r>
          </w:p>
          <w:p w:rsidR="00D44595" w:rsidRDefault="005E32CC">
            <w:pPr>
              <w:rPr>
                <w:rFonts w:ascii="宋体" w:eastAsia="宋体" w:hAnsi="宋体" w:cs="宋体"/>
                <w:b/>
                <w:bCs/>
                <w:szCs w:val="21"/>
                <w:u w:val="single"/>
              </w:rPr>
            </w:pPr>
            <w:r>
              <w:rPr>
                <w:rFonts w:ascii="宋体" w:eastAsia="宋体" w:hAnsi="宋体" w:cs="宋体" w:hint="eastAsia"/>
                <w:b/>
                <w:bCs/>
                <w:szCs w:val="21"/>
                <w:u w:val="single"/>
              </w:rPr>
              <w:t>对于场内业务，基金管理人在运用基金财产开展场内证券交易前，基金管理人通过基金托管账户与证券资金账户已建立的第三方存管系统在基金托管户与证券资金账户之间划款，即银证互转。</w:t>
            </w:r>
          </w:p>
          <w:p w:rsidR="00D44595" w:rsidRDefault="005E32CC">
            <w:pPr>
              <w:rPr>
                <w:rFonts w:ascii="宋体" w:eastAsia="宋体" w:hAnsi="宋体" w:cs="宋体"/>
                <w:szCs w:val="21"/>
              </w:rPr>
            </w:pPr>
            <w:r>
              <w:rPr>
                <w:rFonts w:ascii="宋体" w:eastAsia="宋体" w:hAnsi="宋体" w:cs="宋体" w:hint="eastAsia"/>
                <w:szCs w:val="21"/>
              </w:rPr>
              <w:t>对于银行间业务，基金管理人应于交易日</w:t>
            </w:r>
            <w:r>
              <w:rPr>
                <w:rFonts w:ascii="宋体" w:eastAsia="宋体" w:hAnsi="宋体" w:cs="宋体" w:hint="eastAsia"/>
                <w:szCs w:val="21"/>
              </w:rPr>
              <w:t>15:00</w:t>
            </w:r>
            <w:r>
              <w:rPr>
                <w:rFonts w:ascii="宋体" w:eastAsia="宋体" w:hAnsi="宋体" w:cs="宋体" w:hint="eastAsia"/>
                <w:szCs w:val="21"/>
              </w:rPr>
              <w:t>前将银行间成交单及相关划款指令发送至基金托管人。基金管理人应与基金托管人确认基金托管人已完成证书和权限设置后方可进行基金财产的银行间交易。</w:t>
            </w:r>
          </w:p>
          <w:p w:rsidR="00D44595" w:rsidRDefault="005E32CC">
            <w:pPr>
              <w:rPr>
                <w:rFonts w:ascii="宋体" w:eastAsia="宋体" w:hAnsi="宋体" w:cs="宋体"/>
                <w:szCs w:val="21"/>
              </w:rPr>
            </w:pPr>
            <w:r>
              <w:rPr>
                <w:rFonts w:ascii="宋体" w:eastAsia="宋体" w:hAnsi="宋体" w:cs="宋体" w:hint="eastAsia"/>
                <w:szCs w:val="21"/>
              </w:rPr>
              <w:t>对上海证券交易所认购权证行权交易，基金管理人应于行权日</w:t>
            </w:r>
            <w:r>
              <w:rPr>
                <w:rFonts w:ascii="宋体" w:eastAsia="宋体" w:hAnsi="宋体" w:cs="宋体" w:hint="eastAsia"/>
                <w:szCs w:val="21"/>
              </w:rPr>
              <w:t xml:space="preserve">15:00 </w:t>
            </w:r>
            <w:r>
              <w:rPr>
                <w:rFonts w:ascii="宋体" w:eastAsia="宋体" w:hAnsi="宋体" w:cs="宋体" w:hint="eastAsia"/>
                <w:szCs w:val="21"/>
              </w:rPr>
              <w:t>前将需要交付的行权金额及费用书面通知基金托管人，基金托管人在</w:t>
            </w:r>
            <w:r>
              <w:rPr>
                <w:rFonts w:ascii="宋体" w:eastAsia="宋体" w:hAnsi="宋体" w:cs="宋体" w:hint="eastAsia"/>
                <w:szCs w:val="21"/>
              </w:rPr>
              <w:t xml:space="preserve">16:00 </w:t>
            </w:r>
            <w:r>
              <w:rPr>
                <w:rFonts w:ascii="宋体" w:eastAsia="宋体" w:hAnsi="宋体" w:cs="宋体" w:hint="eastAsia"/>
                <w:szCs w:val="21"/>
              </w:rPr>
              <w:t>前支付至中国证券登记结算有限责任公司指定账户。</w:t>
            </w:r>
          </w:p>
          <w:p w:rsidR="00D44595" w:rsidRDefault="005E32CC">
            <w:pPr>
              <w:rPr>
                <w:rFonts w:ascii="宋体" w:eastAsia="宋体" w:hAnsi="宋体" w:cs="宋体"/>
                <w:szCs w:val="21"/>
              </w:rPr>
            </w:pPr>
            <w:r>
              <w:rPr>
                <w:rFonts w:ascii="宋体" w:eastAsia="宋体" w:hAnsi="宋体" w:cs="宋体" w:hint="eastAsia"/>
                <w:szCs w:val="21"/>
              </w:rPr>
              <w:t>对于指定时间出款的交易指令，基金管理人应提前</w:t>
            </w:r>
            <w:r>
              <w:rPr>
                <w:rFonts w:ascii="宋体" w:eastAsia="宋体" w:hAnsi="宋体" w:cs="宋体" w:hint="eastAsia"/>
                <w:szCs w:val="21"/>
              </w:rPr>
              <w:t>2</w:t>
            </w:r>
            <w:r>
              <w:rPr>
                <w:rFonts w:ascii="宋体" w:eastAsia="宋体" w:hAnsi="宋体" w:cs="宋体" w:hint="eastAsia"/>
                <w:szCs w:val="21"/>
              </w:rPr>
              <w:t>小时将指令发送至基金托管人；对于基金管理人于</w:t>
            </w:r>
            <w:r>
              <w:rPr>
                <w:rFonts w:ascii="宋体" w:eastAsia="宋体" w:hAnsi="宋体" w:cs="宋体" w:hint="eastAsia"/>
                <w:szCs w:val="21"/>
              </w:rPr>
              <w:t>15:00</w:t>
            </w:r>
            <w:r>
              <w:rPr>
                <w:rFonts w:ascii="宋体" w:eastAsia="宋体" w:hAnsi="宋体" w:cs="宋体" w:hint="eastAsia"/>
                <w:szCs w:val="21"/>
              </w:rPr>
              <w:t>以后发送至基金托管人的指令，基金托管人不保证当日出款。</w:t>
            </w:r>
          </w:p>
        </w:tc>
      </w:tr>
      <w:tr w:rsidR="00D44595">
        <w:tc>
          <w:tcPr>
            <w:tcW w:w="1018" w:type="dxa"/>
            <w:vMerge w:val="restart"/>
          </w:tcPr>
          <w:p w:rsidR="00D44595" w:rsidRDefault="005E32CC">
            <w:pPr>
              <w:pStyle w:val="111"/>
              <w:rPr>
                <w:rFonts w:eastAsia="宋体" w:hAnsi="宋体" w:cs="宋体"/>
                <w:bCs/>
                <w:color w:val="auto"/>
                <w:sz w:val="21"/>
                <w:szCs w:val="21"/>
              </w:rPr>
            </w:pPr>
            <w:r>
              <w:rPr>
                <w:rFonts w:eastAsia="宋体" w:hAnsi="宋体" w:cs="宋体" w:hint="eastAsia"/>
                <w:bCs/>
                <w:color w:val="auto"/>
                <w:sz w:val="21"/>
                <w:szCs w:val="21"/>
              </w:rPr>
              <w:t>七、交易</w:t>
            </w:r>
            <w:r>
              <w:rPr>
                <w:rFonts w:eastAsia="宋体" w:hAnsi="宋体" w:cs="宋体" w:hint="eastAsia"/>
                <w:bCs/>
                <w:color w:val="auto"/>
                <w:sz w:val="21"/>
                <w:szCs w:val="21"/>
              </w:rPr>
              <w:lastRenderedPageBreak/>
              <w:t>及清算交收安排</w:t>
            </w:r>
          </w:p>
          <w:p w:rsidR="00D44595" w:rsidRDefault="00D44595">
            <w:pPr>
              <w:rPr>
                <w:rFonts w:ascii="宋体" w:eastAsia="宋体" w:hAnsi="宋体" w:cs="宋体"/>
                <w:b/>
                <w:bCs/>
                <w:szCs w:val="21"/>
              </w:rPr>
            </w:pPr>
          </w:p>
        </w:tc>
        <w:tc>
          <w:tcPr>
            <w:tcW w:w="4082" w:type="dxa"/>
          </w:tcPr>
          <w:p w:rsidR="00D44595" w:rsidRDefault="005E32CC">
            <w:pPr>
              <w:rPr>
                <w:rFonts w:ascii="宋体" w:eastAsia="宋体" w:hAnsi="宋体" w:cs="宋体"/>
                <w:szCs w:val="21"/>
              </w:rPr>
            </w:pPr>
            <w:r>
              <w:rPr>
                <w:rFonts w:ascii="宋体" w:eastAsia="宋体" w:hAnsi="宋体" w:cs="宋体" w:hint="eastAsia"/>
                <w:szCs w:val="21"/>
              </w:rPr>
              <w:lastRenderedPageBreak/>
              <w:t>（一）选择代理买卖证券、期货的证券、期货经</w:t>
            </w:r>
            <w:r>
              <w:rPr>
                <w:rFonts w:ascii="宋体" w:eastAsia="宋体" w:hAnsi="宋体" w:cs="宋体" w:hint="eastAsia"/>
                <w:b/>
                <w:bCs/>
                <w:strike/>
                <w:szCs w:val="21"/>
              </w:rPr>
              <w:t>营</w:t>
            </w:r>
            <w:r>
              <w:rPr>
                <w:rFonts w:ascii="宋体" w:eastAsia="宋体" w:hAnsi="宋体" w:cs="宋体" w:hint="eastAsia"/>
                <w:szCs w:val="21"/>
              </w:rPr>
              <w:t>机构</w:t>
            </w:r>
          </w:p>
          <w:p w:rsidR="00D44595" w:rsidRDefault="005E32CC">
            <w:pPr>
              <w:rPr>
                <w:rFonts w:ascii="宋体" w:eastAsia="宋体" w:hAnsi="宋体" w:cs="宋体"/>
                <w:szCs w:val="21"/>
              </w:rPr>
            </w:pPr>
            <w:r>
              <w:rPr>
                <w:rFonts w:ascii="宋体" w:eastAsia="宋体" w:hAnsi="宋体" w:cs="宋体" w:hint="eastAsia"/>
                <w:b/>
                <w:bCs/>
                <w:strike/>
                <w:szCs w:val="21"/>
              </w:rPr>
              <w:t>1</w:t>
            </w:r>
            <w:r>
              <w:rPr>
                <w:rFonts w:ascii="宋体" w:eastAsia="宋体" w:hAnsi="宋体" w:cs="宋体" w:hint="eastAsia"/>
                <w:b/>
                <w:bCs/>
                <w:strike/>
                <w:szCs w:val="21"/>
              </w:rPr>
              <w:t>、基金管理人应设计选择代理证券买卖的</w:t>
            </w:r>
            <w:r>
              <w:rPr>
                <w:rFonts w:ascii="宋体" w:eastAsia="宋体" w:hAnsi="宋体" w:cs="宋体" w:hint="eastAsia"/>
                <w:b/>
                <w:bCs/>
                <w:strike/>
                <w:szCs w:val="21"/>
              </w:rPr>
              <w:lastRenderedPageBreak/>
              <w:t>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选中的证券经营机构交付。基金管理人应根据有关规定，在基金的中期报告和年度报告中将所选证券经营</w:t>
            </w:r>
            <w:r>
              <w:rPr>
                <w:rFonts w:ascii="宋体" w:eastAsia="宋体" w:hAnsi="宋体" w:cs="宋体" w:hint="eastAsia"/>
                <w:b/>
                <w:bCs/>
                <w:strike/>
                <w:szCs w:val="21"/>
              </w:rPr>
              <w:t>机构的有关情况、基金通过该证券经营机构买卖证券的成交量、回购成交量和支付的佣金等予以披露，并将该等情况及基金交易单元号、佣金费率等基本信息以及变更情况及时以书面形式通知基金托管人。</w:t>
            </w:r>
          </w:p>
        </w:tc>
        <w:tc>
          <w:tcPr>
            <w:tcW w:w="4095" w:type="dxa"/>
          </w:tcPr>
          <w:p w:rsidR="00D44595" w:rsidRDefault="005E32CC">
            <w:pPr>
              <w:rPr>
                <w:rFonts w:ascii="宋体" w:eastAsia="宋体" w:hAnsi="宋体" w:cs="宋体"/>
                <w:szCs w:val="21"/>
              </w:rPr>
            </w:pPr>
            <w:r>
              <w:rPr>
                <w:rFonts w:ascii="宋体" w:eastAsia="宋体" w:hAnsi="宋体" w:cs="宋体" w:hint="eastAsia"/>
                <w:szCs w:val="21"/>
              </w:rPr>
              <w:lastRenderedPageBreak/>
              <w:t>（一）选择代理买卖证券、期货的证券、期货经</w:t>
            </w:r>
            <w:r>
              <w:rPr>
                <w:rFonts w:ascii="宋体" w:eastAsia="宋体" w:hAnsi="宋体" w:cs="宋体" w:hint="eastAsia"/>
                <w:b/>
                <w:bCs/>
                <w:szCs w:val="21"/>
                <w:u w:val="single"/>
              </w:rPr>
              <w:t>纪</w:t>
            </w:r>
            <w:r>
              <w:rPr>
                <w:rFonts w:ascii="宋体" w:eastAsia="宋体" w:hAnsi="宋体" w:cs="宋体" w:hint="eastAsia"/>
                <w:szCs w:val="21"/>
              </w:rPr>
              <w:t>机构</w:t>
            </w:r>
          </w:p>
          <w:p w:rsidR="00D44595" w:rsidRDefault="005E32CC">
            <w:pPr>
              <w:rPr>
                <w:rFonts w:ascii="宋体" w:eastAsia="宋体" w:hAnsi="宋体" w:cs="宋体"/>
                <w:szCs w:val="21"/>
              </w:rPr>
            </w:pPr>
            <w:r>
              <w:rPr>
                <w:rFonts w:ascii="宋体" w:eastAsia="宋体" w:hAnsi="宋体" w:cs="宋体" w:hint="eastAsia"/>
                <w:b/>
                <w:bCs/>
                <w:szCs w:val="21"/>
                <w:u w:val="single"/>
              </w:rPr>
              <w:t>1</w:t>
            </w:r>
            <w:r>
              <w:rPr>
                <w:rFonts w:ascii="宋体" w:eastAsia="宋体" w:hAnsi="宋体" w:cs="宋体" w:hint="eastAsia"/>
                <w:b/>
                <w:bCs/>
                <w:szCs w:val="21"/>
                <w:u w:val="single"/>
              </w:rPr>
              <w:t>、基金管理人应制定选择的标准和程序，</w:t>
            </w:r>
            <w:r>
              <w:rPr>
                <w:rFonts w:ascii="宋体" w:eastAsia="宋体" w:hAnsi="宋体" w:cs="宋体" w:hint="eastAsia"/>
                <w:b/>
                <w:bCs/>
                <w:szCs w:val="21"/>
                <w:u w:val="single"/>
              </w:rPr>
              <w:lastRenderedPageBreak/>
              <w:t>并负责根据相关标准以及内部管理制度对有关证券经纪机构进行考察后确定代理本基金证券买卖证券经纪机构，承担相应责任。基金管理人和被选择的证券经纪机构签订证券经纪合同或其他约定的形式，由基金管理人通知基金托管人，并按法律法规要求在法定信息披露报告中</w:t>
            </w:r>
            <w:r>
              <w:rPr>
                <w:rFonts w:ascii="宋体" w:eastAsia="宋体" w:hAnsi="宋体" w:cs="宋体" w:hint="eastAsia"/>
                <w:b/>
                <w:bCs/>
                <w:szCs w:val="21"/>
                <w:u w:val="single"/>
              </w:rPr>
              <w:t>披露有关内容。基金管理人、基金托管人和证券经纪机构可就本基金参与证券交易的具体事项另行签订证券经纪服务协议。</w:t>
            </w:r>
          </w:p>
        </w:tc>
      </w:tr>
      <w:tr w:rsidR="00D44595">
        <w:tc>
          <w:tcPr>
            <w:tcW w:w="1018" w:type="dxa"/>
            <w:vMerge/>
          </w:tcPr>
          <w:p w:rsidR="00D44595" w:rsidRDefault="00D44595">
            <w:pPr>
              <w:rPr>
                <w:rFonts w:ascii="宋体" w:eastAsia="宋体" w:hAnsi="宋体" w:cs="宋体"/>
                <w:b/>
                <w:bCs/>
                <w:szCs w:val="21"/>
              </w:rPr>
            </w:pPr>
          </w:p>
        </w:tc>
        <w:tc>
          <w:tcPr>
            <w:tcW w:w="4082" w:type="dxa"/>
          </w:tcPr>
          <w:p w:rsidR="00D44595" w:rsidRDefault="005E32CC">
            <w:pPr>
              <w:rPr>
                <w:rFonts w:ascii="宋体" w:eastAsia="宋体" w:hAnsi="宋体" w:cs="宋体"/>
                <w:szCs w:val="21"/>
              </w:rPr>
            </w:pPr>
            <w:r>
              <w:rPr>
                <w:rFonts w:ascii="宋体" w:eastAsia="宋体" w:hAnsi="宋体" w:cs="宋体" w:hint="eastAsia"/>
                <w:szCs w:val="21"/>
              </w:rPr>
              <w:t>（二）基金投资证券后的清算交收安排</w:t>
            </w:r>
          </w:p>
          <w:p w:rsidR="00D44595" w:rsidRDefault="005E32CC">
            <w:pPr>
              <w:rPr>
                <w:rFonts w:ascii="宋体" w:eastAsia="宋体" w:hAnsi="宋体" w:cs="宋体"/>
                <w:b/>
                <w:bCs/>
                <w:strike/>
                <w:szCs w:val="21"/>
              </w:rPr>
            </w:pPr>
            <w:r>
              <w:rPr>
                <w:rFonts w:ascii="宋体" w:eastAsia="宋体" w:hAnsi="宋体" w:cs="宋体" w:hint="eastAsia"/>
                <w:b/>
                <w:bCs/>
                <w:strike/>
                <w:szCs w:val="21"/>
              </w:rPr>
              <w:t>基金管理人和基金托管人在基金财产场内清算交收及相关风险控制方面的职责按照附件《托管银行资金结算规定》的要求执行。</w:t>
            </w:r>
          </w:p>
        </w:tc>
        <w:tc>
          <w:tcPr>
            <w:tcW w:w="4095" w:type="dxa"/>
          </w:tcPr>
          <w:p w:rsidR="00D44595" w:rsidRDefault="005E32CC">
            <w:pPr>
              <w:rPr>
                <w:rFonts w:ascii="宋体" w:eastAsia="宋体" w:hAnsi="宋体" w:cs="宋体"/>
                <w:szCs w:val="21"/>
              </w:rPr>
            </w:pPr>
            <w:r>
              <w:rPr>
                <w:rFonts w:ascii="宋体" w:eastAsia="宋体" w:hAnsi="宋体" w:cs="宋体" w:hint="eastAsia"/>
                <w:szCs w:val="21"/>
              </w:rPr>
              <w:t>（二）基金投资证券后的清算交收安排</w:t>
            </w:r>
          </w:p>
          <w:p w:rsidR="00D44595" w:rsidRDefault="005E32CC">
            <w:pPr>
              <w:rPr>
                <w:rFonts w:ascii="宋体" w:eastAsia="宋体" w:hAnsi="宋体" w:cs="宋体"/>
                <w:b/>
                <w:bCs/>
                <w:szCs w:val="21"/>
                <w:u w:val="single"/>
              </w:rPr>
            </w:pPr>
            <w:r>
              <w:rPr>
                <w:rFonts w:ascii="宋体" w:eastAsia="宋体" w:hAnsi="宋体" w:cs="宋体" w:hint="eastAsia"/>
                <w:b/>
                <w:bCs/>
                <w:szCs w:val="21"/>
                <w:u w:val="single"/>
              </w:rPr>
              <w:t>本基金通过证券经纪机构进行的交易由证券经纪机构作为结算参与人代理本基金进行结算；本基金通过期货经纪机构进行的交易由期货经纪机构作为结算参与人代理本基金进行结算；本基金其他证券交易由基金托管人或相关机构负责结算。基金管理人、基金托管人以及被选择的证券经纪机构应根据有关法律法规及相关业务规则，签订证券经纪服务协议，用以具体明确三方在证券交易资金结算业务中的责任。</w:t>
            </w:r>
            <w:r>
              <w:rPr>
                <w:rFonts w:ascii="宋体" w:eastAsia="宋体" w:hAnsi="宋体" w:cs="宋体" w:hint="eastAsia"/>
                <w:b/>
                <w:bCs/>
                <w:szCs w:val="21"/>
                <w:u w:val="single"/>
              </w:rPr>
              <w:t xml:space="preserve"> </w:t>
            </w:r>
          </w:p>
          <w:p w:rsidR="00D44595" w:rsidRDefault="005E32CC">
            <w:pPr>
              <w:rPr>
                <w:rFonts w:ascii="宋体" w:eastAsia="宋体" w:hAnsi="宋体" w:cs="宋体"/>
                <w:b/>
                <w:bCs/>
                <w:szCs w:val="21"/>
                <w:u w:val="single"/>
              </w:rPr>
            </w:pPr>
            <w:r>
              <w:rPr>
                <w:rFonts w:ascii="宋体" w:eastAsia="宋体" w:hAnsi="宋体" w:cs="宋体" w:hint="eastAsia"/>
                <w:b/>
                <w:bCs/>
                <w:szCs w:val="21"/>
                <w:u w:val="single"/>
              </w:rPr>
              <w:t>对基金管理人的资金划拨指令，基金托管人在复核无误后应在规定期限内执行不得延误。</w:t>
            </w:r>
            <w:r>
              <w:rPr>
                <w:rFonts w:ascii="宋体" w:eastAsia="宋体" w:hAnsi="宋体" w:cs="宋体" w:hint="eastAsia"/>
                <w:b/>
                <w:bCs/>
                <w:szCs w:val="21"/>
                <w:u w:val="single"/>
              </w:rPr>
              <w:t xml:space="preserve"> </w:t>
            </w:r>
          </w:p>
          <w:p w:rsidR="00D44595" w:rsidRDefault="005E32CC">
            <w:pPr>
              <w:rPr>
                <w:rFonts w:ascii="宋体" w:eastAsia="宋体" w:hAnsi="宋体" w:cs="宋体"/>
                <w:b/>
                <w:bCs/>
                <w:szCs w:val="21"/>
                <w:u w:val="single"/>
              </w:rPr>
            </w:pPr>
            <w:r>
              <w:rPr>
                <w:rFonts w:ascii="宋体" w:eastAsia="宋体" w:hAnsi="宋体" w:cs="宋体" w:hint="eastAsia"/>
                <w:b/>
                <w:bCs/>
                <w:szCs w:val="21"/>
                <w:u w:val="single"/>
              </w:rPr>
              <w:t>本基金投资于所有场外交易的资金汇划，由基金托管人负责办理。</w:t>
            </w:r>
          </w:p>
          <w:p w:rsidR="00D44595" w:rsidRDefault="005E32CC">
            <w:pPr>
              <w:rPr>
                <w:rFonts w:ascii="宋体" w:eastAsia="宋体" w:hAnsi="宋体" w:cs="宋体"/>
                <w:szCs w:val="21"/>
              </w:rPr>
            </w:pPr>
            <w:r>
              <w:rPr>
                <w:rFonts w:ascii="宋体" w:eastAsia="宋体" w:hAnsi="宋体" w:cs="宋体" w:hint="eastAsia"/>
                <w:b/>
                <w:bCs/>
                <w:szCs w:val="21"/>
                <w:u w:val="single"/>
              </w:rPr>
              <w:t>证券经</w:t>
            </w:r>
            <w:r>
              <w:rPr>
                <w:rFonts w:ascii="宋体" w:eastAsia="宋体" w:hAnsi="宋体" w:cs="宋体" w:hint="eastAsia"/>
                <w:b/>
                <w:bCs/>
                <w:szCs w:val="21"/>
                <w:u w:val="single"/>
              </w:rPr>
              <w:t>纪机构代理本基金财产与中登公司完成证券交易及非交易涉及的证券资金结算业务，并承担由证券经纪机构原因造成的正常结算、交收业务无法完成的责任。</w:t>
            </w:r>
          </w:p>
        </w:tc>
      </w:tr>
      <w:tr w:rsidR="00D44595">
        <w:tc>
          <w:tcPr>
            <w:tcW w:w="1018" w:type="dxa"/>
            <w:vMerge/>
          </w:tcPr>
          <w:p w:rsidR="00D44595" w:rsidRDefault="00D44595">
            <w:pPr>
              <w:rPr>
                <w:rFonts w:ascii="宋体" w:eastAsia="宋体" w:hAnsi="宋体" w:cs="宋体"/>
                <w:b/>
                <w:bCs/>
                <w:szCs w:val="21"/>
              </w:rPr>
            </w:pPr>
          </w:p>
        </w:tc>
        <w:tc>
          <w:tcPr>
            <w:tcW w:w="4082" w:type="dxa"/>
          </w:tcPr>
          <w:p w:rsidR="00D44595" w:rsidRDefault="005E32CC">
            <w:pPr>
              <w:rPr>
                <w:rFonts w:ascii="宋体" w:eastAsia="宋体" w:hAnsi="宋体" w:cs="宋体"/>
                <w:szCs w:val="21"/>
              </w:rPr>
            </w:pPr>
            <w:r>
              <w:rPr>
                <w:rFonts w:ascii="宋体" w:eastAsia="宋体" w:hAnsi="宋体" w:cs="宋体" w:hint="eastAsia"/>
                <w:szCs w:val="21"/>
              </w:rPr>
              <w:t>（四）资金净额结算</w:t>
            </w:r>
          </w:p>
          <w:p w:rsidR="00D44595" w:rsidRDefault="005E32CC">
            <w:pPr>
              <w:rPr>
                <w:rFonts w:ascii="宋体" w:eastAsia="宋体" w:hAnsi="宋体" w:cs="宋体"/>
                <w:b/>
                <w:bCs/>
                <w:strike/>
                <w:szCs w:val="21"/>
              </w:rPr>
            </w:pPr>
            <w:r>
              <w:rPr>
                <w:rFonts w:ascii="宋体" w:eastAsia="宋体" w:hAnsi="宋体" w:cs="宋体" w:hint="eastAsia"/>
                <w:szCs w:val="21"/>
              </w:rPr>
              <w:t>基金资金账户与“基金清算账户”间的资金结算遵循“全额清算、净额交收”的原则，每日</w:t>
            </w:r>
            <w:r>
              <w:rPr>
                <w:rFonts w:ascii="宋体" w:eastAsia="宋体" w:hAnsi="宋体" w:cs="宋体" w:hint="eastAsia"/>
                <w:b/>
                <w:bCs/>
                <w:strike/>
                <w:szCs w:val="21"/>
              </w:rPr>
              <w:t>（</w:t>
            </w:r>
            <w:r>
              <w:rPr>
                <w:rFonts w:ascii="宋体" w:eastAsia="宋体" w:hAnsi="宋体" w:cs="宋体" w:hint="eastAsia"/>
                <w:b/>
                <w:bCs/>
                <w:strike/>
                <w:szCs w:val="21"/>
              </w:rPr>
              <w:t>T</w:t>
            </w:r>
            <w:r>
              <w:rPr>
                <w:rFonts w:ascii="宋体" w:eastAsia="宋体" w:hAnsi="宋体" w:cs="宋体" w:hint="eastAsia"/>
                <w:b/>
                <w:bCs/>
                <w:strike/>
                <w:szCs w:val="21"/>
              </w:rPr>
              <w:t>日：资金交收日，下同）</w:t>
            </w:r>
            <w:r>
              <w:rPr>
                <w:rFonts w:ascii="宋体" w:eastAsia="宋体" w:hAnsi="宋体" w:cs="宋体" w:hint="eastAsia"/>
                <w:szCs w:val="21"/>
              </w:rPr>
              <w:t>按照</w:t>
            </w:r>
            <w:r>
              <w:rPr>
                <w:rFonts w:ascii="宋体" w:eastAsia="宋体" w:hAnsi="宋体" w:cs="宋体" w:hint="eastAsia"/>
                <w:szCs w:val="21"/>
              </w:rPr>
              <w:lastRenderedPageBreak/>
              <w:t>资金账户应收资金（</w:t>
            </w:r>
            <w:r>
              <w:rPr>
                <w:rFonts w:ascii="宋体" w:eastAsia="宋体" w:hAnsi="宋体" w:cs="宋体" w:hint="eastAsia"/>
                <w:b/>
                <w:bCs/>
                <w:strike/>
                <w:szCs w:val="21"/>
              </w:rPr>
              <w:t>T-1</w:t>
            </w:r>
            <w:r>
              <w:rPr>
                <w:rFonts w:ascii="宋体" w:eastAsia="宋体" w:hAnsi="宋体" w:cs="宋体" w:hint="eastAsia"/>
                <w:b/>
                <w:bCs/>
                <w:strike/>
                <w:szCs w:val="21"/>
              </w:rPr>
              <w:t>日直销申购申请金额与</w:t>
            </w:r>
            <w:r>
              <w:rPr>
                <w:rFonts w:ascii="宋体" w:eastAsia="宋体" w:hAnsi="宋体" w:cs="宋体" w:hint="eastAsia"/>
                <w:b/>
                <w:bCs/>
                <w:strike/>
                <w:szCs w:val="21"/>
              </w:rPr>
              <w:t>T-2</w:t>
            </w:r>
            <w:r>
              <w:rPr>
                <w:rFonts w:ascii="宋体" w:eastAsia="宋体" w:hAnsi="宋体" w:cs="宋体" w:hint="eastAsia"/>
                <w:b/>
                <w:bCs/>
                <w:strike/>
                <w:szCs w:val="21"/>
              </w:rPr>
              <w:t>日代销申购申请金额与</w:t>
            </w:r>
            <w:r>
              <w:rPr>
                <w:rFonts w:ascii="宋体" w:eastAsia="宋体" w:hAnsi="宋体" w:cs="宋体" w:hint="eastAsia"/>
                <w:b/>
                <w:bCs/>
                <w:strike/>
                <w:szCs w:val="21"/>
              </w:rPr>
              <w:t>T-3</w:t>
            </w:r>
            <w:r>
              <w:rPr>
                <w:rFonts w:ascii="宋体" w:eastAsia="宋体" w:hAnsi="宋体" w:cs="宋体" w:hint="eastAsia"/>
                <w:b/>
                <w:bCs/>
                <w:strike/>
                <w:szCs w:val="21"/>
              </w:rPr>
              <w:t>日基金转换转入申请金额之和</w:t>
            </w:r>
            <w:r>
              <w:rPr>
                <w:rFonts w:ascii="宋体" w:eastAsia="宋体" w:hAnsi="宋体" w:cs="宋体" w:hint="eastAsia"/>
                <w:szCs w:val="21"/>
              </w:rPr>
              <w:t>）与应付资金（</w:t>
            </w:r>
            <w:r>
              <w:rPr>
                <w:rFonts w:ascii="宋体" w:eastAsia="宋体" w:hAnsi="宋体" w:cs="宋体" w:hint="eastAsia"/>
                <w:b/>
                <w:bCs/>
                <w:strike/>
                <w:szCs w:val="21"/>
              </w:rPr>
              <w:t>T-3</w:t>
            </w:r>
            <w:r>
              <w:rPr>
                <w:rFonts w:ascii="宋体" w:eastAsia="宋体" w:hAnsi="宋体" w:cs="宋体" w:hint="eastAsia"/>
                <w:b/>
                <w:bCs/>
                <w:strike/>
                <w:szCs w:val="21"/>
              </w:rPr>
              <w:t>日赎回金额与</w:t>
            </w:r>
            <w:r>
              <w:rPr>
                <w:rFonts w:ascii="宋体" w:eastAsia="宋体" w:hAnsi="宋体" w:cs="宋体" w:hint="eastAsia"/>
                <w:b/>
                <w:bCs/>
                <w:strike/>
                <w:szCs w:val="21"/>
              </w:rPr>
              <w:t>T-3</w:t>
            </w:r>
            <w:r>
              <w:rPr>
                <w:rFonts w:ascii="宋体" w:eastAsia="宋体" w:hAnsi="宋体" w:cs="宋体" w:hint="eastAsia"/>
                <w:b/>
                <w:bCs/>
                <w:strike/>
                <w:szCs w:val="21"/>
              </w:rPr>
              <w:t>日基金转换出金额之和</w:t>
            </w:r>
            <w:r>
              <w:rPr>
                <w:rFonts w:ascii="宋体" w:eastAsia="宋体" w:hAnsi="宋体" w:cs="宋体" w:hint="eastAsia"/>
                <w:szCs w:val="21"/>
              </w:rPr>
              <w:t>）差额来确定资金账户净应收额或净应付额，以此确定资金交收额，基金托管人应当为基金管理人提供适当方式，便于基金管理人进行查询和账务管理。当存在资金账户净应收额时，基金管理人应在交收日</w:t>
            </w:r>
            <w:r>
              <w:rPr>
                <w:rFonts w:ascii="宋体" w:eastAsia="宋体" w:hAnsi="宋体" w:cs="宋体" w:hint="eastAsia"/>
                <w:szCs w:val="21"/>
              </w:rPr>
              <w:t>15:00</w:t>
            </w:r>
            <w:r>
              <w:rPr>
                <w:rFonts w:ascii="宋体" w:eastAsia="宋体" w:hAnsi="宋体" w:cs="宋体" w:hint="eastAsia"/>
                <w:szCs w:val="21"/>
              </w:rPr>
              <w:t>时之前从基金清算账户划往基金资金账户，基金管理人通过基金托管人提供的方式查询结果；当存在资金账户净应付额时，基金托管人按照基金管理人的划款指令将托管账户净应付额在交收日及时划往基金清算账户，基金管理人通过基金托管人提供的方式查询结果。</w:t>
            </w:r>
          </w:p>
        </w:tc>
        <w:tc>
          <w:tcPr>
            <w:tcW w:w="4095" w:type="dxa"/>
          </w:tcPr>
          <w:p w:rsidR="00D44595" w:rsidRDefault="005E32CC">
            <w:pPr>
              <w:rPr>
                <w:rFonts w:ascii="宋体" w:eastAsia="宋体" w:hAnsi="宋体" w:cs="宋体"/>
                <w:szCs w:val="21"/>
              </w:rPr>
            </w:pPr>
            <w:r>
              <w:rPr>
                <w:rFonts w:ascii="宋体" w:eastAsia="宋体" w:hAnsi="宋体" w:cs="宋体" w:hint="eastAsia"/>
                <w:szCs w:val="21"/>
              </w:rPr>
              <w:lastRenderedPageBreak/>
              <w:t>（四）资金净额结算</w:t>
            </w:r>
          </w:p>
          <w:p w:rsidR="00D44595" w:rsidRDefault="005E32CC">
            <w:pPr>
              <w:rPr>
                <w:rFonts w:ascii="宋体" w:eastAsia="宋体" w:hAnsi="宋体" w:cs="宋体"/>
                <w:b/>
                <w:bCs/>
                <w:szCs w:val="21"/>
                <w:u w:val="single"/>
              </w:rPr>
            </w:pPr>
            <w:r>
              <w:rPr>
                <w:rFonts w:ascii="宋体" w:eastAsia="宋体" w:hAnsi="宋体" w:cs="宋体" w:hint="eastAsia"/>
                <w:szCs w:val="21"/>
              </w:rPr>
              <w:t>基金资金账户与“基金清算账户”间的资金结算遵循“全额清算、净额交收</w:t>
            </w:r>
            <w:r>
              <w:rPr>
                <w:rFonts w:ascii="宋体" w:eastAsia="宋体" w:hAnsi="宋体" w:cs="宋体" w:hint="eastAsia"/>
                <w:szCs w:val="21"/>
              </w:rPr>
              <w:t>”的原则，每日按照资金账户应收资金（</w:t>
            </w:r>
            <w:r>
              <w:rPr>
                <w:rFonts w:ascii="宋体" w:eastAsia="宋体" w:hAnsi="宋体" w:cs="宋体" w:hint="eastAsia"/>
                <w:b/>
                <w:bCs/>
                <w:szCs w:val="21"/>
                <w:u w:val="single"/>
              </w:rPr>
              <w:t>申购申</w:t>
            </w:r>
            <w:r>
              <w:rPr>
                <w:rFonts w:ascii="宋体" w:eastAsia="宋体" w:hAnsi="宋体" w:cs="宋体" w:hint="eastAsia"/>
                <w:b/>
                <w:bCs/>
                <w:szCs w:val="21"/>
                <w:u w:val="single"/>
              </w:rPr>
              <w:lastRenderedPageBreak/>
              <w:t>请对应申购净额与基金转换转入申请对应净额之和</w:t>
            </w:r>
            <w:r>
              <w:rPr>
                <w:rFonts w:ascii="宋体" w:eastAsia="宋体" w:hAnsi="宋体" w:cs="宋体" w:hint="eastAsia"/>
                <w:szCs w:val="21"/>
              </w:rPr>
              <w:t>）与应付资金（</w:t>
            </w:r>
            <w:r>
              <w:rPr>
                <w:rFonts w:ascii="宋体" w:eastAsia="宋体" w:hAnsi="宋体" w:cs="宋体" w:hint="eastAsia"/>
                <w:b/>
                <w:bCs/>
                <w:szCs w:val="21"/>
                <w:u w:val="single"/>
              </w:rPr>
              <w:t>赎回申请对应赎回金额扣除归基金资产的费用与基金转换转出申请对应金额扣除归基金资产的费用之和</w:t>
            </w:r>
            <w:r>
              <w:rPr>
                <w:rFonts w:ascii="宋体" w:eastAsia="宋体" w:hAnsi="宋体" w:cs="宋体" w:hint="eastAsia"/>
                <w:szCs w:val="21"/>
              </w:rPr>
              <w:t>）差额来确定资金账户净应收额或净应付额，以此确定资金交收额，基金托管人应当为基金管理人提供适当方式，便于基金管理人进行查询和账务管理。当存在资金账户净应收额时，基金管理人应在交收日</w:t>
            </w:r>
            <w:r>
              <w:rPr>
                <w:rFonts w:ascii="宋体" w:eastAsia="宋体" w:hAnsi="宋体" w:cs="宋体" w:hint="eastAsia"/>
                <w:szCs w:val="21"/>
              </w:rPr>
              <w:t>15:00</w:t>
            </w:r>
            <w:r>
              <w:rPr>
                <w:rFonts w:ascii="宋体" w:eastAsia="宋体" w:hAnsi="宋体" w:cs="宋体" w:hint="eastAsia"/>
                <w:szCs w:val="21"/>
              </w:rPr>
              <w:t>时之前从基金清算账户划往基金资金账户，基金管理人通过基金托管人提供的方式查询结果；当存在资金账户净应付额时，基金托管人按照基金管理人</w:t>
            </w:r>
            <w:r>
              <w:rPr>
                <w:rFonts w:ascii="宋体" w:eastAsia="宋体" w:hAnsi="宋体" w:cs="宋体" w:hint="eastAsia"/>
                <w:szCs w:val="21"/>
              </w:rPr>
              <w:t>的划款指令将托管账户净应付额在交收日及时划往基金清算账户，基金管理人通过基金托管人提供的方式查询结果。</w:t>
            </w:r>
          </w:p>
        </w:tc>
      </w:tr>
      <w:tr w:rsidR="00D44595">
        <w:tc>
          <w:tcPr>
            <w:tcW w:w="1018" w:type="dxa"/>
          </w:tcPr>
          <w:p w:rsidR="00D44595" w:rsidRDefault="005E32CC">
            <w:pPr>
              <w:rPr>
                <w:rFonts w:ascii="宋体" w:eastAsia="宋体" w:hAnsi="宋体" w:cs="宋体"/>
                <w:b/>
                <w:bCs/>
                <w:szCs w:val="21"/>
              </w:rPr>
            </w:pPr>
            <w:r>
              <w:rPr>
                <w:rFonts w:ascii="宋体" w:eastAsia="宋体" w:hAnsi="宋体" w:cs="宋体" w:hint="eastAsia"/>
                <w:b/>
                <w:bCs/>
                <w:szCs w:val="21"/>
              </w:rPr>
              <w:lastRenderedPageBreak/>
              <w:t>二十、其他事项</w:t>
            </w:r>
          </w:p>
        </w:tc>
        <w:tc>
          <w:tcPr>
            <w:tcW w:w="4082" w:type="dxa"/>
          </w:tcPr>
          <w:p w:rsidR="00D44595" w:rsidRDefault="005E32CC">
            <w:pPr>
              <w:rPr>
                <w:rFonts w:ascii="宋体" w:eastAsia="宋体" w:hAnsi="宋体" w:cs="宋体"/>
                <w:szCs w:val="21"/>
              </w:rPr>
            </w:pPr>
            <w:r>
              <w:rPr>
                <w:rFonts w:ascii="宋体" w:hAnsi="宋体" w:hint="eastAsia"/>
                <w:b/>
                <w:strike/>
                <w:szCs w:val="21"/>
              </w:rPr>
              <w:t>本协议附件</w:t>
            </w:r>
            <w:r>
              <w:rPr>
                <w:rFonts w:ascii="宋体" w:hAnsi="宋体" w:cs="Arial" w:hint="eastAsia"/>
                <w:b/>
                <w:strike/>
                <w:szCs w:val="21"/>
              </w:rPr>
              <w:t>构成</w:t>
            </w:r>
            <w:r>
              <w:rPr>
                <w:rFonts w:ascii="宋体" w:hAnsi="宋体" w:hint="eastAsia"/>
                <w:b/>
                <w:strike/>
                <w:szCs w:val="21"/>
              </w:rPr>
              <w:t>本协议不可分割的组成部分。</w:t>
            </w:r>
          </w:p>
        </w:tc>
        <w:tc>
          <w:tcPr>
            <w:tcW w:w="4095" w:type="dxa"/>
          </w:tcPr>
          <w:p w:rsidR="00D44595" w:rsidRDefault="005E32CC">
            <w:pPr>
              <w:rPr>
                <w:rFonts w:ascii="宋体" w:eastAsia="宋体" w:hAnsi="宋体" w:cs="宋体"/>
                <w:szCs w:val="21"/>
              </w:rPr>
            </w:pPr>
            <w:r>
              <w:rPr>
                <w:rFonts w:ascii="宋体" w:eastAsia="宋体" w:hAnsi="宋体" w:cs="宋体" w:hint="eastAsia"/>
                <w:szCs w:val="21"/>
              </w:rPr>
              <w:t>（删除）</w:t>
            </w:r>
          </w:p>
        </w:tc>
      </w:tr>
      <w:tr w:rsidR="00D44595">
        <w:tc>
          <w:tcPr>
            <w:tcW w:w="1018" w:type="dxa"/>
          </w:tcPr>
          <w:p w:rsidR="00D44595" w:rsidRDefault="005E32CC">
            <w:pPr>
              <w:rPr>
                <w:rFonts w:ascii="宋体" w:eastAsia="宋体" w:hAnsi="宋体" w:cs="宋体"/>
                <w:b/>
                <w:bCs/>
                <w:szCs w:val="21"/>
              </w:rPr>
            </w:pPr>
            <w:r>
              <w:rPr>
                <w:rFonts w:ascii="宋体" w:eastAsia="宋体" w:hAnsi="宋体" w:cs="宋体" w:hint="eastAsia"/>
                <w:b/>
                <w:bCs/>
                <w:szCs w:val="21"/>
              </w:rPr>
              <w:t>附件</w:t>
            </w:r>
          </w:p>
        </w:tc>
        <w:tc>
          <w:tcPr>
            <w:tcW w:w="4082" w:type="dxa"/>
          </w:tcPr>
          <w:p w:rsidR="00D44595" w:rsidRDefault="005E32CC">
            <w:pPr>
              <w:rPr>
                <w:rFonts w:ascii="宋体" w:hAnsi="宋体"/>
                <w:b/>
                <w:strike/>
                <w:szCs w:val="21"/>
              </w:rPr>
            </w:pPr>
            <w:r>
              <w:rPr>
                <w:rFonts w:ascii="宋体" w:hAnsi="宋体" w:hint="eastAsia"/>
                <w:b/>
                <w:strike/>
                <w:szCs w:val="21"/>
              </w:rPr>
              <w:t>托管银行证券资金结算规定</w:t>
            </w:r>
          </w:p>
        </w:tc>
        <w:tc>
          <w:tcPr>
            <w:tcW w:w="4095" w:type="dxa"/>
          </w:tcPr>
          <w:p w:rsidR="00D44595" w:rsidRDefault="005E32CC">
            <w:pPr>
              <w:rPr>
                <w:rFonts w:ascii="宋体" w:eastAsia="宋体" w:hAnsi="宋体" w:cs="宋体"/>
                <w:szCs w:val="21"/>
              </w:rPr>
            </w:pPr>
            <w:r>
              <w:rPr>
                <w:rFonts w:ascii="宋体" w:eastAsia="宋体" w:hAnsi="宋体" w:cs="宋体" w:hint="eastAsia"/>
                <w:szCs w:val="21"/>
              </w:rPr>
              <w:t>（删除）</w:t>
            </w:r>
          </w:p>
        </w:tc>
      </w:tr>
    </w:tbl>
    <w:p w:rsidR="00D44595" w:rsidRDefault="00D44595">
      <w:pPr>
        <w:spacing w:line="360" w:lineRule="auto"/>
      </w:pPr>
    </w:p>
    <w:sectPr w:rsidR="00D44595" w:rsidSect="00D445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4337E"/>
    <w:rsid w:val="00172A27"/>
    <w:rsid w:val="001A0CB5"/>
    <w:rsid w:val="003A67C3"/>
    <w:rsid w:val="004A0814"/>
    <w:rsid w:val="005C1772"/>
    <w:rsid w:val="005E32CC"/>
    <w:rsid w:val="007B2178"/>
    <w:rsid w:val="007C57E5"/>
    <w:rsid w:val="00825B38"/>
    <w:rsid w:val="008824A4"/>
    <w:rsid w:val="008B40D3"/>
    <w:rsid w:val="00A47ECF"/>
    <w:rsid w:val="00C273B9"/>
    <w:rsid w:val="00C3277E"/>
    <w:rsid w:val="00D44595"/>
    <w:rsid w:val="00D53CEA"/>
    <w:rsid w:val="00D9493C"/>
    <w:rsid w:val="00DB6918"/>
    <w:rsid w:val="00DC4772"/>
    <w:rsid w:val="00EE1512"/>
    <w:rsid w:val="010319AE"/>
    <w:rsid w:val="03C9722F"/>
    <w:rsid w:val="04BC0237"/>
    <w:rsid w:val="06BE1DD3"/>
    <w:rsid w:val="08431533"/>
    <w:rsid w:val="08BB080C"/>
    <w:rsid w:val="09B1591F"/>
    <w:rsid w:val="0DDC090A"/>
    <w:rsid w:val="0E812226"/>
    <w:rsid w:val="11086382"/>
    <w:rsid w:val="112E4F53"/>
    <w:rsid w:val="118159D0"/>
    <w:rsid w:val="12FD2134"/>
    <w:rsid w:val="16E73D24"/>
    <w:rsid w:val="188209A3"/>
    <w:rsid w:val="18AC4909"/>
    <w:rsid w:val="1EFE309C"/>
    <w:rsid w:val="1F431523"/>
    <w:rsid w:val="204A5607"/>
    <w:rsid w:val="211F7E45"/>
    <w:rsid w:val="23E2706A"/>
    <w:rsid w:val="24F66CE3"/>
    <w:rsid w:val="27E02A3D"/>
    <w:rsid w:val="27E50313"/>
    <w:rsid w:val="29F957E5"/>
    <w:rsid w:val="2A431322"/>
    <w:rsid w:val="2C420326"/>
    <w:rsid w:val="30080BE2"/>
    <w:rsid w:val="31524FDA"/>
    <w:rsid w:val="31FC00E3"/>
    <w:rsid w:val="392E385F"/>
    <w:rsid w:val="40601ACB"/>
    <w:rsid w:val="44341E1A"/>
    <w:rsid w:val="46A04D62"/>
    <w:rsid w:val="472E0844"/>
    <w:rsid w:val="48130947"/>
    <w:rsid w:val="48471DFC"/>
    <w:rsid w:val="4A272D40"/>
    <w:rsid w:val="4A5533F5"/>
    <w:rsid w:val="4C2D6F06"/>
    <w:rsid w:val="4D491AD7"/>
    <w:rsid w:val="4E6B1BDB"/>
    <w:rsid w:val="4E8C5DCD"/>
    <w:rsid w:val="4EBB2897"/>
    <w:rsid w:val="4F1B1DEC"/>
    <w:rsid w:val="50C42C94"/>
    <w:rsid w:val="517F0B06"/>
    <w:rsid w:val="538A7AA5"/>
    <w:rsid w:val="58951DE3"/>
    <w:rsid w:val="627054D9"/>
    <w:rsid w:val="628342BB"/>
    <w:rsid w:val="6D10675C"/>
    <w:rsid w:val="6EBD65BB"/>
    <w:rsid w:val="6FA355B4"/>
    <w:rsid w:val="70AB3BE8"/>
    <w:rsid w:val="70E32D28"/>
    <w:rsid w:val="71530A86"/>
    <w:rsid w:val="719640FA"/>
    <w:rsid w:val="72450106"/>
    <w:rsid w:val="7904051A"/>
    <w:rsid w:val="79387332"/>
    <w:rsid w:val="7B0B64B2"/>
    <w:rsid w:val="7D4E22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59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44595"/>
    <w:pPr>
      <w:jc w:val="left"/>
    </w:pPr>
  </w:style>
  <w:style w:type="paragraph" w:styleId="a4">
    <w:name w:val="Balloon Text"/>
    <w:basedOn w:val="a"/>
    <w:link w:val="Char"/>
    <w:qFormat/>
    <w:rsid w:val="00D44595"/>
    <w:rPr>
      <w:sz w:val="18"/>
      <w:szCs w:val="18"/>
    </w:rPr>
  </w:style>
  <w:style w:type="paragraph" w:styleId="a5">
    <w:name w:val="footer"/>
    <w:basedOn w:val="a"/>
    <w:link w:val="Char0"/>
    <w:qFormat/>
    <w:rsid w:val="00D44595"/>
    <w:pPr>
      <w:tabs>
        <w:tab w:val="center" w:pos="4153"/>
        <w:tab w:val="right" w:pos="8306"/>
      </w:tabs>
      <w:snapToGrid w:val="0"/>
      <w:jc w:val="left"/>
    </w:pPr>
    <w:rPr>
      <w:sz w:val="18"/>
      <w:szCs w:val="18"/>
    </w:rPr>
  </w:style>
  <w:style w:type="paragraph" w:styleId="a6">
    <w:name w:val="header"/>
    <w:basedOn w:val="a"/>
    <w:link w:val="Char1"/>
    <w:qFormat/>
    <w:rsid w:val="00D44595"/>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qFormat/>
    <w:rsid w:val="00D44595"/>
    <w:rPr>
      <w:sz w:val="21"/>
      <w:szCs w:val="21"/>
    </w:rPr>
  </w:style>
  <w:style w:type="paragraph" w:customStyle="1" w:styleId="Default">
    <w:name w:val="Default"/>
    <w:uiPriority w:val="99"/>
    <w:unhideWhenUsed/>
    <w:qFormat/>
    <w:rsid w:val="00D44595"/>
    <w:pPr>
      <w:widowControl w:val="0"/>
      <w:autoSpaceDE w:val="0"/>
      <w:autoSpaceDN w:val="0"/>
      <w:adjustRightInd w:val="0"/>
    </w:pPr>
    <w:rPr>
      <w:rFonts w:ascii="宋体" w:hAnsi="宋体" w:hint="eastAsia"/>
      <w:color w:val="000000"/>
      <w:sz w:val="24"/>
      <w:szCs w:val="24"/>
    </w:rPr>
  </w:style>
  <w:style w:type="paragraph" w:customStyle="1" w:styleId="111">
    <w:name w:val="标题 111"/>
    <w:basedOn w:val="a"/>
    <w:next w:val="a"/>
    <w:uiPriority w:val="99"/>
    <w:qFormat/>
    <w:rsid w:val="00D44595"/>
    <w:pPr>
      <w:keepNext/>
      <w:keepLines/>
      <w:spacing w:before="120" w:after="120" w:line="360" w:lineRule="auto"/>
      <w:outlineLvl w:val="0"/>
    </w:pPr>
    <w:rPr>
      <w:rFonts w:ascii="宋体"/>
      <w:b/>
      <w:color w:val="000000"/>
      <w:sz w:val="24"/>
      <w:szCs w:val="20"/>
    </w:rPr>
  </w:style>
  <w:style w:type="character" w:customStyle="1" w:styleId="Char">
    <w:name w:val="批注框文本 Char"/>
    <w:basedOn w:val="a0"/>
    <w:link w:val="a4"/>
    <w:qFormat/>
    <w:rsid w:val="00D44595"/>
    <w:rPr>
      <w:rFonts w:asciiTheme="minorHAnsi" w:eastAsiaTheme="minorEastAsia" w:hAnsiTheme="minorHAnsi" w:cstheme="minorBidi"/>
      <w:kern w:val="2"/>
      <w:sz w:val="18"/>
      <w:szCs w:val="18"/>
    </w:rPr>
  </w:style>
  <w:style w:type="character" w:customStyle="1" w:styleId="Char1">
    <w:name w:val="页眉 Char"/>
    <w:basedOn w:val="a0"/>
    <w:link w:val="a6"/>
    <w:qFormat/>
    <w:rsid w:val="00D44595"/>
    <w:rPr>
      <w:rFonts w:asciiTheme="minorHAnsi" w:eastAsiaTheme="minorEastAsia" w:hAnsiTheme="minorHAnsi" w:cstheme="minorBidi"/>
      <w:kern w:val="2"/>
      <w:sz w:val="18"/>
      <w:szCs w:val="18"/>
    </w:rPr>
  </w:style>
  <w:style w:type="character" w:customStyle="1" w:styleId="Char0">
    <w:name w:val="页脚 Char"/>
    <w:basedOn w:val="a0"/>
    <w:link w:val="a5"/>
    <w:qFormat/>
    <w:rsid w:val="00D4459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758</Words>
  <Characters>4322</Characters>
  <Application>Microsoft Office Word</Application>
  <DocSecurity>4</DocSecurity>
  <Lines>36</Lines>
  <Paragraphs>10</Paragraphs>
  <ScaleCrop>false</ScaleCrop>
  <Company>CNSTOCK</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qianlx</dc:creator>
  <cp:lastModifiedBy>ZHONGM</cp:lastModifiedBy>
  <cp:revision>2</cp:revision>
  <dcterms:created xsi:type="dcterms:W3CDTF">2024-02-26T16:01:00Z</dcterms:created>
  <dcterms:modified xsi:type="dcterms:W3CDTF">2024-02-26T16:01:00Z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480D21E74A0447C4BCF6CFED34C6F5C9</vt:lpwstr>
  </property>
</Properties>
</file>