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03" w:rsidRDefault="00594332">
      <w:pPr>
        <w:jc w:val="center"/>
        <w:rPr>
          <w:rFonts w:ascii="黑体" w:eastAsia="黑体" w:hAnsi="黑体"/>
          <w:sz w:val="44"/>
          <w:szCs w:val="44"/>
        </w:rPr>
      </w:pPr>
      <w:r>
        <w:rPr>
          <w:rFonts w:ascii="黑体" w:eastAsia="黑体" w:hAnsi="黑体" w:hint="eastAsia"/>
          <w:sz w:val="44"/>
          <w:szCs w:val="44"/>
        </w:rPr>
        <w:t>关于兴银鑫日享短债债券型证券投资基金</w:t>
      </w:r>
      <w:r>
        <w:rPr>
          <w:rFonts w:ascii="黑体" w:eastAsia="黑体" w:hAnsi="黑体" w:hint="eastAsia"/>
          <w:sz w:val="44"/>
          <w:szCs w:val="44"/>
        </w:rPr>
        <w:t>A</w:t>
      </w:r>
      <w:r>
        <w:rPr>
          <w:rFonts w:ascii="黑体" w:eastAsia="黑体" w:hAnsi="黑体" w:hint="eastAsia"/>
          <w:sz w:val="44"/>
          <w:szCs w:val="44"/>
        </w:rPr>
        <w:t>类基金份额在华泰证券开通定期定额投资并参与费率优惠活动的公告</w:t>
      </w:r>
    </w:p>
    <w:p w:rsidR="00D57F03" w:rsidRDefault="00D57F03">
      <w:pPr>
        <w:jc w:val="center"/>
        <w:rPr>
          <w:rFonts w:ascii="黑体" w:eastAsia="黑体" w:hAnsi="黑体"/>
          <w:sz w:val="44"/>
          <w:szCs w:val="44"/>
        </w:rPr>
      </w:pPr>
    </w:p>
    <w:p w:rsidR="00D57F03" w:rsidRDefault="00594332">
      <w:pPr>
        <w:spacing w:line="360" w:lineRule="auto"/>
        <w:ind w:firstLineChars="200" w:firstLine="480"/>
        <w:rPr>
          <w:rFonts w:ascii="Times New Roman" w:hAnsi="Times New Roman"/>
          <w:sz w:val="24"/>
          <w:szCs w:val="24"/>
        </w:rPr>
      </w:pPr>
      <w:r>
        <w:rPr>
          <w:rFonts w:ascii="Times New Roman" w:eastAsia="宋体" w:hAnsi="Times New Roman" w:cs="Times New Roman" w:hint="eastAsia"/>
          <w:color w:val="000000"/>
          <w:kern w:val="0"/>
          <w:sz w:val="24"/>
          <w:szCs w:val="24"/>
        </w:rPr>
        <w:t>为向广大客户提供更加全面、优质的金融服务</w:t>
      </w:r>
      <w:r>
        <w:rPr>
          <w:rFonts w:ascii="Times New Roman" w:eastAsia="宋体" w:hAnsi="Times New Roman" w:cs="Times New Roman"/>
          <w:color w:val="000000"/>
          <w:kern w:val="0"/>
          <w:sz w:val="24"/>
          <w:szCs w:val="24"/>
        </w:rPr>
        <w:t>，兴银基金管理有限责任公司（以下简称</w:t>
      </w:r>
      <w:r>
        <w:rPr>
          <w:rFonts w:ascii="Times New Roman" w:eastAsia="宋体" w:hAnsi="Times New Roman" w:cs="Times New Roman" w:hint="eastAsia"/>
          <w:color w:val="000000"/>
          <w:kern w:val="0"/>
          <w:sz w:val="24"/>
          <w:szCs w:val="24"/>
        </w:rPr>
        <w:t>“</w:t>
      </w:r>
      <w:r>
        <w:rPr>
          <w:rFonts w:ascii="Times New Roman" w:eastAsia="宋体" w:hAnsi="Times New Roman" w:cs="Times New Roman"/>
          <w:color w:val="000000"/>
          <w:kern w:val="0"/>
          <w:sz w:val="24"/>
          <w:szCs w:val="24"/>
        </w:rPr>
        <w:t>我公司</w:t>
      </w:r>
      <w:r>
        <w:rPr>
          <w:rFonts w:ascii="Times New Roman" w:eastAsia="宋体" w:hAnsi="Times New Roman" w:cs="Times New Roman" w:hint="eastAsia"/>
          <w:color w:val="000000"/>
          <w:kern w:val="0"/>
          <w:sz w:val="24"/>
          <w:szCs w:val="24"/>
        </w:rPr>
        <w:t>”</w:t>
      </w:r>
      <w:r>
        <w:rPr>
          <w:rFonts w:ascii="Times New Roman" w:eastAsia="宋体" w:hAnsi="Times New Roman" w:cs="Times New Roman"/>
          <w:color w:val="000000"/>
          <w:kern w:val="0"/>
          <w:sz w:val="24"/>
          <w:szCs w:val="24"/>
        </w:rPr>
        <w:t>）</w:t>
      </w:r>
      <w:r>
        <w:rPr>
          <w:rFonts w:ascii="Times New Roman" w:eastAsia="宋体" w:hAnsi="Times New Roman" w:cs="Times New Roman" w:hint="eastAsia"/>
          <w:color w:val="000000"/>
          <w:kern w:val="0"/>
          <w:sz w:val="24"/>
          <w:szCs w:val="24"/>
        </w:rPr>
        <w:t>经与华泰证券股份有限公司（以下简称“华泰证券”）协商一致，将自</w:t>
      </w:r>
      <w:r>
        <w:rPr>
          <w:rFonts w:ascii="Times New Roman" w:eastAsia="宋体" w:hAnsi="Times New Roman" w:cs="Times New Roman" w:hint="eastAsia"/>
          <w:color w:val="000000"/>
          <w:kern w:val="0"/>
          <w:sz w:val="24"/>
          <w:szCs w:val="24"/>
        </w:rPr>
        <w:t>2024</w:t>
      </w:r>
      <w:r>
        <w:rPr>
          <w:rFonts w:ascii="Times New Roman" w:eastAsia="宋体" w:hAnsi="Times New Roman" w:cs="Times New Roman" w:hint="eastAsia"/>
          <w:color w:val="000000"/>
          <w:kern w:val="0"/>
          <w:sz w:val="24"/>
          <w:szCs w:val="24"/>
        </w:rPr>
        <w:t>年</w:t>
      </w:r>
      <w:r>
        <w:rPr>
          <w:rFonts w:ascii="Times New Roman" w:eastAsia="宋体" w:hAnsi="Times New Roman" w:cs="Times New Roman" w:hint="eastAsia"/>
          <w:color w:val="000000"/>
          <w:kern w:val="0"/>
          <w:sz w:val="24"/>
          <w:szCs w:val="24"/>
        </w:rPr>
        <w:t>2</w:t>
      </w:r>
      <w:r>
        <w:rPr>
          <w:rFonts w:ascii="Times New Roman" w:eastAsia="宋体" w:hAnsi="Times New Roman" w:cs="Times New Roman" w:hint="eastAsia"/>
          <w:color w:val="000000"/>
          <w:kern w:val="0"/>
          <w:sz w:val="24"/>
          <w:szCs w:val="24"/>
        </w:rPr>
        <w:t>月</w:t>
      </w:r>
      <w:r>
        <w:rPr>
          <w:rFonts w:ascii="Times New Roman" w:eastAsia="宋体" w:hAnsi="Times New Roman" w:cs="Times New Roman" w:hint="eastAsia"/>
          <w:color w:val="000000"/>
          <w:kern w:val="0"/>
          <w:sz w:val="24"/>
          <w:szCs w:val="24"/>
        </w:rPr>
        <w:t>27</w:t>
      </w:r>
      <w:r>
        <w:rPr>
          <w:rFonts w:ascii="Times New Roman" w:eastAsia="宋体" w:hAnsi="Times New Roman" w:cs="Times New Roman" w:hint="eastAsia"/>
          <w:color w:val="000000"/>
          <w:kern w:val="0"/>
          <w:sz w:val="24"/>
          <w:szCs w:val="24"/>
        </w:rPr>
        <w:t>日起</w:t>
      </w:r>
      <w:r>
        <w:rPr>
          <w:rFonts w:ascii="Times New Roman" w:eastAsia="宋体" w:hAnsi="Times New Roman" w:cs="Times New Roman"/>
          <w:color w:val="000000"/>
          <w:kern w:val="0"/>
          <w:sz w:val="24"/>
          <w:szCs w:val="24"/>
        </w:rPr>
        <w:t>，</w:t>
      </w:r>
      <w:r>
        <w:rPr>
          <w:rFonts w:ascii="Times New Roman" w:eastAsia="宋体" w:hAnsi="Times New Roman" w:cs="Times New Roman" w:hint="eastAsia"/>
          <w:color w:val="000000"/>
          <w:kern w:val="0"/>
          <w:sz w:val="24"/>
          <w:szCs w:val="24"/>
        </w:rPr>
        <w:t>在华泰证券开通兴银鑫日享短债债券型证券投资基金</w:t>
      </w:r>
      <w:r>
        <w:rPr>
          <w:rFonts w:ascii="Times New Roman" w:eastAsia="宋体" w:hAnsi="Times New Roman" w:cs="Times New Roman" w:hint="eastAsia"/>
          <w:color w:val="000000"/>
          <w:kern w:val="0"/>
          <w:sz w:val="24"/>
          <w:szCs w:val="24"/>
        </w:rPr>
        <w:t>A</w:t>
      </w:r>
      <w:r>
        <w:rPr>
          <w:rFonts w:ascii="Times New Roman" w:eastAsia="宋体" w:hAnsi="Times New Roman" w:cs="Times New Roman" w:hint="eastAsia"/>
          <w:color w:val="000000"/>
          <w:kern w:val="0"/>
          <w:sz w:val="24"/>
          <w:szCs w:val="24"/>
        </w:rPr>
        <w:t>类基金份额（基金代码：</w:t>
      </w:r>
      <w:r>
        <w:rPr>
          <w:rFonts w:ascii="Times New Roman" w:eastAsia="宋体" w:hAnsi="Times New Roman" w:cs="Times New Roman" w:hint="eastAsia"/>
          <w:color w:val="000000"/>
          <w:kern w:val="0"/>
          <w:sz w:val="24"/>
          <w:szCs w:val="24"/>
        </w:rPr>
        <w:t>0</w:t>
      </w:r>
      <w:r>
        <w:rPr>
          <w:rFonts w:ascii="Times New Roman" w:eastAsia="宋体" w:hAnsi="Times New Roman" w:cs="Times New Roman"/>
          <w:color w:val="000000"/>
          <w:kern w:val="0"/>
          <w:sz w:val="24"/>
          <w:szCs w:val="24"/>
        </w:rPr>
        <w:t>05079</w:t>
      </w:r>
      <w:r>
        <w:rPr>
          <w:rFonts w:ascii="Times New Roman" w:eastAsia="宋体" w:hAnsi="Times New Roman" w:cs="Times New Roman" w:hint="eastAsia"/>
          <w:color w:val="000000"/>
          <w:kern w:val="0"/>
          <w:sz w:val="24"/>
          <w:szCs w:val="24"/>
        </w:rPr>
        <w:t>）</w:t>
      </w:r>
      <w:r>
        <w:rPr>
          <w:rFonts w:ascii="Times New Roman" w:eastAsia="宋体" w:hAnsi="Times New Roman" w:cs="Times New Roman"/>
          <w:color w:val="000000"/>
          <w:kern w:val="0"/>
          <w:sz w:val="24"/>
          <w:szCs w:val="24"/>
        </w:rPr>
        <w:t>定期定额投资</w:t>
      </w:r>
      <w:r>
        <w:rPr>
          <w:rFonts w:ascii="Times New Roman" w:eastAsia="宋体" w:hAnsi="Times New Roman" w:cs="Times New Roman" w:hint="eastAsia"/>
          <w:color w:val="000000"/>
          <w:kern w:val="0"/>
          <w:sz w:val="24"/>
          <w:szCs w:val="24"/>
        </w:rPr>
        <w:t>业</w:t>
      </w:r>
      <w:bookmarkStart w:id="0" w:name="_GoBack"/>
      <w:bookmarkEnd w:id="0"/>
      <w:r>
        <w:rPr>
          <w:rFonts w:ascii="Times New Roman" w:eastAsia="宋体" w:hAnsi="Times New Roman" w:cs="Times New Roman" w:hint="eastAsia"/>
          <w:color w:val="000000"/>
          <w:kern w:val="0"/>
          <w:sz w:val="24"/>
          <w:szCs w:val="24"/>
        </w:rPr>
        <w:t>务并参与费率优惠活动。现将具体事项公告如下：</w:t>
      </w:r>
    </w:p>
    <w:p w:rsidR="00D57F03" w:rsidRDefault="00D57F03">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p>
    <w:p w:rsidR="00D57F03" w:rsidRDefault="00594332">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一</w:t>
      </w:r>
      <w:r>
        <w:rPr>
          <w:rFonts w:ascii="Times New Roman" w:eastAsia="宋体" w:hAnsi="Times New Roman" w:cs="Times New Roman"/>
          <w:color w:val="000000"/>
          <w:kern w:val="0"/>
          <w:sz w:val="24"/>
          <w:szCs w:val="24"/>
        </w:rPr>
        <w:t>、申购费优惠活动</w:t>
      </w:r>
    </w:p>
    <w:p w:rsidR="00D57F03" w:rsidRDefault="00594332">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（一）优惠活动方案</w:t>
      </w:r>
    </w:p>
    <w:p w:rsidR="00D57F03" w:rsidRDefault="00594332">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自</w:t>
      </w:r>
      <w:r>
        <w:rPr>
          <w:rFonts w:ascii="Times New Roman" w:eastAsia="宋体" w:hAnsi="Times New Roman" w:cs="Times New Roman" w:hint="eastAsia"/>
          <w:color w:val="000000"/>
          <w:kern w:val="0"/>
          <w:sz w:val="24"/>
          <w:szCs w:val="24"/>
        </w:rPr>
        <w:t>2024</w:t>
      </w:r>
      <w:r>
        <w:rPr>
          <w:rFonts w:ascii="Times New Roman" w:eastAsia="宋体" w:hAnsi="Times New Roman" w:cs="Times New Roman" w:hint="eastAsia"/>
          <w:color w:val="000000"/>
          <w:kern w:val="0"/>
          <w:sz w:val="24"/>
          <w:szCs w:val="24"/>
        </w:rPr>
        <w:t>年</w:t>
      </w:r>
      <w:r>
        <w:rPr>
          <w:rFonts w:ascii="Times New Roman" w:eastAsia="宋体" w:hAnsi="Times New Roman" w:cs="Times New Roman" w:hint="eastAsia"/>
          <w:color w:val="000000"/>
          <w:kern w:val="0"/>
          <w:sz w:val="24"/>
          <w:szCs w:val="24"/>
        </w:rPr>
        <w:t>2</w:t>
      </w:r>
      <w:r>
        <w:rPr>
          <w:rFonts w:ascii="Times New Roman" w:eastAsia="宋体" w:hAnsi="Times New Roman" w:cs="Times New Roman" w:hint="eastAsia"/>
          <w:color w:val="000000"/>
          <w:kern w:val="0"/>
          <w:sz w:val="24"/>
          <w:szCs w:val="24"/>
        </w:rPr>
        <w:t>月</w:t>
      </w:r>
      <w:r>
        <w:rPr>
          <w:rFonts w:ascii="Times New Roman" w:eastAsia="宋体" w:hAnsi="Times New Roman" w:cs="Times New Roman" w:hint="eastAsia"/>
          <w:color w:val="000000"/>
          <w:kern w:val="0"/>
          <w:sz w:val="24"/>
          <w:szCs w:val="24"/>
        </w:rPr>
        <w:t>27</w:t>
      </w:r>
      <w:r>
        <w:rPr>
          <w:rFonts w:ascii="Times New Roman" w:eastAsia="宋体" w:hAnsi="Times New Roman" w:cs="Times New Roman" w:hint="eastAsia"/>
          <w:color w:val="000000"/>
          <w:kern w:val="0"/>
          <w:sz w:val="24"/>
          <w:szCs w:val="24"/>
        </w:rPr>
        <w:t>日</w:t>
      </w:r>
      <w:r>
        <w:rPr>
          <w:rFonts w:ascii="Times New Roman" w:eastAsia="宋体" w:hAnsi="Times New Roman" w:cs="Times New Roman"/>
          <w:color w:val="000000"/>
          <w:kern w:val="0"/>
          <w:sz w:val="24"/>
          <w:szCs w:val="24"/>
        </w:rPr>
        <w:t>起，投资者通过</w:t>
      </w:r>
      <w:r>
        <w:rPr>
          <w:rFonts w:ascii="Times New Roman" w:eastAsia="宋体" w:hAnsi="Times New Roman" w:cs="Times New Roman" w:hint="eastAsia"/>
          <w:color w:val="000000"/>
          <w:kern w:val="0"/>
          <w:sz w:val="24"/>
          <w:szCs w:val="24"/>
        </w:rPr>
        <w:t>华泰证券</w:t>
      </w:r>
      <w:r>
        <w:rPr>
          <w:rFonts w:ascii="Times New Roman" w:eastAsia="宋体" w:hAnsi="Times New Roman" w:cs="Times New Roman"/>
          <w:color w:val="000000"/>
          <w:kern w:val="0"/>
          <w:sz w:val="24"/>
          <w:szCs w:val="24"/>
        </w:rPr>
        <w:t>申购</w:t>
      </w:r>
      <w:r>
        <w:rPr>
          <w:rFonts w:ascii="Times New Roman" w:eastAsia="宋体" w:hAnsi="Times New Roman" w:cs="Times New Roman" w:hint="eastAsia"/>
          <w:color w:val="000000"/>
          <w:kern w:val="0"/>
          <w:sz w:val="24"/>
          <w:szCs w:val="24"/>
        </w:rPr>
        <w:t>上述</w:t>
      </w:r>
      <w:r>
        <w:rPr>
          <w:rFonts w:ascii="Times New Roman" w:eastAsia="宋体" w:hAnsi="Times New Roman" w:cs="Times New Roman"/>
          <w:color w:val="000000"/>
          <w:kern w:val="0"/>
          <w:sz w:val="24"/>
          <w:szCs w:val="24"/>
        </w:rPr>
        <w:t>基金，申购费率不设折扣限制，具体折扣费率以</w:t>
      </w:r>
      <w:r>
        <w:rPr>
          <w:rFonts w:ascii="Times New Roman" w:eastAsia="宋体" w:hAnsi="Times New Roman" w:cs="Times New Roman" w:hint="eastAsia"/>
          <w:color w:val="000000"/>
          <w:kern w:val="0"/>
          <w:sz w:val="24"/>
          <w:szCs w:val="24"/>
        </w:rPr>
        <w:t>华泰证券</w:t>
      </w:r>
      <w:r>
        <w:rPr>
          <w:rFonts w:ascii="Times New Roman" w:eastAsia="宋体" w:hAnsi="Times New Roman" w:cs="Times New Roman"/>
          <w:color w:val="000000"/>
          <w:kern w:val="0"/>
          <w:sz w:val="24"/>
          <w:szCs w:val="24"/>
        </w:rPr>
        <w:t>活动公告为准。</w:t>
      </w:r>
    </w:p>
    <w:p w:rsidR="00D57F03" w:rsidRDefault="00594332">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（二）重要提示</w:t>
      </w:r>
    </w:p>
    <w:p w:rsidR="00D57F03" w:rsidRDefault="00594332">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r>
        <w:rPr>
          <w:rFonts w:ascii="Times New Roman" w:eastAsia="宋体" w:hAnsi="Times New Roman" w:cs="Times New Roman"/>
          <w:color w:val="000000"/>
          <w:kern w:val="0"/>
          <w:sz w:val="24"/>
          <w:szCs w:val="24"/>
        </w:rPr>
        <w:t>、</w:t>
      </w:r>
      <w:r>
        <w:rPr>
          <w:rFonts w:ascii="Times New Roman" w:eastAsia="宋体" w:hAnsi="Times New Roman" w:cs="Times New Roman" w:hint="eastAsia"/>
          <w:color w:val="000000"/>
          <w:kern w:val="0"/>
          <w:sz w:val="24"/>
          <w:szCs w:val="24"/>
        </w:rPr>
        <w:t>我</w:t>
      </w:r>
      <w:r>
        <w:rPr>
          <w:rFonts w:ascii="Times New Roman" w:eastAsia="宋体" w:hAnsi="Times New Roman" w:cs="Times New Roman"/>
          <w:color w:val="000000"/>
          <w:kern w:val="0"/>
          <w:sz w:val="24"/>
          <w:szCs w:val="24"/>
        </w:rPr>
        <w:t>公司基金原费率请详见</w:t>
      </w:r>
      <w:r>
        <w:rPr>
          <w:rFonts w:ascii="Times New Roman" w:eastAsia="宋体" w:hAnsi="Times New Roman" w:cs="Times New Roman" w:hint="eastAsia"/>
          <w:color w:val="000000"/>
          <w:kern w:val="0"/>
          <w:sz w:val="24"/>
          <w:szCs w:val="24"/>
        </w:rPr>
        <w:t>上述</w:t>
      </w:r>
      <w:r>
        <w:rPr>
          <w:rFonts w:ascii="Times New Roman" w:eastAsia="宋体" w:hAnsi="Times New Roman" w:cs="Times New Roman"/>
          <w:color w:val="000000"/>
          <w:kern w:val="0"/>
          <w:sz w:val="24"/>
          <w:szCs w:val="24"/>
        </w:rPr>
        <w:t>基金的《基金合同》和《招募说明书》（及其更新）等相关法律文件及我公司发布的最新业务公告。</w:t>
      </w:r>
    </w:p>
    <w:p w:rsidR="00D57F03" w:rsidRDefault="00594332">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r>
        <w:rPr>
          <w:rFonts w:ascii="Times New Roman" w:eastAsia="宋体" w:hAnsi="Times New Roman" w:cs="Times New Roman"/>
          <w:color w:val="000000"/>
          <w:kern w:val="0"/>
          <w:sz w:val="24"/>
          <w:szCs w:val="24"/>
        </w:rPr>
        <w:t>、申购费优惠活动的解释权归</w:t>
      </w:r>
      <w:r>
        <w:rPr>
          <w:rFonts w:ascii="Times New Roman" w:eastAsia="宋体" w:hAnsi="Times New Roman" w:cs="Times New Roman" w:hint="eastAsia"/>
          <w:color w:val="000000"/>
          <w:kern w:val="0"/>
          <w:sz w:val="24"/>
          <w:szCs w:val="24"/>
        </w:rPr>
        <w:t>华泰证券所有</w:t>
      </w:r>
      <w:r>
        <w:rPr>
          <w:rFonts w:ascii="Times New Roman" w:eastAsia="宋体" w:hAnsi="Times New Roman" w:cs="Times New Roman"/>
          <w:color w:val="000000"/>
          <w:kern w:val="0"/>
          <w:sz w:val="24"/>
          <w:szCs w:val="24"/>
        </w:rPr>
        <w:t>，优惠活动期间，业务办理的相关规则及流程以</w:t>
      </w:r>
      <w:r>
        <w:rPr>
          <w:rFonts w:ascii="Times New Roman" w:eastAsia="宋体" w:hAnsi="Times New Roman" w:cs="Times New Roman" w:hint="eastAsia"/>
          <w:color w:val="000000"/>
          <w:kern w:val="0"/>
          <w:sz w:val="24"/>
          <w:szCs w:val="24"/>
        </w:rPr>
        <w:t>华泰证券</w:t>
      </w:r>
      <w:r>
        <w:rPr>
          <w:rFonts w:ascii="Times New Roman" w:eastAsia="宋体" w:hAnsi="Times New Roman" w:cs="Times New Roman"/>
          <w:color w:val="000000"/>
          <w:kern w:val="0"/>
          <w:sz w:val="24"/>
          <w:szCs w:val="24"/>
        </w:rPr>
        <w:t>的安排和规定为准。</w:t>
      </w:r>
    </w:p>
    <w:p w:rsidR="00D57F03" w:rsidRDefault="00D57F03">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p>
    <w:p w:rsidR="00D57F03" w:rsidRDefault="00594332">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二、</w:t>
      </w:r>
      <w:r>
        <w:rPr>
          <w:rFonts w:ascii="Times New Roman" w:eastAsia="宋体" w:hAnsi="Times New Roman" w:cs="Times New Roman"/>
          <w:color w:val="000000"/>
          <w:kern w:val="0"/>
          <w:sz w:val="24"/>
          <w:szCs w:val="24"/>
        </w:rPr>
        <w:t>定期定额投资业务</w:t>
      </w:r>
    </w:p>
    <w:p w:rsidR="00D57F03" w:rsidRDefault="00594332">
      <w:pPr>
        <w:autoSpaceDE w:val="0"/>
        <w:autoSpaceDN w:val="0"/>
        <w:adjustRightInd w:val="0"/>
        <w:spacing w:line="360" w:lineRule="auto"/>
        <w:ind w:firstLineChars="200" w:firstLine="480"/>
        <w:rPr>
          <w:rFonts w:ascii="Times New Roman" w:eastAsia="宋体" w:hAnsi="Times New Roman" w:cs="Times New Roman"/>
          <w:color w:val="000000"/>
          <w:kern w:val="0"/>
          <w:sz w:val="24"/>
          <w:szCs w:val="32"/>
        </w:rPr>
      </w:pPr>
      <w:r>
        <w:rPr>
          <w:rFonts w:ascii="Times New Roman" w:eastAsia="宋体" w:hAnsi="Times New Roman" w:cs="Times New Roman"/>
          <w:color w:val="000000"/>
          <w:kern w:val="0"/>
          <w:sz w:val="24"/>
          <w:szCs w:val="32"/>
        </w:rPr>
        <w:t>（一）定期定额投资业务的金额限制</w:t>
      </w:r>
    </w:p>
    <w:p w:rsidR="00D57F03" w:rsidRDefault="00594332">
      <w:pPr>
        <w:autoSpaceDE w:val="0"/>
        <w:autoSpaceDN w:val="0"/>
        <w:adjustRightInd w:val="0"/>
        <w:spacing w:line="360" w:lineRule="auto"/>
        <w:ind w:firstLineChars="200" w:firstLine="480"/>
        <w:rPr>
          <w:rFonts w:ascii="Times New Roman" w:eastAsia="宋体" w:hAnsi="Times New Roman" w:cs="Times New Roman"/>
          <w:color w:val="000000"/>
          <w:kern w:val="0"/>
          <w:sz w:val="24"/>
          <w:szCs w:val="32"/>
        </w:rPr>
      </w:pPr>
      <w:r>
        <w:rPr>
          <w:rFonts w:ascii="Times New Roman" w:eastAsia="宋体" w:hAnsi="Times New Roman" w:cs="Times New Roman"/>
          <w:color w:val="000000"/>
          <w:kern w:val="0"/>
          <w:sz w:val="24"/>
          <w:szCs w:val="32"/>
        </w:rPr>
        <w:t>投资者可以与</w:t>
      </w:r>
      <w:r>
        <w:rPr>
          <w:rFonts w:ascii="Times New Roman" w:eastAsia="宋体" w:hAnsi="Times New Roman" w:cs="Times New Roman" w:hint="eastAsia"/>
          <w:color w:val="000000"/>
          <w:kern w:val="0"/>
          <w:sz w:val="24"/>
          <w:szCs w:val="24"/>
        </w:rPr>
        <w:t>华泰证券</w:t>
      </w:r>
      <w:r>
        <w:rPr>
          <w:rFonts w:ascii="Times New Roman" w:eastAsia="宋体" w:hAnsi="Times New Roman" w:cs="Times New Roman"/>
          <w:color w:val="000000"/>
          <w:kern w:val="0"/>
          <w:sz w:val="24"/>
          <w:szCs w:val="32"/>
        </w:rPr>
        <w:t>约定基金的每期固定扣款金额，每期最低申购金额（含申购费）不得低于基金管理人在</w:t>
      </w:r>
      <w:r>
        <w:rPr>
          <w:rFonts w:ascii="Times New Roman" w:eastAsia="宋体" w:hAnsi="Times New Roman" w:cs="Times New Roman" w:hint="eastAsia"/>
          <w:color w:val="000000"/>
          <w:kern w:val="0"/>
          <w:sz w:val="24"/>
          <w:szCs w:val="32"/>
        </w:rPr>
        <w:t>上述</w:t>
      </w:r>
      <w:r>
        <w:rPr>
          <w:rFonts w:ascii="Times New Roman" w:eastAsia="宋体" w:hAnsi="Times New Roman" w:cs="Times New Roman"/>
          <w:color w:val="000000"/>
          <w:kern w:val="0"/>
          <w:sz w:val="24"/>
          <w:szCs w:val="32"/>
        </w:rPr>
        <w:t>基金相关公告或更新的招募说明书中所规定的最低申购金额（含申购费），累计申购限额（如有）详见</w:t>
      </w:r>
      <w:r>
        <w:rPr>
          <w:rFonts w:ascii="Times New Roman" w:eastAsia="宋体" w:hAnsi="Times New Roman" w:cs="Times New Roman" w:hint="eastAsia"/>
          <w:color w:val="000000"/>
          <w:kern w:val="0"/>
          <w:sz w:val="24"/>
          <w:szCs w:val="32"/>
        </w:rPr>
        <w:t>上述</w:t>
      </w:r>
      <w:r>
        <w:rPr>
          <w:rFonts w:ascii="Times New Roman" w:eastAsia="宋体" w:hAnsi="Times New Roman" w:cs="Times New Roman"/>
          <w:color w:val="000000"/>
          <w:kern w:val="0"/>
          <w:sz w:val="24"/>
          <w:szCs w:val="32"/>
        </w:rPr>
        <w:t>基金的相关公告。</w:t>
      </w:r>
    </w:p>
    <w:p w:rsidR="00D57F03" w:rsidRDefault="00594332">
      <w:pPr>
        <w:autoSpaceDE w:val="0"/>
        <w:autoSpaceDN w:val="0"/>
        <w:adjustRightInd w:val="0"/>
        <w:spacing w:line="360" w:lineRule="auto"/>
        <w:ind w:firstLineChars="200" w:firstLine="480"/>
        <w:rPr>
          <w:rFonts w:ascii="Times New Roman" w:eastAsia="宋体" w:hAnsi="Times New Roman" w:cs="Times New Roman"/>
          <w:color w:val="000000"/>
          <w:kern w:val="0"/>
          <w:sz w:val="24"/>
          <w:szCs w:val="32"/>
        </w:rPr>
      </w:pPr>
      <w:r>
        <w:rPr>
          <w:rFonts w:ascii="Times New Roman" w:eastAsia="宋体" w:hAnsi="Times New Roman" w:cs="Times New Roman"/>
          <w:color w:val="000000"/>
          <w:kern w:val="0"/>
          <w:sz w:val="24"/>
          <w:szCs w:val="32"/>
        </w:rPr>
        <w:t>（二）定期定额投资费率</w:t>
      </w:r>
    </w:p>
    <w:p w:rsidR="00D57F03" w:rsidRDefault="00594332">
      <w:pPr>
        <w:autoSpaceDE w:val="0"/>
        <w:autoSpaceDN w:val="0"/>
        <w:adjustRightInd w:val="0"/>
        <w:spacing w:line="360" w:lineRule="auto"/>
        <w:ind w:firstLineChars="200" w:firstLine="480"/>
        <w:rPr>
          <w:rFonts w:ascii="Times New Roman" w:eastAsia="宋体" w:hAnsi="Times New Roman" w:cs="Times New Roman"/>
          <w:color w:val="000000"/>
          <w:kern w:val="0"/>
          <w:sz w:val="24"/>
          <w:szCs w:val="32"/>
        </w:rPr>
      </w:pPr>
      <w:r>
        <w:rPr>
          <w:rFonts w:ascii="Times New Roman" w:eastAsia="宋体" w:hAnsi="Times New Roman" w:cs="Times New Roman"/>
          <w:color w:val="000000"/>
          <w:kern w:val="0"/>
          <w:sz w:val="24"/>
          <w:szCs w:val="32"/>
        </w:rPr>
        <w:t>除另有公告外，定期定额投资费率与日常申购费率相同。</w:t>
      </w:r>
    </w:p>
    <w:p w:rsidR="00D57F03" w:rsidRDefault="00594332">
      <w:pPr>
        <w:autoSpaceDE w:val="0"/>
        <w:autoSpaceDN w:val="0"/>
        <w:adjustRightInd w:val="0"/>
        <w:spacing w:line="360" w:lineRule="auto"/>
        <w:ind w:firstLineChars="200" w:firstLine="480"/>
        <w:rPr>
          <w:rFonts w:ascii="Times New Roman" w:eastAsia="宋体" w:hAnsi="Times New Roman" w:cs="Times New Roman"/>
          <w:color w:val="000000"/>
          <w:kern w:val="0"/>
          <w:sz w:val="24"/>
          <w:szCs w:val="32"/>
        </w:rPr>
      </w:pPr>
      <w:r>
        <w:rPr>
          <w:rFonts w:ascii="Times New Roman" w:eastAsia="宋体" w:hAnsi="Times New Roman" w:cs="Times New Roman"/>
          <w:color w:val="000000"/>
          <w:kern w:val="0"/>
          <w:sz w:val="24"/>
          <w:szCs w:val="32"/>
        </w:rPr>
        <w:lastRenderedPageBreak/>
        <w:t>（三）定期定额投资业务的业务流程</w:t>
      </w:r>
    </w:p>
    <w:p w:rsidR="00D57F03" w:rsidRDefault="00594332">
      <w:pPr>
        <w:autoSpaceDE w:val="0"/>
        <w:autoSpaceDN w:val="0"/>
        <w:adjustRightInd w:val="0"/>
        <w:spacing w:line="360" w:lineRule="auto"/>
        <w:ind w:firstLineChars="200" w:firstLine="480"/>
        <w:rPr>
          <w:rFonts w:ascii="Times New Roman" w:eastAsia="宋体" w:hAnsi="Times New Roman" w:cs="Times New Roman"/>
          <w:color w:val="000000"/>
          <w:kern w:val="0"/>
          <w:sz w:val="24"/>
          <w:szCs w:val="32"/>
        </w:rPr>
      </w:pPr>
      <w:r>
        <w:rPr>
          <w:rFonts w:ascii="Times New Roman" w:eastAsia="宋体" w:hAnsi="Times New Roman" w:cs="Times New Roman"/>
          <w:color w:val="000000"/>
          <w:kern w:val="0"/>
          <w:sz w:val="24"/>
          <w:szCs w:val="32"/>
        </w:rPr>
        <w:t>投资人可在</w:t>
      </w:r>
      <w:r>
        <w:rPr>
          <w:rFonts w:ascii="Times New Roman" w:eastAsia="宋体" w:hAnsi="Times New Roman" w:cs="Times New Roman" w:hint="eastAsia"/>
          <w:color w:val="000000"/>
          <w:kern w:val="0"/>
          <w:sz w:val="24"/>
          <w:szCs w:val="24"/>
        </w:rPr>
        <w:t>华泰证券</w:t>
      </w:r>
      <w:r>
        <w:rPr>
          <w:rFonts w:ascii="Times New Roman" w:eastAsia="宋体" w:hAnsi="Times New Roman" w:cs="Times New Roman"/>
          <w:color w:val="000000"/>
          <w:kern w:val="0"/>
          <w:sz w:val="24"/>
          <w:szCs w:val="32"/>
        </w:rPr>
        <w:t>办理基金的定期定额投资，申请办理程序及交易规则遵循</w:t>
      </w:r>
      <w:r>
        <w:rPr>
          <w:rFonts w:ascii="Times New Roman" w:eastAsia="宋体" w:hAnsi="Times New Roman" w:cs="Times New Roman" w:hint="eastAsia"/>
          <w:color w:val="000000"/>
          <w:kern w:val="0"/>
          <w:sz w:val="24"/>
          <w:szCs w:val="24"/>
        </w:rPr>
        <w:t>华泰证券</w:t>
      </w:r>
      <w:r>
        <w:rPr>
          <w:rFonts w:ascii="Times New Roman" w:eastAsia="宋体" w:hAnsi="Times New Roman" w:cs="Times New Roman"/>
          <w:color w:val="000000"/>
          <w:kern w:val="0"/>
          <w:sz w:val="24"/>
          <w:szCs w:val="32"/>
        </w:rPr>
        <w:t>的相关规定。具体扣款方式以</w:t>
      </w:r>
      <w:r>
        <w:rPr>
          <w:rFonts w:ascii="Times New Roman" w:eastAsia="宋体" w:hAnsi="Times New Roman" w:cs="Times New Roman" w:hint="eastAsia"/>
          <w:color w:val="000000"/>
          <w:kern w:val="0"/>
          <w:sz w:val="24"/>
          <w:szCs w:val="24"/>
        </w:rPr>
        <w:t>华泰证券</w:t>
      </w:r>
      <w:r>
        <w:rPr>
          <w:rFonts w:ascii="Times New Roman" w:eastAsia="宋体" w:hAnsi="Times New Roman" w:cs="Times New Roman"/>
          <w:color w:val="000000"/>
          <w:kern w:val="0"/>
          <w:sz w:val="24"/>
          <w:szCs w:val="32"/>
        </w:rPr>
        <w:t>的相关业务规则为准。</w:t>
      </w:r>
    </w:p>
    <w:p w:rsidR="00D57F03" w:rsidRDefault="00594332">
      <w:pPr>
        <w:numPr>
          <w:ilvl w:val="255"/>
          <w:numId w:val="0"/>
        </w:numPr>
        <w:autoSpaceDE w:val="0"/>
        <w:autoSpaceDN w:val="0"/>
        <w:adjustRightInd w:val="0"/>
        <w:spacing w:line="360" w:lineRule="auto"/>
        <w:ind w:firstLineChars="200" w:firstLine="480"/>
        <w:rPr>
          <w:rFonts w:ascii="Times New Roman" w:eastAsia="宋体" w:hAnsi="Times New Roman" w:cs="Times New Roman"/>
          <w:color w:val="000000"/>
          <w:kern w:val="0"/>
          <w:sz w:val="24"/>
          <w:szCs w:val="32"/>
        </w:rPr>
      </w:pPr>
      <w:r>
        <w:rPr>
          <w:rFonts w:ascii="Times New Roman" w:eastAsia="宋体" w:hAnsi="Times New Roman" w:cs="Times New Roman"/>
          <w:color w:val="000000"/>
          <w:kern w:val="0"/>
          <w:sz w:val="24"/>
          <w:szCs w:val="32"/>
        </w:rPr>
        <w:t>（四）</w:t>
      </w:r>
      <w:r>
        <w:rPr>
          <w:rFonts w:ascii="Times New Roman" w:eastAsia="宋体" w:hAnsi="Times New Roman" w:cs="Times New Roman" w:hint="eastAsia"/>
          <w:color w:val="000000"/>
          <w:kern w:val="0"/>
          <w:sz w:val="24"/>
          <w:szCs w:val="32"/>
        </w:rPr>
        <w:t>上述</w:t>
      </w:r>
      <w:r>
        <w:rPr>
          <w:rFonts w:ascii="Times New Roman" w:eastAsia="宋体" w:hAnsi="Times New Roman" w:cs="Times New Roman"/>
          <w:color w:val="000000"/>
          <w:kern w:val="0"/>
          <w:sz w:val="24"/>
          <w:szCs w:val="32"/>
        </w:rPr>
        <w:t>基金的申购费率、最低申购金额（含申购费）及详细情况请参见《基金合同》《招募说明书》（及其更新）及基金管理人发布的最新业务公告。</w:t>
      </w:r>
    </w:p>
    <w:p w:rsidR="00D57F03" w:rsidRDefault="00D57F03">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p>
    <w:p w:rsidR="00D57F03" w:rsidRDefault="00594332">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三</w:t>
      </w:r>
      <w:r>
        <w:rPr>
          <w:rFonts w:ascii="Times New Roman" w:eastAsia="宋体" w:hAnsi="Times New Roman" w:cs="Times New Roman"/>
          <w:color w:val="000000"/>
          <w:kern w:val="0"/>
          <w:sz w:val="24"/>
          <w:szCs w:val="24"/>
        </w:rPr>
        <w:t>、投资者可通过以</w:t>
      </w:r>
      <w:r>
        <w:rPr>
          <w:rFonts w:ascii="Times New Roman" w:eastAsia="宋体" w:hAnsi="Times New Roman" w:cs="Times New Roman"/>
          <w:color w:val="000000"/>
          <w:kern w:val="0"/>
          <w:sz w:val="24"/>
          <w:szCs w:val="24"/>
        </w:rPr>
        <w:t>下途径咨询详情</w:t>
      </w:r>
    </w:p>
    <w:p w:rsidR="00D57F03" w:rsidRDefault="00594332">
      <w:pPr>
        <w:spacing w:line="360" w:lineRule="auto"/>
        <w:ind w:firstLineChars="200" w:firstLine="480"/>
        <w:rPr>
          <w:rFonts w:ascii="Times New Roman" w:eastAsia="宋体" w:hAnsi="Times New Roman"/>
          <w:sz w:val="24"/>
          <w:szCs w:val="24"/>
        </w:rPr>
      </w:pPr>
      <w:r>
        <w:rPr>
          <w:rFonts w:ascii="Times New Roman" w:eastAsia="宋体" w:hAnsi="Times New Roman" w:cs="Times New Roman" w:hint="eastAsia"/>
          <w:color w:val="000000"/>
          <w:kern w:val="0"/>
          <w:sz w:val="24"/>
          <w:szCs w:val="24"/>
        </w:rPr>
        <w:t>（一）华泰证券股份有限公司</w:t>
      </w:r>
    </w:p>
    <w:p w:rsidR="00D57F03" w:rsidRDefault="00594332">
      <w:pPr>
        <w:spacing w:line="360" w:lineRule="auto"/>
        <w:ind w:firstLineChars="200" w:firstLine="480"/>
        <w:rPr>
          <w:rFonts w:ascii="Times New Roman" w:hAnsi="Times New Roman"/>
          <w:sz w:val="24"/>
          <w:szCs w:val="24"/>
        </w:rPr>
      </w:pPr>
      <w:r>
        <w:rPr>
          <w:rFonts w:ascii="Times New Roman" w:hAnsi="Times New Roman" w:hint="eastAsia"/>
          <w:sz w:val="24"/>
          <w:szCs w:val="24"/>
        </w:rPr>
        <w:t>客服电话：</w:t>
      </w:r>
      <w:r>
        <w:rPr>
          <w:rFonts w:ascii="Times New Roman" w:hAnsi="Times New Roman" w:hint="eastAsia"/>
          <w:sz w:val="24"/>
          <w:szCs w:val="24"/>
        </w:rPr>
        <w:t>95597</w:t>
      </w:r>
    </w:p>
    <w:p w:rsidR="00D57F03" w:rsidRDefault="00594332">
      <w:pPr>
        <w:spacing w:line="360" w:lineRule="auto"/>
        <w:ind w:firstLineChars="200" w:firstLine="480"/>
        <w:rPr>
          <w:rFonts w:ascii="Times New Roman" w:hAnsi="Times New Roman" w:cs="Times New Roman"/>
          <w:color w:val="000000"/>
          <w:kern w:val="0"/>
          <w:sz w:val="24"/>
          <w:szCs w:val="24"/>
        </w:rPr>
      </w:pPr>
      <w:r>
        <w:rPr>
          <w:rFonts w:ascii="Times New Roman" w:hAnsi="Times New Roman" w:hint="eastAsia"/>
          <w:sz w:val="24"/>
          <w:szCs w:val="24"/>
        </w:rPr>
        <w:t>公司网站：</w:t>
      </w:r>
      <w:r>
        <w:rPr>
          <w:rFonts w:ascii="Times New Roman" w:hAnsi="Times New Roman" w:hint="eastAsia"/>
          <w:sz w:val="24"/>
          <w:szCs w:val="24"/>
        </w:rPr>
        <w:t>www.htsc.com.cn</w:t>
      </w:r>
    </w:p>
    <w:p w:rsidR="00D57F03" w:rsidRDefault="00594332">
      <w:pPr>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w:t>
      </w:r>
      <w:r>
        <w:rPr>
          <w:rFonts w:ascii="Times New Roman" w:eastAsia="宋体" w:hAnsi="Times New Roman" w:cs="Times New Roman" w:hint="eastAsia"/>
          <w:color w:val="000000"/>
          <w:kern w:val="0"/>
          <w:sz w:val="24"/>
          <w:szCs w:val="24"/>
        </w:rPr>
        <w:t>二</w:t>
      </w:r>
      <w:r>
        <w:rPr>
          <w:rFonts w:ascii="Times New Roman" w:eastAsia="宋体" w:hAnsi="Times New Roman" w:cs="Times New Roman"/>
          <w:color w:val="000000"/>
          <w:kern w:val="0"/>
          <w:sz w:val="24"/>
          <w:szCs w:val="24"/>
        </w:rPr>
        <w:t>）兴银基金管理有限责任公司</w:t>
      </w:r>
    </w:p>
    <w:p w:rsidR="00D57F03" w:rsidRDefault="00594332">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客服电话：</w:t>
      </w:r>
      <w:r>
        <w:rPr>
          <w:rFonts w:ascii="Times New Roman" w:eastAsia="宋体" w:hAnsi="Times New Roman" w:cs="Times New Roman"/>
          <w:color w:val="000000"/>
          <w:kern w:val="0"/>
          <w:sz w:val="24"/>
          <w:szCs w:val="24"/>
        </w:rPr>
        <w:t>40000-96326</w:t>
      </w:r>
    </w:p>
    <w:p w:rsidR="00D57F03" w:rsidRDefault="00594332">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公司网站：</w:t>
      </w:r>
      <w:r>
        <w:rPr>
          <w:rFonts w:ascii="Times New Roman" w:eastAsia="宋体" w:hAnsi="Times New Roman" w:cs="Times New Roman"/>
          <w:color w:val="000000"/>
          <w:kern w:val="0"/>
          <w:sz w:val="24"/>
          <w:szCs w:val="24"/>
        </w:rPr>
        <w:t>www.hffunds.cn</w:t>
      </w:r>
    </w:p>
    <w:p w:rsidR="00D57F03" w:rsidRDefault="00D57F03">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p>
    <w:p w:rsidR="00D57F03" w:rsidRDefault="00594332">
      <w:pPr>
        <w:spacing w:line="360" w:lineRule="auto"/>
        <w:ind w:firstLineChars="200" w:firstLine="482"/>
        <w:rPr>
          <w:sz w:val="24"/>
          <w:szCs w:val="24"/>
        </w:rPr>
      </w:pPr>
      <w:r>
        <w:rPr>
          <w:rFonts w:hint="eastAsia"/>
          <w:b/>
          <w:sz w:val="24"/>
          <w:szCs w:val="24"/>
        </w:rPr>
        <w:t>风险提示</w:t>
      </w:r>
      <w:r>
        <w:rPr>
          <w:rFonts w:hint="eastAsia"/>
          <w:sz w:val="24"/>
          <w:szCs w:val="24"/>
        </w:rPr>
        <w:t>：基金管理人承诺以诚实信用、勤勉尽责的原则管理和运用基金财产，但不保证基金一定盈利，也不保证最低收益。本公司提醒投资者在投资前应认真阅读上述基金的基金合同、招募说明书等信息披露文件。敬请投资者注意投资风险。</w:t>
      </w:r>
    </w:p>
    <w:p w:rsidR="00D57F03" w:rsidRDefault="00594332">
      <w:pPr>
        <w:spacing w:line="360" w:lineRule="auto"/>
        <w:ind w:firstLineChars="200" w:firstLine="480"/>
        <w:rPr>
          <w:sz w:val="24"/>
          <w:szCs w:val="24"/>
        </w:rPr>
      </w:pPr>
      <w:r>
        <w:rPr>
          <w:rFonts w:hint="eastAsia"/>
          <w:sz w:val="24"/>
          <w:szCs w:val="24"/>
        </w:rPr>
        <w:t>特此公告。</w:t>
      </w:r>
    </w:p>
    <w:p w:rsidR="00D57F03" w:rsidRDefault="00D57F03">
      <w:pPr>
        <w:spacing w:line="360" w:lineRule="auto"/>
      </w:pPr>
    </w:p>
    <w:p w:rsidR="00D57F03" w:rsidRDefault="00594332">
      <w:pPr>
        <w:spacing w:line="360" w:lineRule="auto"/>
        <w:jc w:val="right"/>
        <w:rPr>
          <w:b/>
          <w:sz w:val="28"/>
          <w:szCs w:val="28"/>
        </w:rPr>
      </w:pPr>
      <w:r>
        <w:rPr>
          <w:rFonts w:hint="eastAsia"/>
          <w:b/>
          <w:sz w:val="28"/>
          <w:szCs w:val="28"/>
        </w:rPr>
        <w:t>兴银基金管理有限责任公司</w:t>
      </w:r>
    </w:p>
    <w:p w:rsidR="00D57F03" w:rsidRDefault="00594332">
      <w:pPr>
        <w:spacing w:line="360" w:lineRule="auto"/>
        <w:jc w:val="right"/>
        <w:rPr>
          <w:b/>
          <w:sz w:val="28"/>
          <w:szCs w:val="28"/>
        </w:rPr>
      </w:pPr>
      <w:r>
        <w:rPr>
          <w:rFonts w:ascii="Times New Roman" w:hAnsi="Times New Roman" w:cs="Times New Roman" w:hint="eastAsia"/>
          <w:b/>
          <w:sz w:val="28"/>
          <w:szCs w:val="28"/>
        </w:rPr>
        <w:t>2024</w:t>
      </w:r>
      <w:r>
        <w:rPr>
          <w:rFonts w:hint="eastAsia"/>
          <w:b/>
          <w:sz w:val="28"/>
          <w:szCs w:val="28"/>
        </w:rPr>
        <w:t>年</w:t>
      </w:r>
      <w:r>
        <w:rPr>
          <w:rFonts w:hint="eastAsia"/>
          <w:b/>
          <w:sz w:val="28"/>
          <w:szCs w:val="28"/>
        </w:rPr>
        <w:t>2</w:t>
      </w:r>
      <w:r>
        <w:rPr>
          <w:rFonts w:hint="eastAsia"/>
          <w:b/>
          <w:sz w:val="28"/>
          <w:szCs w:val="28"/>
        </w:rPr>
        <w:t>月</w:t>
      </w:r>
      <w:r>
        <w:rPr>
          <w:rFonts w:hint="eastAsia"/>
          <w:b/>
          <w:sz w:val="28"/>
          <w:szCs w:val="28"/>
        </w:rPr>
        <w:t>27</w:t>
      </w:r>
      <w:r>
        <w:rPr>
          <w:rFonts w:hint="eastAsia"/>
          <w:b/>
          <w:sz w:val="28"/>
          <w:szCs w:val="28"/>
        </w:rPr>
        <w:t>日</w:t>
      </w:r>
    </w:p>
    <w:sectPr w:rsidR="00D57F03" w:rsidSect="00D57F0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F03" w:rsidRDefault="00D57F03" w:rsidP="00D57F03">
      <w:r>
        <w:separator/>
      </w:r>
    </w:p>
  </w:endnote>
  <w:endnote w:type="continuationSeparator" w:id="0">
    <w:p w:rsidR="00D57F03" w:rsidRDefault="00D57F03" w:rsidP="00D57F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66611"/>
    </w:sdtPr>
    <w:sdtContent>
      <w:p w:rsidR="00D57F03" w:rsidRDefault="00D57F03">
        <w:pPr>
          <w:pStyle w:val="a5"/>
          <w:jc w:val="center"/>
        </w:pPr>
        <w:r w:rsidRPr="00D57F03">
          <w:fldChar w:fldCharType="begin"/>
        </w:r>
        <w:r w:rsidR="00594332">
          <w:instrText xml:space="preserve"> PAGE   \* MERGEFORMAT </w:instrText>
        </w:r>
        <w:r w:rsidRPr="00D57F03">
          <w:fldChar w:fldCharType="separate"/>
        </w:r>
        <w:r w:rsidR="00594332" w:rsidRPr="00594332">
          <w:rPr>
            <w:noProof/>
            <w:lang w:val="zh-CN"/>
          </w:rPr>
          <w:t>1</w:t>
        </w:r>
        <w:r>
          <w:rPr>
            <w:lang w:val="zh-CN"/>
          </w:rPr>
          <w:fldChar w:fldCharType="end"/>
        </w:r>
      </w:p>
    </w:sdtContent>
  </w:sdt>
  <w:p w:rsidR="00D57F03" w:rsidRDefault="00D57F0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F03" w:rsidRDefault="00D57F03" w:rsidP="00D57F03">
      <w:r>
        <w:separator/>
      </w:r>
    </w:p>
  </w:footnote>
  <w:footnote w:type="continuationSeparator" w:id="0">
    <w:p w:rsidR="00D57F03" w:rsidRDefault="00D57F03" w:rsidP="00D57F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zMwYjhjZmE0YjRhOTFkZDk4YzliYTQ1MDFkNjAxOTIifQ=="/>
  </w:docVars>
  <w:rsids>
    <w:rsidRoot w:val="00FD6090"/>
    <w:rsid w:val="00010056"/>
    <w:rsid w:val="000100B7"/>
    <w:rsid w:val="000148CE"/>
    <w:rsid w:val="00015013"/>
    <w:rsid w:val="000153D9"/>
    <w:rsid w:val="00024423"/>
    <w:rsid w:val="0007331B"/>
    <w:rsid w:val="000767DF"/>
    <w:rsid w:val="0008279A"/>
    <w:rsid w:val="00084491"/>
    <w:rsid w:val="00094627"/>
    <w:rsid w:val="00094E5E"/>
    <w:rsid w:val="000D6531"/>
    <w:rsid w:val="001224AF"/>
    <w:rsid w:val="00124F4A"/>
    <w:rsid w:val="00136689"/>
    <w:rsid w:val="00142517"/>
    <w:rsid w:val="00161021"/>
    <w:rsid w:val="00176150"/>
    <w:rsid w:val="001775E2"/>
    <w:rsid w:val="001A1CF7"/>
    <w:rsid w:val="001B06E7"/>
    <w:rsid w:val="001B66A6"/>
    <w:rsid w:val="001C2ADD"/>
    <w:rsid w:val="001D6591"/>
    <w:rsid w:val="001F4505"/>
    <w:rsid w:val="001F6DAD"/>
    <w:rsid w:val="00205DDC"/>
    <w:rsid w:val="00206FBC"/>
    <w:rsid w:val="00240980"/>
    <w:rsid w:val="00245A53"/>
    <w:rsid w:val="002478A4"/>
    <w:rsid w:val="0028306F"/>
    <w:rsid w:val="00284B08"/>
    <w:rsid w:val="002963A1"/>
    <w:rsid w:val="002B1A19"/>
    <w:rsid w:val="002E4530"/>
    <w:rsid w:val="002F45D4"/>
    <w:rsid w:val="003031CA"/>
    <w:rsid w:val="00316B7A"/>
    <w:rsid w:val="00333F73"/>
    <w:rsid w:val="0035345C"/>
    <w:rsid w:val="00360984"/>
    <w:rsid w:val="0036183B"/>
    <w:rsid w:val="00364F0A"/>
    <w:rsid w:val="00377FF4"/>
    <w:rsid w:val="004440F4"/>
    <w:rsid w:val="00457ACE"/>
    <w:rsid w:val="0048423A"/>
    <w:rsid w:val="00484FF8"/>
    <w:rsid w:val="004A63C0"/>
    <w:rsid w:val="004D1810"/>
    <w:rsid w:val="004D1C36"/>
    <w:rsid w:val="004D1E38"/>
    <w:rsid w:val="004D356A"/>
    <w:rsid w:val="00531479"/>
    <w:rsid w:val="00533304"/>
    <w:rsid w:val="00542E94"/>
    <w:rsid w:val="005522E0"/>
    <w:rsid w:val="00564D70"/>
    <w:rsid w:val="00582912"/>
    <w:rsid w:val="00584F2C"/>
    <w:rsid w:val="00587B80"/>
    <w:rsid w:val="00594332"/>
    <w:rsid w:val="005A0CC6"/>
    <w:rsid w:val="005B0219"/>
    <w:rsid w:val="005B28C0"/>
    <w:rsid w:val="005D07DC"/>
    <w:rsid w:val="005D2276"/>
    <w:rsid w:val="005E0E60"/>
    <w:rsid w:val="00604249"/>
    <w:rsid w:val="00622F35"/>
    <w:rsid w:val="00631D24"/>
    <w:rsid w:val="00635038"/>
    <w:rsid w:val="006778B9"/>
    <w:rsid w:val="00692B7B"/>
    <w:rsid w:val="006C4821"/>
    <w:rsid w:val="006D2EA8"/>
    <w:rsid w:val="006F244C"/>
    <w:rsid w:val="00730038"/>
    <w:rsid w:val="00751503"/>
    <w:rsid w:val="0076491C"/>
    <w:rsid w:val="00766CDE"/>
    <w:rsid w:val="00774837"/>
    <w:rsid w:val="00775F53"/>
    <w:rsid w:val="007C46C0"/>
    <w:rsid w:val="007D4A1A"/>
    <w:rsid w:val="007E5C84"/>
    <w:rsid w:val="008011A1"/>
    <w:rsid w:val="00824AE1"/>
    <w:rsid w:val="0084477B"/>
    <w:rsid w:val="00862039"/>
    <w:rsid w:val="0087100F"/>
    <w:rsid w:val="008735FC"/>
    <w:rsid w:val="008736D5"/>
    <w:rsid w:val="00892E95"/>
    <w:rsid w:val="008A1B5C"/>
    <w:rsid w:val="008C6687"/>
    <w:rsid w:val="008D1921"/>
    <w:rsid w:val="008D3715"/>
    <w:rsid w:val="009120B5"/>
    <w:rsid w:val="0091427E"/>
    <w:rsid w:val="00917F1C"/>
    <w:rsid w:val="009271F6"/>
    <w:rsid w:val="009406CF"/>
    <w:rsid w:val="009576F9"/>
    <w:rsid w:val="009966A0"/>
    <w:rsid w:val="009A4344"/>
    <w:rsid w:val="009D6ED0"/>
    <w:rsid w:val="009E48F0"/>
    <w:rsid w:val="009F6A99"/>
    <w:rsid w:val="00A04D08"/>
    <w:rsid w:val="00A071D2"/>
    <w:rsid w:val="00A2087D"/>
    <w:rsid w:val="00A3204C"/>
    <w:rsid w:val="00A369FF"/>
    <w:rsid w:val="00A6639C"/>
    <w:rsid w:val="00A7060B"/>
    <w:rsid w:val="00AA03F5"/>
    <w:rsid w:val="00AB388B"/>
    <w:rsid w:val="00AF650C"/>
    <w:rsid w:val="00AF7846"/>
    <w:rsid w:val="00B1102F"/>
    <w:rsid w:val="00B42FB5"/>
    <w:rsid w:val="00B55411"/>
    <w:rsid w:val="00B658B0"/>
    <w:rsid w:val="00B94BE6"/>
    <w:rsid w:val="00BB1446"/>
    <w:rsid w:val="00BB198A"/>
    <w:rsid w:val="00BD7174"/>
    <w:rsid w:val="00BE477C"/>
    <w:rsid w:val="00BE5BC7"/>
    <w:rsid w:val="00C10752"/>
    <w:rsid w:val="00C21323"/>
    <w:rsid w:val="00C268BF"/>
    <w:rsid w:val="00C312F5"/>
    <w:rsid w:val="00C4756D"/>
    <w:rsid w:val="00C627F7"/>
    <w:rsid w:val="00C659E5"/>
    <w:rsid w:val="00CF4CF2"/>
    <w:rsid w:val="00D11E3C"/>
    <w:rsid w:val="00D15529"/>
    <w:rsid w:val="00D44987"/>
    <w:rsid w:val="00D5097F"/>
    <w:rsid w:val="00D57F03"/>
    <w:rsid w:val="00DA50EC"/>
    <w:rsid w:val="00DA7F99"/>
    <w:rsid w:val="00DB5B2D"/>
    <w:rsid w:val="00DF78F3"/>
    <w:rsid w:val="00E075AE"/>
    <w:rsid w:val="00E14C4D"/>
    <w:rsid w:val="00E51377"/>
    <w:rsid w:val="00E55AB9"/>
    <w:rsid w:val="00E6183D"/>
    <w:rsid w:val="00E717FB"/>
    <w:rsid w:val="00E73784"/>
    <w:rsid w:val="00E92070"/>
    <w:rsid w:val="00ED232C"/>
    <w:rsid w:val="00EF615A"/>
    <w:rsid w:val="00F16DD1"/>
    <w:rsid w:val="00F3031F"/>
    <w:rsid w:val="00F45C27"/>
    <w:rsid w:val="00F50901"/>
    <w:rsid w:val="00F56D73"/>
    <w:rsid w:val="00F57F78"/>
    <w:rsid w:val="00F91CD6"/>
    <w:rsid w:val="00F94BEF"/>
    <w:rsid w:val="00FB6909"/>
    <w:rsid w:val="00FD12D6"/>
    <w:rsid w:val="00FD28AC"/>
    <w:rsid w:val="00FD6090"/>
    <w:rsid w:val="00FE01E8"/>
    <w:rsid w:val="01313FDC"/>
    <w:rsid w:val="0262072C"/>
    <w:rsid w:val="03DB3586"/>
    <w:rsid w:val="09E15941"/>
    <w:rsid w:val="0E92115F"/>
    <w:rsid w:val="14042C93"/>
    <w:rsid w:val="19A975C4"/>
    <w:rsid w:val="1DAE0917"/>
    <w:rsid w:val="1EFD5BCB"/>
    <w:rsid w:val="22E64A07"/>
    <w:rsid w:val="2AAB4039"/>
    <w:rsid w:val="2C762C2C"/>
    <w:rsid w:val="389B393F"/>
    <w:rsid w:val="3A1F70F9"/>
    <w:rsid w:val="44B14559"/>
    <w:rsid w:val="464E1FF0"/>
    <w:rsid w:val="4B4931A0"/>
    <w:rsid w:val="4C583BC9"/>
    <w:rsid w:val="55647A77"/>
    <w:rsid w:val="5E7F6DB0"/>
    <w:rsid w:val="5EA44A4C"/>
    <w:rsid w:val="5F5E52EB"/>
    <w:rsid w:val="68435F04"/>
    <w:rsid w:val="69027266"/>
    <w:rsid w:val="6BA059A3"/>
    <w:rsid w:val="6EDB0075"/>
    <w:rsid w:val="773F28C1"/>
    <w:rsid w:val="7A150C2B"/>
    <w:rsid w:val="7B576EF9"/>
    <w:rsid w:val="7E024035"/>
    <w:rsid w:val="7E2D46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D57F0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semiHidden/>
    <w:unhideWhenUsed/>
    <w:qFormat/>
    <w:rsid w:val="00D57F03"/>
    <w:pPr>
      <w:jc w:val="left"/>
    </w:pPr>
  </w:style>
  <w:style w:type="paragraph" w:styleId="a4">
    <w:name w:val="Balloon Text"/>
    <w:basedOn w:val="a"/>
    <w:link w:val="Char0"/>
    <w:autoRedefine/>
    <w:uiPriority w:val="99"/>
    <w:semiHidden/>
    <w:unhideWhenUsed/>
    <w:qFormat/>
    <w:rsid w:val="00D57F03"/>
    <w:rPr>
      <w:sz w:val="18"/>
      <w:szCs w:val="18"/>
    </w:rPr>
  </w:style>
  <w:style w:type="paragraph" w:styleId="a5">
    <w:name w:val="footer"/>
    <w:basedOn w:val="a"/>
    <w:link w:val="Char1"/>
    <w:autoRedefine/>
    <w:uiPriority w:val="99"/>
    <w:unhideWhenUsed/>
    <w:qFormat/>
    <w:rsid w:val="00D57F03"/>
    <w:pPr>
      <w:tabs>
        <w:tab w:val="center" w:pos="4153"/>
        <w:tab w:val="right" w:pos="8306"/>
      </w:tabs>
      <w:snapToGrid w:val="0"/>
      <w:jc w:val="left"/>
    </w:pPr>
    <w:rPr>
      <w:sz w:val="18"/>
      <w:szCs w:val="18"/>
    </w:rPr>
  </w:style>
  <w:style w:type="paragraph" w:styleId="a6">
    <w:name w:val="header"/>
    <w:basedOn w:val="a"/>
    <w:link w:val="Char2"/>
    <w:autoRedefine/>
    <w:uiPriority w:val="99"/>
    <w:unhideWhenUsed/>
    <w:qFormat/>
    <w:rsid w:val="00D57F03"/>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D57F03"/>
    <w:rPr>
      <w:b/>
      <w:bCs/>
    </w:rPr>
  </w:style>
  <w:style w:type="table" w:styleId="a8">
    <w:name w:val="Table Grid"/>
    <w:basedOn w:val="a1"/>
    <w:uiPriority w:val="59"/>
    <w:unhideWhenUsed/>
    <w:rsid w:val="00D57F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autoRedefine/>
    <w:uiPriority w:val="99"/>
    <w:unhideWhenUsed/>
    <w:qFormat/>
    <w:rsid w:val="00D57F03"/>
    <w:rPr>
      <w:color w:val="0000FF" w:themeColor="hyperlink"/>
      <w:u w:val="single"/>
    </w:rPr>
  </w:style>
  <w:style w:type="character" w:styleId="aa">
    <w:name w:val="annotation reference"/>
    <w:basedOn w:val="a0"/>
    <w:autoRedefine/>
    <w:uiPriority w:val="99"/>
    <w:semiHidden/>
    <w:unhideWhenUsed/>
    <w:rsid w:val="00D57F03"/>
    <w:rPr>
      <w:sz w:val="21"/>
      <w:szCs w:val="21"/>
    </w:rPr>
  </w:style>
  <w:style w:type="character" w:customStyle="1" w:styleId="Char2">
    <w:name w:val="页眉 Char"/>
    <w:basedOn w:val="a0"/>
    <w:link w:val="a6"/>
    <w:autoRedefine/>
    <w:uiPriority w:val="99"/>
    <w:qFormat/>
    <w:rsid w:val="00D57F03"/>
    <w:rPr>
      <w:sz w:val="18"/>
      <w:szCs w:val="18"/>
    </w:rPr>
  </w:style>
  <w:style w:type="character" w:customStyle="1" w:styleId="Char1">
    <w:name w:val="页脚 Char"/>
    <w:basedOn w:val="a0"/>
    <w:link w:val="a5"/>
    <w:autoRedefine/>
    <w:uiPriority w:val="99"/>
    <w:qFormat/>
    <w:rsid w:val="00D57F03"/>
    <w:rPr>
      <w:sz w:val="18"/>
      <w:szCs w:val="18"/>
    </w:rPr>
  </w:style>
  <w:style w:type="character" w:customStyle="1" w:styleId="Char0">
    <w:name w:val="批注框文本 Char"/>
    <w:basedOn w:val="a0"/>
    <w:link w:val="a4"/>
    <w:autoRedefine/>
    <w:uiPriority w:val="99"/>
    <w:semiHidden/>
    <w:qFormat/>
    <w:rsid w:val="00D57F03"/>
    <w:rPr>
      <w:sz w:val="18"/>
      <w:szCs w:val="18"/>
    </w:rPr>
  </w:style>
  <w:style w:type="paragraph" w:customStyle="1" w:styleId="Default">
    <w:name w:val="Default"/>
    <w:autoRedefine/>
    <w:qFormat/>
    <w:rsid w:val="00D57F03"/>
    <w:pPr>
      <w:widowControl w:val="0"/>
      <w:autoSpaceDE w:val="0"/>
      <w:autoSpaceDN w:val="0"/>
      <w:adjustRightInd w:val="0"/>
    </w:pPr>
    <w:rPr>
      <w:rFonts w:ascii="宋体"/>
      <w:color w:val="000000"/>
      <w:sz w:val="24"/>
      <w:szCs w:val="24"/>
    </w:rPr>
  </w:style>
  <w:style w:type="character" w:customStyle="1" w:styleId="Char">
    <w:name w:val="批注文字 Char"/>
    <w:basedOn w:val="a0"/>
    <w:link w:val="a3"/>
    <w:autoRedefine/>
    <w:uiPriority w:val="99"/>
    <w:semiHidden/>
    <w:rsid w:val="00D57F03"/>
    <w:rPr>
      <w:rFonts w:asciiTheme="minorHAnsi" w:eastAsiaTheme="minorEastAsia" w:hAnsiTheme="minorHAnsi" w:cstheme="minorBidi"/>
      <w:kern w:val="2"/>
      <w:sz w:val="21"/>
      <w:szCs w:val="22"/>
    </w:rPr>
  </w:style>
  <w:style w:type="character" w:customStyle="1" w:styleId="Char3">
    <w:name w:val="批注主题 Char"/>
    <w:basedOn w:val="Char"/>
    <w:link w:val="a7"/>
    <w:autoRedefine/>
    <w:uiPriority w:val="99"/>
    <w:semiHidden/>
    <w:qFormat/>
    <w:rsid w:val="00D57F03"/>
    <w:rPr>
      <w:rFonts w:asciiTheme="minorHAnsi" w:eastAsiaTheme="minorEastAsia" w:hAnsiTheme="minorHAnsi" w:cstheme="minorBidi"/>
      <w:b/>
      <w:bCs/>
      <w:kern w:val="2"/>
      <w:sz w:val="21"/>
      <w:szCs w:val="22"/>
    </w:rPr>
  </w:style>
  <w:style w:type="paragraph" w:styleId="ab">
    <w:name w:val="List Paragraph"/>
    <w:basedOn w:val="a"/>
    <w:uiPriority w:val="99"/>
    <w:qFormat/>
    <w:rsid w:val="00D57F0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A05FA-F1DB-41CC-A56D-D5F0290EF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847</Characters>
  <Application>Microsoft Office Word</Application>
  <DocSecurity>4</DocSecurity>
  <Lines>7</Lines>
  <Paragraphs>1</Paragraphs>
  <ScaleCrop>false</ScaleCrop>
  <Company>Hfzq LTD.</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郑经枢</dc:creator>
  <cp:lastModifiedBy>ZHONGM</cp:lastModifiedBy>
  <cp:revision>2</cp:revision>
  <dcterms:created xsi:type="dcterms:W3CDTF">2024-02-26T16:00:00Z</dcterms:created>
  <dcterms:modified xsi:type="dcterms:W3CDTF">2024-02-26T16:00:00Z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AC1FDD7E3224479DA8D1B7DB21956B2F</vt:lpwstr>
  </property>
</Properties>
</file>