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ED" w:rsidRDefault="00CC5CFB" w:rsidP="00B824E6">
      <w:pPr>
        <w:snapToGrid w:val="0"/>
        <w:spacing w:line="360" w:lineRule="auto"/>
        <w:jc w:val="center"/>
        <w:rPr>
          <w:rFonts w:ascii="宋体" w:hAnsi="宋体"/>
          <w:b/>
          <w:sz w:val="24"/>
          <w:szCs w:val="21"/>
        </w:rPr>
      </w:pPr>
      <w:r w:rsidRPr="004124C2">
        <w:rPr>
          <w:rFonts w:ascii="宋体" w:hAnsi="宋体" w:hint="eastAsia"/>
          <w:b/>
          <w:sz w:val="24"/>
          <w:szCs w:val="21"/>
          <w:lang/>
        </w:rPr>
        <w:t>关于</w:t>
      </w:r>
      <w:r w:rsidR="008A55BE" w:rsidRPr="004124C2">
        <w:rPr>
          <w:rFonts w:ascii="宋体" w:hAnsi="宋体" w:hint="eastAsia"/>
          <w:b/>
          <w:sz w:val="24"/>
          <w:szCs w:val="21"/>
        </w:rPr>
        <w:t>泰康</w:t>
      </w:r>
      <w:r w:rsidR="00AC494E">
        <w:rPr>
          <w:rFonts w:ascii="宋体" w:hAnsi="宋体" w:hint="eastAsia"/>
          <w:b/>
          <w:sz w:val="24"/>
          <w:szCs w:val="21"/>
        </w:rPr>
        <w:t>基金</w:t>
      </w:r>
      <w:r w:rsidR="008A55BE" w:rsidRPr="004124C2">
        <w:rPr>
          <w:rFonts w:ascii="宋体" w:hAnsi="宋体" w:hint="eastAsia"/>
          <w:b/>
          <w:sz w:val="24"/>
          <w:szCs w:val="21"/>
        </w:rPr>
        <w:t>管理有限公司旗下部分开放式基金</w:t>
      </w:r>
    </w:p>
    <w:p w:rsidR="006A0374" w:rsidRPr="004124C2" w:rsidRDefault="00EC4135" w:rsidP="00B824E6">
      <w:pPr>
        <w:snapToGrid w:val="0"/>
        <w:spacing w:line="360" w:lineRule="auto"/>
        <w:jc w:val="center"/>
        <w:rPr>
          <w:rFonts w:ascii="宋体" w:hAnsi="宋体" w:hint="eastAsia"/>
          <w:b/>
          <w:sz w:val="24"/>
          <w:szCs w:val="21"/>
        </w:rPr>
      </w:pPr>
      <w:r w:rsidRPr="004124C2">
        <w:rPr>
          <w:rFonts w:ascii="宋体" w:hAnsi="宋体" w:hint="eastAsia"/>
          <w:b/>
          <w:sz w:val="24"/>
          <w:szCs w:val="21"/>
        </w:rPr>
        <w:t>新增</w:t>
      </w:r>
      <w:r w:rsidR="00F67640" w:rsidRPr="00F67640">
        <w:rPr>
          <w:rFonts w:ascii="宋体" w:hAnsi="宋体" w:hint="eastAsia"/>
          <w:b/>
          <w:sz w:val="24"/>
          <w:szCs w:val="21"/>
          <w:lang/>
        </w:rPr>
        <w:t>山西证券股份有限公司</w:t>
      </w:r>
      <w:r w:rsidR="00A3693F" w:rsidRPr="004124C2">
        <w:rPr>
          <w:rFonts w:ascii="宋体" w:hAnsi="宋体" w:hint="eastAsia"/>
          <w:b/>
          <w:sz w:val="24"/>
          <w:szCs w:val="21"/>
        </w:rPr>
        <w:t>为</w:t>
      </w:r>
      <w:r w:rsidR="00D130C6" w:rsidRPr="004124C2">
        <w:rPr>
          <w:rFonts w:ascii="宋体" w:hAnsi="宋体" w:hint="eastAsia"/>
          <w:b/>
          <w:sz w:val="24"/>
          <w:szCs w:val="21"/>
        </w:rPr>
        <w:t>销售机构</w:t>
      </w:r>
      <w:r w:rsidR="00D0477A" w:rsidRPr="004124C2">
        <w:rPr>
          <w:rFonts w:ascii="宋体" w:hAnsi="宋体" w:hint="eastAsia"/>
          <w:b/>
          <w:sz w:val="24"/>
          <w:szCs w:val="21"/>
          <w:lang/>
        </w:rPr>
        <w:t>并参加</w:t>
      </w:r>
      <w:r w:rsidR="00A3693F" w:rsidRPr="004124C2">
        <w:rPr>
          <w:rFonts w:ascii="宋体" w:hAnsi="宋体" w:hint="eastAsia"/>
          <w:b/>
          <w:sz w:val="24"/>
          <w:szCs w:val="21"/>
        </w:rPr>
        <w:t>其</w:t>
      </w:r>
      <w:r w:rsidR="00D0477A" w:rsidRPr="004124C2">
        <w:rPr>
          <w:rFonts w:ascii="宋体" w:hAnsi="宋体" w:hint="eastAsia"/>
          <w:b/>
          <w:sz w:val="24"/>
          <w:szCs w:val="21"/>
          <w:lang/>
        </w:rPr>
        <w:t>费率优惠活动</w:t>
      </w:r>
      <w:r w:rsidR="00CC5CFB" w:rsidRPr="004124C2">
        <w:rPr>
          <w:rFonts w:ascii="宋体" w:hAnsi="宋体" w:hint="eastAsia"/>
          <w:b/>
          <w:sz w:val="24"/>
          <w:szCs w:val="21"/>
          <w:lang/>
        </w:rPr>
        <w:t>的公告</w:t>
      </w:r>
    </w:p>
    <w:p w:rsidR="000479AA" w:rsidRDefault="003171F0" w:rsidP="0049659E">
      <w:pPr>
        <w:adjustRightInd w:val="0"/>
        <w:snapToGrid w:val="0"/>
        <w:spacing w:before="240" w:line="360" w:lineRule="auto"/>
        <w:ind w:firstLineChars="200" w:firstLine="420"/>
        <w:jc w:val="left"/>
        <w:rPr>
          <w:rFonts w:ascii="宋体" w:hAnsi="宋体" w:cs="Arial"/>
          <w:szCs w:val="21"/>
        </w:rPr>
      </w:pPr>
      <w:r w:rsidRPr="000E015F">
        <w:rPr>
          <w:rFonts w:ascii="宋体" w:hAnsi="宋体" w:cs="Arial" w:hint="eastAsia"/>
          <w:szCs w:val="21"/>
        </w:rPr>
        <w:t>根据</w:t>
      </w:r>
      <w:r w:rsidR="00AC494E" w:rsidRPr="00AC494E">
        <w:rPr>
          <w:rFonts w:ascii="宋体" w:hAnsi="宋体" w:cs="Arial" w:hint="eastAsia"/>
          <w:szCs w:val="21"/>
        </w:rPr>
        <w:t>泰康基金管理有限公司</w:t>
      </w:r>
      <w:r w:rsidRPr="000E015F">
        <w:rPr>
          <w:rFonts w:ascii="宋体" w:hAnsi="宋体" w:cs="Arial" w:hint="eastAsia"/>
          <w:szCs w:val="21"/>
        </w:rPr>
        <w:t>（以下简称“本公司”）与</w:t>
      </w:r>
      <w:r w:rsidR="00F67640" w:rsidRPr="00F67640">
        <w:rPr>
          <w:rFonts w:ascii="Arial" w:hAnsi="宋体" w:cs="Arial" w:hint="eastAsia"/>
          <w:color w:val="000000"/>
          <w:szCs w:val="21"/>
        </w:rPr>
        <w:t>山西证券股份有限公司</w:t>
      </w:r>
      <w:r w:rsidR="00D80E6A" w:rsidRPr="00D80E6A">
        <w:rPr>
          <w:rFonts w:ascii="Arial" w:hAnsi="宋体" w:cs="Arial" w:hint="eastAsia"/>
          <w:color w:val="000000"/>
          <w:szCs w:val="21"/>
        </w:rPr>
        <w:t>（以下简称“</w:t>
      </w:r>
      <w:r w:rsidR="00F67640" w:rsidRPr="00F67640">
        <w:rPr>
          <w:rFonts w:ascii="Arial" w:hAnsi="宋体" w:cs="Arial" w:hint="eastAsia"/>
          <w:color w:val="000000"/>
          <w:szCs w:val="21"/>
        </w:rPr>
        <w:t>山西证券</w:t>
      </w:r>
      <w:r w:rsidR="00D80E6A" w:rsidRPr="00D80E6A">
        <w:rPr>
          <w:rFonts w:ascii="Arial" w:hAnsi="宋体" w:cs="Arial" w:hint="eastAsia"/>
          <w:color w:val="000000"/>
          <w:szCs w:val="21"/>
        </w:rPr>
        <w:t>”）</w:t>
      </w:r>
      <w:r w:rsidRPr="000E015F">
        <w:rPr>
          <w:rFonts w:ascii="宋体" w:hAnsi="宋体" w:cs="Arial" w:hint="eastAsia"/>
          <w:szCs w:val="21"/>
        </w:rPr>
        <w:t>签署的基金销售协议，</w:t>
      </w:r>
      <w:r w:rsidR="00F41C91" w:rsidRPr="000E015F">
        <w:rPr>
          <w:rFonts w:ascii="宋体" w:hAnsi="宋体" w:cs="Arial" w:hint="eastAsia"/>
          <w:szCs w:val="21"/>
        </w:rPr>
        <w:t>自20</w:t>
      </w:r>
      <w:r w:rsidR="0049659E">
        <w:rPr>
          <w:rFonts w:ascii="宋体" w:hAnsi="宋体" w:cs="Arial"/>
          <w:szCs w:val="21"/>
        </w:rPr>
        <w:t>2</w:t>
      </w:r>
      <w:r w:rsidR="001650CE">
        <w:rPr>
          <w:rFonts w:ascii="宋体" w:hAnsi="宋体" w:cs="Arial"/>
          <w:szCs w:val="21"/>
        </w:rPr>
        <w:t>4</w:t>
      </w:r>
      <w:r w:rsidR="00F41C91" w:rsidRPr="000E015F">
        <w:rPr>
          <w:rFonts w:ascii="宋体" w:hAnsi="宋体" w:cs="Arial" w:hint="eastAsia"/>
          <w:szCs w:val="21"/>
        </w:rPr>
        <w:t>年</w:t>
      </w:r>
      <w:r w:rsidR="00F67640">
        <w:rPr>
          <w:rFonts w:ascii="宋体" w:hAnsi="宋体" w:cs="Arial"/>
          <w:szCs w:val="21"/>
        </w:rPr>
        <w:t>2</w:t>
      </w:r>
      <w:r w:rsidR="00F41C91" w:rsidRPr="000E015F">
        <w:rPr>
          <w:rFonts w:ascii="宋体" w:hAnsi="宋体" w:cs="Arial" w:hint="eastAsia"/>
          <w:szCs w:val="21"/>
        </w:rPr>
        <w:t>月</w:t>
      </w:r>
      <w:r w:rsidR="00046EA3">
        <w:rPr>
          <w:rFonts w:ascii="宋体" w:hAnsi="宋体" w:cs="Arial"/>
          <w:szCs w:val="21"/>
        </w:rPr>
        <w:t>26</w:t>
      </w:r>
      <w:r w:rsidR="00F41C91" w:rsidRPr="000E015F">
        <w:rPr>
          <w:rFonts w:ascii="宋体" w:hAnsi="宋体" w:cs="Arial" w:hint="eastAsia"/>
          <w:szCs w:val="21"/>
        </w:rPr>
        <w:t>日起，</w:t>
      </w:r>
      <w:r w:rsidR="008A55BE" w:rsidRPr="000E015F">
        <w:rPr>
          <w:rFonts w:ascii="宋体" w:hAnsi="宋体" w:cs="Arial" w:hint="eastAsia"/>
          <w:szCs w:val="21"/>
        </w:rPr>
        <w:t>本公司旗下部分开放式基金</w:t>
      </w:r>
      <w:r w:rsidRPr="000E015F">
        <w:rPr>
          <w:rFonts w:ascii="宋体" w:hAnsi="宋体" w:cs="Arial" w:hint="eastAsia"/>
          <w:szCs w:val="21"/>
        </w:rPr>
        <w:t>将增加</w:t>
      </w:r>
      <w:r w:rsidR="00F67640" w:rsidRPr="00F67640">
        <w:rPr>
          <w:rFonts w:ascii="宋体" w:hAnsi="宋体" w:hint="eastAsia"/>
          <w:bCs/>
          <w:szCs w:val="21"/>
        </w:rPr>
        <w:t>山西证券</w:t>
      </w:r>
      <w:r w:rsidR="00A3693F">
        <w:rPr>
          <w:rFonts w:ascii="宋体" w:hAnsi="宋体" w:cs="Arial" w:hint="eastAsia"/>
          <w:szCs w:val="21"/>
        </w:rPr>
        <w:t>为</w:t>
      </w:r>
      <w:r w:rsidRPr="000E015F">
        <w:rPr>
          <w:rFonts w:ascii="宋体" w:hAnsi="宋体" w:cs="Arial" w:hint="eastAsia"/>
          <w:szCs w:val="21"/>
        </w:rPr>
        <w:t>销售机构，并参加</w:t>
      </w:r>
      <w:r w:rsidR="00A3693F">
        <w:rPr>
          <w:rFonts w:ascii="宋体" w:hAnsi="宋体" w:cs="Arial" w:hint="eastAsia"/>
          <w:szCs w:val="21"/>
        </w:rPr>
        <w:t>其</w:t>
      </w:r>
      <w:r w:rsidRPr="000E015F">
        <w:rPr>
          <w:rFonts w:ascii="宋体" w:hAnsi="宋体" w:cs="Arial" w:hint="eastAsia"/>
          <w:szCs w:val="21"/>
        </w:rPr>
        <w:t>费率优惠活动。</w:t>
      </w:r>
    </w:p>
    <w:p w:rsidR="00D80E6A" w:rsidRPr="00D80E6A" w:rsidRDefault="009F7EAA" w:rsidP="00D80E6A">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Pr>
          <w:rFonts w:ascii="宋体" w:hAnsi="宋体" w:cs="Arial" w:hint="eastAsia"/>
          <w:b/>
          <w:szCs w:val="21"/>
        </w:rPr>
        <w:t>新增</w:t>
      </w:r>
      <w:r w:rsidR="008A55BE" w:rsidRPr="000E015F">
        <w:rPr>
          <w:rFonts w:ascii="宋体" w:hAnsi="宋体" w:cs="Arial"/>
          <w:b/>
          <w:szCs w:val="21"/>
        </w:rPr>
        <w:t>基金</w:t>
      </w:r>
      <w:r>
        <w:rPr>
          <w:rFonts w:ascii="宋体" w:hAnsi="宋体" w:cs="Arial"/>
          <w:b/>
          <w:szCs w:val="21"/>
        </w:rPr>
        <w:t>产品</w:t>
      </w:r>
      <w:r w:rsidR="008A55BE" w:rsidRPr="000E015F">
        <w:rPr>
          <w:rFonts w:ascii="宋体" w:hAnsi="宋体" w:cs="Arial"/>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1418"/>
      </w:tblGrid>
      <w:tr w:rsidR="003276DE" w:rsidRPr="006C5E7F" w:rsidTr="00046EA3">
        <w:trPr>
          <w:trHeight w:val="203"/>
        </w:trPr>
        <w:tc>
          <w:tcPr>
            <w:tcW w:w="709" w:type="dxa"/>
            <w:shd w:val="clear" w:color="auto" w:fill="auto"/>
            <w:noWrap/>
            <w:vAlign w:val="center"/>
            <w:hideMark/>
          </w:tcPr>
          <w:p w:rsidR="003276DE" w:rsidRPr="006C5E7F" w:rsidRDefault="003276DE" w:rsidP="00F67640">
            <w:pPr>
              <w:widowControl/>
              <w:spacing w:line="360" w:lineRule="auto"/>
              <w:jc w:val="center"/>
              <w:rPr>
                <w:rFonts w:ascii="宋体" w:hAnsi="宋体" w:cs="宋体"/>
                <w:color w:val="000000"/>
                <w:kern w:val="0"/>
                <w:szCs w:val="21"/>
              </w:rPr>
            </w:pPr>
            <w:r w:rsidRPr="006C5E7F">
              <w:rPr>
                <w:rFonts w:ascii="宋体" w:hAnsi="宋体" w:cs="宋体" w:hint="eastAsia"/>
                <w:color w:val="000000"/>
                <w:kern w:val="0"/>
                <w:szCs w:val="21"/>
              </w:rPr>
              <w:t>序号</w:t>
            </w:r>
          </w:p>
        </w:tc>
        <w:tc>
          <w:tcPr>
            <w:tcW w:w="6237" w:type="dxa"/>
            <w:shd w:val="clear" w:color="auto" w:fill="auto"/>
            <w:noWrap/>
            <w:vAlign w:val="center"/>
            <w:hideMark/>
          </w:tcPr>
          <w:p w:rsidR="003276DE" w:rsidRPr="006C5E7F" w:rsidRDefault="003276DE" w:rsidP="00F67640">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基金全称</w:t>
            </w:r>
          </w:p>
        </w:tc>
        <w:tc>
          <w:tcPr>
            <w:tcW w:w="1418" w:type="dxa"/>
            <w:shd w:val="clear" w:color="auto" w:fill="auto"/>
            <w:noWrap/>
            <w:vAlign w:val="center"/>
            <w:hideMark/>
          </w:tcPr>
          <w:p w:rsidR="003276DE" w:rsidRPr="006C5E7F" w:rsidRDefault="003276DE" w:rsidP="00F67640">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基金代码</w:t>
            </w:r>
          </w:p>
        </w:tc>
      </w:tr>
      <w:tr w:rsidR="00D80E6A" w:rsidRPr="006C5E7F" w:rsidTr="00F67640">
        <w:trPr>
          <w:trHeight w:val="536"/>
        </w:trPr>
        <w:tc>
          <w:tcPr>
            <w:tcW w:w="709" w:type="dxa"/>
            <w:shd w:val="clear" w:color="auto" w:fill="auto"/>
            <w:noWrap/>
            <w:vAlign w:val="center"/>
          </w:tcPr>
          <w:p w:rsidR="00D80E6A" w:rsidRPr="006C5E7F" w:rsidRDefault="00D80E6A" w:rsidP="00F67640">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1</w:t>
            </w:r>
          </w:p>
        </w:tc>
        <w:tc>
          <w:tcPr>
            <w:tcW w:w="6237" w:type="dxa"/>
            <w:shd w:val="clear" w:color="auto" w:fill="auto"/>
            <w:noWrap/>
            <w:vAlign w:val="center"/>
          </w:tcPr>
          <w:p w:rsidR="00D80E6A" w:rsidRPr="00C74F2C" w:rsidRDefault="00046EA3" w:rsidP="00F67640">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泰康稳健增利债券型证券投资基金</w:t>
            </w:r>
          </w:p>
        </w:tc>
        <w:tc>
          <w:tcPr>
            <w:tcW w:w="1418" w:type="dxa"/>
            <w:shd w:val="clear" w:color="auto" w:fill="auto"/>
            <w:noWrap/>
            <w:vAlign w:val="center"/>
          </w:tcPr>
          <w:p w:rsidR="00046EA3" w:rsidRDefault="00046EA3" w:rsidP="00046EA3">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A</w:t>
            </w:r>
            <w:r>
              <w:rPr>
                <w:rFonts w:ascii="宋体" w:hAnsi="宋体" w:cs="宋体" w:hint="eastAsia"/>
                <w:color w:val="000000"/>
                <w:kern w:val="0"/>
                <w:szCs w:val="21"/>
              </w:rPr>
              <w:t>：</w:t>
            </w:r>
            <w:r w:rsidRPr="00046EA3">
              <w:rPr>
                <w:rFonts w:ascii="宋体" w:hAnsi="宋体" w:cs="宋体" w:hint="eastAsia"/>
                <w:color w:val="000000"/>
                <w:kern w:val="0"/>
                <w:szCs w:val="21"/>
              </w:rPr>
              <w:t>002245</w:t>
            </w:r>
          </w:p>
          <w:p w:rsidR="00C74F2C" w:rsidRPr="00C74F2C" w:rsidRDefault="00046EA3" w:rsidP="00046EA3">
            <w:pPr>
              <w:widowControl/>
              <w:snapToGrid w:val="0"/>
              <w:spacing w:line="276" w:lineRule="auto"/>
              <w:jc w:val="center"/>
              <w:rPr>
                <w:rFonts w:ascii="宋体" w:hAnsi="宋体" w:cs="宋体" w:hint="eastAsia"/>
                <w:color w:val="000000"/>
                <w:kern w:val="0"/>
                <w:szCs w:val="21"/>
              </w:rPr>
            </w:pPr>
            <w:r w:rsidRPr="00046EA3">
              <w:rPr>
                <w:rFonts w:ascii="宋体" w:hAnsi="宋体" w:cs="宋体" w:hint="eastAsia"/>
                <w:color w:val="000000"/>
                <w:kern w:val="0"/>
                <w:szCs w:val="21"/>
              </w:rPr>
              <w:t>C</w:t>
            </w:r>
            <w:r>
              <w:rPr>
                <w:rFonts w:ascii="宋体" w:hAnsi="宋体" w:cs="宋体" w:hint="eastAsia"/>
                <w:color w:val="000000"/>
                <w:kern w:val="0"/>
                <w:szCs w:val="21"/>
              </w:rPr>
              <w:t>：</w:t>
            </w:r>
            <w:r w:rsidRPr="00046EA3">
              <w:rPr>
                <w:rFonts w:ascii="宋体" w:hAnsi="宋体" w:cs="宋体" w:hint="eastAsia"/>
                <w:color w:val="000000"/>
                <w:kern w:val="0"/>
                <w:szCs w:val="21"/>
              </w:rPr>
              <w:t>002246</w:t>
            </w:r>
          </w:p>
        </w:tc>
      </w:tr>
      <w:tr w:rsidR="00D80E6A" w:rsidRPr="006C5E7F" w:rsidTr="00046EA3">
        <w:trPr>
          <w:trHeight w:val="318"/>
        </w:trPr>
        <w:tc>
          <w:tcPr>
            <w:tcW w:w="709" w:type="dxa"/>
            <w:shd w:val="clear" w:color="auto" w:fill="auto"/>
            <w:noWrap/>
            <w:vAlign w:val="center"/>
          </w:tcPr>
          <w:p w:rsidR="00D80E6A" w:rsidRPr="00C74F2C" w:rsidRDefault="00C74F2C" w:rsidP="00F67640">
            <w:pPr>
              <w:widowControl/>
              <w:spacing w:line="360" w:lineRule="auto"/>
              <w:jc w:val="center"/>
              <w:rPr>
                <w:rFonts w:ascii="宋体" w:hAnsi="宋体" w:cs="宋体" w:hint="eastAsia"/>
                <w:color w:val="000000"/>
                <w:kern w:val="0"/>
                <w:szCs w:val="21"/>
              </w:rPr>
            </w:pPr>
            <w:r w:rsidRPr="00C74F2C">
              <w:rPr>
                <w:rFonts w:ascii="宋体" w:hAnsi="宋体" w:cs="宋体"/>
                <w:color w:val="000000"/>
                <w:kern w:val="0"/>
                <w:szCs w:val="21"/>
              </w:rPr>
              <w:t>2</w:t>
            </w:r>
          </w:p>
        </w:tc>
        <w:tc>
          <w:tcPr>
            <w:tcW w:w="6237" w:type="dxa"/>
            <w:shd w:val="clear" w:color="auto" w:fill="auto"/>
            <w:noWrap/>
            <w:vAlign w:val="center"/>
          </w:tcPr>
          <w:p w:rsidR="00D80E6A" w:rsidRPr="00C74F2C" w:rsidRDefault="00046EA3" w:rsidP="00F67640">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泰康安惠纯债债券型证券投资基金</w:t>
            </w:r>
          </w:p>
        </w:tc>
        <w:tc>
          <w:tcPr>
            <w:tcW w:w="1418" w:type="dxa"/>
            <w:shd w:val="clear" w:color="auto" w:fill="auto"/>
            <w:noWrap/>
            <w:vAlign w:val="center"/>
          </w:tcPr>
          <w:p w:rsidR="00046EA3" w:rsidRDefault="00046EA3" w:rsidP="00266DB9">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A</w:t>
            </w:r>
            <w:r>
              <w:rPr>
                <w:rFonts w:ascii="宋体" w:hAnsi="宋体" w:cs="宋体" w:hint="eastAsia"/>
                <w:color w:val="000000"/>
                <w:kern w:val="0"/>
                <w:szCs w:val="21"/>
              </w:rPr>
              <w:t>：</w:t>
            </w:r>
            <w:r w:rsidRPr="00046EA3">
              <w:rPr>
                <w:rFonts w:ascii="宋体" w:hAnsi="宋体" w:cs="宋体" w:hint="eastAsia"/>
                <w:color w:val="000000"/>
                <w:kern w:val="0"/>
                <w:szCs w:val="21"/>
              </w:rPr>
              <w:t>003078</w:t>
            </w:r>
          </w:p>
          <w:p w:rsidR="00C74F2C" w:rsidRPr="00C74F2C" w:rsidRDefault="00046EA3" w:rsidP="00046EA3">
            <w:pPr>
              <w:widowControl/>
              <w:snapToGrid w:val="0"/>
              <w:spacing w:line="276" w:lineRule="auto"/>
              <w:jc w:val="center"/>
              <w:rPr>
                <w:rFonts w:ascii="宋体" w:hAnsi="宋体" w:cs="宋体" w:hint="eastAsia"/>
                <w:color w:val="000000"/>
                <w:kern w:val="0"/>
                <w:szCs w:val="21"/>
              </w:rPr>
            </w:pPr>
            <w:r w:rsidRPr="00046EA3">
              <w:rPr>
                <w:rFonts w:ascii="宋体" w:hAnsi="宋体" w:cs="宋体" w:hint="eastAsia"/>
                <w:color w:val="000000"/>
                <w:kern w:val="0"/>
                <w:szCs w:val="21"/>
              </w:rPr>
              <w:t>C</w:t>
            </w:r>
            <w:r>
              <w:rPr>
                <w:rFonts w:ascii="宋体" w:hAnsi="宋体" w:cs="宋体" w:hint="eastAsia"/>
                <w:color w:val="000000"/>
                <w:kern w:val="0"/>
                <w:szCs w:val="21"/>
              </w:rPr>
              <w:t>：</w:t>
            </w:r>
            <w:r w:rsidRPr="00046EA3">
              <w:rPr>
                <w:rFonts w:ascii="宋体" w:hAnsi="宋体" w:cs="宋体" w:hint="eastAsia"/>
                <w:color w:val="000000"/>
                <w:kern w:val="0"/>
                <w:szCs w:val="21"/>
              </w:rPr>
              <w:t>006865</w:t>
            </w:r>
          </w:p>
        </w:tc>
      </w:tr>
      <w:tr w:rsidR="00D80E6A" w:rsidRPr="00F67640" w:rsidTr="00046EA3">
        <w:trPr>
          <w:trHeight w:val="426"/>
        </w:trPr>
        <w:tc>
          <w:tcPr>
            <w:tcW w:w="709" w:type="dxa"/>
            <w:shd w:val="clear" w:color="auto" w:fill="auto"/>
            <w:noWrap/>
            <w:vAlign w:val="center"/>
            <w:hideMark/>
          </w:tcPr>
          <w:p w:rsidR="00D80E6A" w:rsidRPr="006C5E7F" w:rsidRDefault="00C74F2C" w:rsidP="00F67640">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3</w:t>
            </w:r>
          </w:p>
        </w:tc>
        <w:tc>
          <w:tcPr>
            <w:tcW w:w="6237" w:type="dxa"/>
            <w:shd w:val="clear" w:color="auto" w:fill="auto"/>
            <w:noWrap/>
            <w:vAlign w:val="center"/>
            <w:hideMark/>
          </w:tcPr>
          <w:p w:rsidR="00D80E6A" w:rsidRPr="00C74F2C" w:rsidRDefault="00046EA3" w:rsidP="00F67640">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泰康年年红纯债一年定期开放债券型证券投资基金</w:t>
            </w:r>
          </w:p>
        </w:tc>
        <w:tc>
          <w:tcPr>
            <w:tcW w:w="1418" w:type="dxa"/>
            <w:shd w:val="clear" w:color="auto" w:fill="auto"/>
            <w:noWrap/>
            <w:vAlign w:val="center"/>
            <w:hideMark/>
          </w:tcPr>
          <w:p w:rsidR="00C74F2C" w:rsidRPr="00C74F2C" w:rsidRDefault="00046EA3" w:rsidP="00F67640">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004859</w:t>
            </w:r>
          </w:p>
        </w:tc>
      </w:tr>
      <w:tr w:rsidR="00046EA3" w:rsidRPr="00F67640" w:rsidTr="00C74F2C">
        <w:trPr>
          <w:trHeight w:val="398"/>
        </w:trPr>
        <w:tc>
          <w:tcPr>
            <w:tcW w:w="709" w:type="dxa"/>
            <w:shd w:val="clear" w:color="auto" w:fill="auto"/>
            <w:noWrap/>
            <w:vAlign w:val="center"/>
          </w:tcPr>
          <w:p w:rsidR="00046EA3" w:rsidRDefault="00046EA3" w:rsidP="00F67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w:t>
            </w:r>
          </w:p>
        </w:tc>
        <w:tc>
          <w:tcPr>
            <w:tcW w:w="6237" w:type="dxa"/>
            <w:shd w:val="clear" w:color="auto" w:fill="auto"/>
            <w:noWrap/>
            <w:vAlign w:val="center"/>
          </w:tcPr>
          <w:p w:rsidR="00046EA3" w:rsidRPr="00F67640" w:rsidRDefault="00046EA3" w:rsidP="00F67640">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泰康瑞坤纯债债券型证券投资基金</w:t>
            </w:r>
          </w:p>
        </w:tc>
        <w:tc>
          <w:tcPr>
            <w:tcW w:w="1418" w:type="dxa"/>
            <w:shd w:val="clear" w:color="auto" w:fill="auto"/>
            <w:noWrap/>
            <w:vAlign w:val="center"/>
          </w:tcPr>
          <w:p w:rsidR="00046EA3" w:rsidRPr="00F67640" w:rsidRDefault="00046EA3" w:rsidP="00F67640">
            <w:pPr>
              <w:widowControl/>
              <w:spacing w:line="360" w:lineRule="auto"/>
              <w:jc w:val="center"/>
              <w:rPr>
                <w:rFonts w:ascii="宋体" w:hAnsi="宋体" w:cs="宋体"/>
                <w:color w:val="000000"/>
                <w:kern w:val="0"/>
                <w:szCs w:val="21"/>
              </w:rPr>
            </w:pPr>
            <w:r w:rsidRPr="00046EA3">
              <w:rPr>
                <w:rFonts w:ascii="宋体" w:hAnsi="宋体" w:cs="宋体" w:hint="eastAsia"/>
                <w:color w:val="000000"/>
                <w:kern w:val="0"/>
                <w:szCs w:val="21"/>
              </w:rPr>
              <w:t>005054</w:t>
            </w:r>
          </w:p>
        </w:tc>
      </w:tr>
    </w:tbl>
    <w:p w:rsidR="00046EA3" w:rsidRDefault="00046EA3" w:rsidP="00046EA3">
      <w:pPr>
        <w:adjustRightInd w:val="0"/>
        <w:snapToGrid w:val="0"/>
        <w:spacing w:before="240" w:line="360" w:lineRule="auto"/>
        <w:ind w:firstLineChars="200" w:firstLine="420"/>
        <w:rPr>
          <w:rFonts w:ascii="宋体" w:hAnsi="宋体" w:cs="Arial"/>
          <w:szCs w:val="21"/>
        </w:rPr>
      </w:pPr>
      <w:r w:rsidRPr="000E015F">
        <w:rPr>
          <w:rFonts w:ascii="宋体" w:hAnsi="宋体" w:cs="Arial" w:hint="eastAsia"/>
          <w:szCs w:val="21"/>
        </w:rPr>
        <w:t>自20</w:t>
      </w:r>
      <w:r>
        <w:rPr>
          <w:rFonts w:ascii="宋体" w:hAnsi="宋体" w:cs="Arial"/>
          <w:szCs w:val="21"/>
        </w:rPr>
        <w:t>24</w:t>
      </w:r>
      <w:r w:rsidRPr="000E015F">
        <w:rPr>
          <w:rFonts w:ascii="宋体" w:hAnsi="宋体" w:cs="Arial" w:hint="eastAsia"/>
          <w:szCs w:val="21"/>
        </w:rPr>
        <w:t>年</w:t>
      </w:r>
      <w:r>
        <w:rPr>
          <w:rFonts w:ascii="宋体" w:hAnsi="宋体" w:cs="Arial"/>
          <w:szCs w:val="21"/>
        </w:rPr>
        <w:t>2</w:t>
      </w:r>
      <w:r w:rsidRPr="000E015F">
        <w:rPr>
          <w:rFonts w:ascii="宋体" w:hAnsi="宋体" w:cs="Arial" w:hint="eastAsia"/>
          <w:szCs w:val="21"/>
        </w:rPr>
        <w:t>月</w:t>
      </w:r>
      <w:r>
        <w:rPr>
          <w:rFonts w:ascii="宋体" w:hAnsi="宋体" w:cs="Arial"/>
          <w:szCs w:val="21"/>
        </w:rPr>
        <w:t>26</w:t>
      </w:r>
      <w:r w:rsidRPr="000E015F">
        <w:rPr>
          <w:rFonts w:ascii="宋体" w:hAnsi="宋体" w:cs="Arial" w:hint="eastAsia"/>
          <w:szCs w:val="21"/>
        </w:rPr>
        <w:t>日起，</w:t>
      </w:r>
      <w:r w:rsidR="00903B0E" w:rsidRPr="00903B0E">
        <w:rPr>
          <w:rFonts w:ascii="宋体" w:hAnsi="宋体" w:cs="Arial" w:hint="eastAsia"/>
          <w:szCs w:val="21"/>
        </w:rPr>
        <w:t>投资者可以通过</w:t>
      </w:r>
      <w:r w:rsidR="00F67640" w:rsidRPr="00F67640">
        <w:rPr>
          <w:rFonts w:ascii="宋体" w:hAnsi="宋体" w:cs="Arial" w:hint="eastAsia"/>
          <w:szCs w:val="21"/>
        </w:rPr>
        <w:t>山西证券</w:t>
      </w:r>
      <w:r w:rsidR="00903B0E" w:rsidRPr="00903B0E">
        <w:rPr>
          <w:rFonts w:ascii="宋体" w:hAnsi="宋体" w:cs="Arial" w:hint="eastAsia"/>
          <w:szCs w:val="21"/>
        </w:rPr>
        <w:t>办理</w:t>
      </w:r>
      <w:r>
        <w:rPr>
          <w:rFonts w:ascii="宋体" w:hAnsi="宋体" w:cs="Arial" w:hint="eastAsia"/>
          <w:szCs w:val="21"/>
        </w:rPr>
        <w:t>上述基金</w:t>
      </w:r>
      <w:r w:rsidR="00903B0E" w:rsidRPr="00903B0E">
        <w:rPr>
          <w:rFonts w:ascii="宋体" w:hAnsi="宋体" w:cs="Arial" w:hint="eastAsia"/>
          <w:szCs w:val="21"/>
        </w:rPr>
        <w:t>的</w:t>
      </w:r>
      <w:r w:rsidR="00F37C4D" w:rsidRPr="00F37C4D">
        <w:rPr>
          <w:rFonts w:ascii="宋体" w:hAnsi="宋体" w:cs="Arial" w:hint="eastAsia"/>
          <w:szCs w:val="21"/>
        </w:rPr>
        <w:t>申购、赎回</w:t>
      </w:r>
      <w:r w:rsidR="001650CE">
        <w:rPr>
          <w:rFonts w:ascii="宋体" w:hAnsi="宋体" w:cs="Arial" w:hint="eastAsia"/>
          <w:szCs w:val="21"/>
        </w:rPr>
        <w:t>、转换及</w:t>
      </w:r>
      <w:r w:rsidR="00F37C4D" w:rsidRPr="00F37C4D">
        <w:rPr>
          <w:rFonts w:ascii="宋体" w:hAnsi="宋体" w:cs="Arial" w:hint="eastAsia"/>
          <w:szCs w:val="21"/>
        </w:rPr>
        <w:t>定投</w:t>
      </w:r>
      <w:r w:rsidR="00903B0E" w:rsidRPr="00903B0E">
        <w:rPr>
          <w:rFonts w:ascii="宋体" w:hAnsi="宋体" w:cs="Arial" w:hint="eastAsia"/>
          <w:szCs w:val="21"/>
        </w:rPr>
        <w:t>业务。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1418"/>
      </w:tblGrid>
      <w:tr w:rsidR="00046EA3" w:rsidRPr="006C5E7F" w:rsidTr="00046EA3">
        <w:trPr>
          <w:trHeight w:val="215"/>
        </w:trPr>
        <w:tc>
          <w:tcPr>
            <w:tcW w:w="709" w:type="dxa"/>
            <w:shd w:val="clear" w:color="auto" w:fill="auto"/>
            <w:noWrap/>
            <w:vAlign w:val="center"/>
            <w:hideMark/>
          </w:tcPr>
          <w:p w:rsidR="00046EA3" w:rsidRPr="006C5E7F" w:rsidRDefault="00046EA3" w:rsidP="00B24C77">
            <w:pPr>
              <w:widowControl/>
              <w:spacing w:line="360" w:lineRule="auto"/>
              <w:jc w:val="center"/>
              <w:rPr>
                <w:rFonts w:ascii="宋体" w:hAnsi="宋体" w:cs="宋体"/>
                <w:color w:val="000000"/>
                <w:kern w:val="0"/>
                <w:szCs w:val="21"/>
              </w:rPr>
            </w:pPr>
            <w:r w:rsidRPr="006C5E7F">
              <w:rPr>
                <w:rFonts w:ascii="宋体" w:hAnsi="宋体" w:cs="宋体" w:hint="eastAsia"/>
                <w:color w:val="000000"/>
                <w:kern w:val="0"/>
                <w:szCs w:val="21"/>
              </w:rPr>
              <w:t>序号</w:t>
            </w:r>
          </w:p>
        </w:tc>
        <w:tc>
          <w:tcPr>
            <w:tcW w:w="6237" w:type="dxa"/>
            <w:shd w:val="clear" w:color="auto" w:fill="auto"/>
            <w:noWrap/>
            <w:vAlign w:val="center"/>
            <w:hideMark/>
          </w:tcPr>
          <w:p w:rsidR="00046EA3" w:rsidRPr="006C5E7F" w:rsidRDefault="00046EA3" w:rsidP="00B24C77">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基金全称</w:t>
            </w:r>
          </w:p>
        </w:tc>
        <w:tc>
          <w:tcPr>
            <w:tcW w:w="1418" w:type="dxa"/>
            <w:shd w:val="clear" w:color="auto" w:fill="auto"/>
            <w:noWrap/>
            <w:vAlign w:val="center"/>
            <w:hideMark/>
          </w:tcPr>
          <w:p w:rsidR="00046EA3" w:rsidRPr="006C5E7F" w:rsidRDefault="00046EA3" w:rsidP="00B24C77">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基金代码</w:t>
            </w:r>
          </w:p>
        </w:tc>
      </w:tr>
      <w:tr w:rsidR="00046EA3" w:rsidRPr="00F67640" w:rsidTr="00B24C77">
        <w:trPr>
          <w:trHeight w:val="398"/>
        </w:trPr>
        <w:tc>
          <w:tcPr>
            <w:tcW w:w="709" w:type="dxa"/>
            <w:shd w:val="clear" w:color="auto" w:fill="auto"/>
            <w:noWrap/>
            <w:vAlign w:val="center"/>
          </w:tcPr>
          <w:p w:rsidR="00046EA3" w:rsidRDefault="00046EA3" w:rsidP="00B24C77">
            <w:pPr>
              <w:widowControl/>
              <w:spacing w:line="360" w:lineRule="auto"/>
              <w:jc w:val="center"/>
              <w:rPr>
                <w:rFonts w:ascii="宋体" w:hAnsi="宋体" w:cs="宋体"/>
                <w:color w:val="000000"/>
                <w:kern w:val="0"/>
                <w:szCs w:val="21"/>
              </w:rPr>
            </w:pPr>
            <w:r>
              <w:rPr>
                <w:rFonts w:ascii="宋体" w:hAnsi="宋体" w:cs="宋体"/>
                <w:color w:val="000000"/>
                <w:kern w:val="0"/>
                <w:szCs w:val="21"/>
              </w:rPr>
              <w:t>1</w:t>
            </w:r>
          </w:p>
        </w:tc>
        <w:tc>
          <w:tcPr>
            <w:tcW w:w="6237" w:type="dxa"/>
            <w:shd w:val="clear" w:color="auto" w:fill="auto"/>
            <w:noWrap/>
            <w:vAlign w:val="center"/>
          </w:tcPr>
          <w:p w:rsidR="00046EA3" w:rsidRPr="00F67640" w:rsidRDefault="00046EA3" w:rsidP="00B24C77">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泰康信用精选债券型证券投资基金</w:t>
            </w:r>
          </w:p>
        </w:tc>
        <w:tc>
          <w:tcPr>
            <w:tcW w:w="1418" w:type="dxa"/>
            <w:shd w:val="clear" w:color="auto" w:fill="auto"/>
            <w:noWrap/>
            <w:vAlign w:val="center"/>
          </w:tcPr>
          <w:p w:rsidR="00046EA3"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A</w:t>
            </w:r>
            <w:r>
              <w:rPr>
                <w:rFonts w:ascii="宋体" w:hAnsi="宋体" w:cs="宋体" w:hint="eastAsia"/>
                <w:color w:val="000000"/>
                <w:kern w:val="0"/>
                <w:szCs w:val="21"/>
              </w:rPr>
              <w:t>：</w:t>
            </w:r>
            <w:r w:rsidRPr="00046EA3">
              <w:rPr>
                <w:rFonts w:ascii="宋体" w:hAnsi="宋体" w:cs="宋体" w:hint="eastAsia"/>
                <w:color w:val="000000"/>
                <w:kern w:val="0"/>
                <w:szCs w:val="21"/>
              </w:rPr>
              <w:t>007417</w:t>
            </w:r>
          </w:p>
          <w:p w:rsidR="00046EA3"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C</w:t>
            </w:r>
            <w:r>
              <w:rPr>
                <w:rFonts w:ascii="宋体" w:hAnsi="宋体" w:cs="宋体" w:hint="eastAsia"/>
                <w:color w:val="000000"/>
                <w:kern w:val="0"/>
                <w:szCs w:val="21"/>
              </w:rPr>
              <w:t>：</w:t>
            </w:r>
            <w:r w:rsidRPr="00046EA3">
              <w:rPr>
                <w:rFonts w:ascii="宋体" w:hAnsi="宋体" w:cs="宋体" w:hint="eastAsia"/>
                <w:color w:val="000000"/>
                <w:kern w:val="0"/>
                <w:szCs w:val="21"/>
              </w:rPr>
              <w:t>007418</w:t>
            </w:r>
          </w:p>
          <w:p w:rsidR="00046EA3" w:rsidRPr="00F67640"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D</w:t>
            </w:r>
            <w:r>
              <w:rPr>
                <w:rFonts w:ascii="宋体" w:hAnsi="宋体" w:cs="宋体" w:hint="eastAsia"/>
                <w:color w:val="000000"/>
                <w:kern w:val="0"/>
                <w:szCs w:val="21"/>
              </w:rPr>
              <w:t>：</w:t>
            </w:r>
            <w:r w:rsidRPr="00046EA3">
              <w:rPr>
                <w:rFonts w:ascii="宋体" w:hAnsi="宋体" w:cs="宋体" w:hint="eastAsia"/>
                <w:color w:val="000000"/>
                <w:kern w:val="0"/>
                <w:szCs w:val="21"/>
              </w:rPr>
              <w:t>019482</w:t>
            </w:r>
          </w:p>
        </w:tc>
      </w:tr>
      <w:tr w:rsidR="00046EA3" w:rsidRPr="00F67640" w:rsidTr="00B24C77">
        <w:trPr>
          <w:trHeight w:val="398"/>
        </w:trPr>
        <w:tc>
          <w:tcPr>
            <w:tcW w:w="709" w:type="dxa"/>
            <w:shd w:val="clear" w:color="auto" w:fill="auto"/>
            <w:noWrap/>
            <w:vAlign w:val="center"/>
          </w:tcPr>
          <w:p w:rsidR="00046EA3" w:rsidRDefault="00046EA3" w:rsidP="00B24C77">
            <w:pPr>
              <w:widowControl/>
              <w:spacing w:line="360" w:lineRule="auto"/>
              <w:jc w:val="center"/>
              <w:rPr>
                <w:rFonts w:ascii="宋体" w:hAnsi="宋体" w:cs="宋体"/>
                <w:color w:val="000000"/>
                <w:kern w:val="0"/>
                <w:szCs w:val="21"/>
              </w:rPr>
            </w:pPr>
            <w:r>
              <w:rPr>
                <w:rFonts w:ascii="宋体" w:hAnsi="宋体" w:cs="宋体"/>
                <w:color w:val="000000"/>
                <w:kern w:val="0"/>
                <w:szCs w:val="21"/>
              </w:rPr>
              <w:t>2</w:t>
            </w:r>
          </w:p>
        </w:tc>
        <w:tc>
          <w:tcPr>
            <w:tcW w:w="6237" w:type="dxa"/>
            <w:shd w:val="clear" w:color="auto" w:fill="auto"/>
            <w:noWrap/>
            <w:vAlign w:val="center"/>
          </w:tcPr>
          <w:p w:rsidR="00046EA3" w:rsidRPr="00F67640" w:rsidRDefault="00046EA3" w:rsidP="00B24C77">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泰康安泽中短债债券型证券投资基金</w:t>
            </w:r>
          </w:p>
        </w:tc>
        <w:tc>
          <w:tcPr>
            <w:tcW w:w="1418" w:type="dxa"/>
            <w:shd w:val="clear" w:color="auto" w:fill="auto"/>
            <w:noWrap/>
            <w:vAlign w:val="center"/>
          </w:tcPr>
          <w:p w:rsidR="00046EA3"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A</w:t>
            </w:r>
            <w:r>
              <w:rPr>
                <w:rFonts w:ascii="宋体" w:hAnsi="宋体" w:cs="宋体" w:hint="eastAsia"/>
                <w:color w:val="000000"/>
                <w:kern w:val="0"/>
                <w:szCs w:val="21"/>
              </w:rPr>
              <w:t>：</w:t>
            </w:r>
            <w:r w:rsidRPr="00046EA3">
              <w:rPr>
                <w:rFonts w:ascii="宋体" w:hAnsi="宋体" w:cs="宋体" w:hint="eastAsia"/>
                <w:color w:val="000000"/>
                <w:kern w:val="0"/>
                <w:szCs w:val="21"/>
              </w:rPr>
              <w:t>008565</w:t>
            </w:r>
          </w:p>
          <w:p w:rsidR="00046EA3" w:rsidRPr="00F67640"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C</w:t>
            </w:r>
            <w:r>
              <w:rPr>
                <w:rFonts w:ascii="宋体" w:hAnsi="宋体" w:cs="宋体" w:hint="eastAsia"/>
                <w:color w:val="000000"/>
                <w:kern w:val="0"/>
                <w:szCs w:val="21"/>
              </w:rPr>
              <w:t>：</w:t>
            </w:r>
            <w:r w:rsidRPr="00046EA3">
              <w:rPr>
                <w:rFonts w:ascii="宋体" w:hAnsi="宋体" w:cs="宋体" w:hint="eastAsia"/>
                <w:color w:val="000000"/>
                <w:kern w:val="0"/>
                <w:szCs w:val="21"/>
              </w:rPr>
              <w:t>011012</w:t>
            </w:r>
          </w:p>
        </w:tc>
      </w:tr>
      <w:tr w:rsidR="00046EA3" w:rsidRPr="00F67640" w:rsidTr="00B24C77">
        <w:trPr>
          <w:trHeight w:val="398"/>
        </w:trPr>
        <w:tc>
          <w:tcPr>
            <w:tcW w:w="709" w:type="dxa"/>
            <w:shd w:val="clear" w:color="auto" w:fill="auto"/>
            <w:noWrap/>
            <w:vAlign w:val="center"/>
          </w:tcPr>
          <w:p w:rsidR="00046EA3" w:rsidRDefault="00046EA3" w:rsidP="00B24C77">
            <w:pPr>
              <w:widowControl/>
              <w:spacing w:line="360" w:lineRule="auto"/>
              <w:jc w:val="center"/>
              <w:rPr>
                <w:rFonts w:ascii="宋体" w:hAnsi="宋体" w:cs="宋体"/>
                <w:color w:val="000000"/>
                <w:kern w:val="0"/>
                <w:szCs w:val="21"/>
              </w:rPr>
            </w:pPr>
            <w:r>
              <w:rPr>
                <w:rFonts w:ascii="宋体" w:hAnsi="宋体" w:cs="宋体"/>
                <w:color w:val="000000"/>
                <w:kern w:val="0"/>
                <w:szCs w:val="21"/>
              </w:rPr>
              <w:t>3</w:t>
            </w:r>
          </w:p>
        </w:tc>
        <w:tc>
          <w:tcPr>
            <w:tcW w:w="6237" w:type="dxa"/>
            <w:shd w:val="clear" w:color="auto" w:fill="auto"/>
            <w:noWrap/>
            <w:vAlign w:val="center"/>
          </w:tcPr>
          <w:p w:rsidR="00046EA3" w:rsidRPr="00F67640" w:rsidRDefault="00046EA3" w:rsidP="00B24C77">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泰康瑞丰纯债3个月定期开放债券型证券投资基金</w:t>
            </w:r>
          </w:p>
        </w:tc>
        <w:tc>
          <w:tcPr>
            <w:tcW w:w="1418" w:type="dxa"/>
            <w:shd w:val="clear" w:color="auto" w:fill="auto"/>
            <w:noWrap/>
            <w:vAlign w:val="center"/>
          </w:tcPr>
          <w:p w:rsidR="00046EA3" w:rsidRPr="00F67640" w:rsidRDefault="00046EA3" w:rsidP="00B24C77">
            <w:pPr>
              <w:widowControl/>
              <w:spacing w:line="360" w:lineRule="auto"/>
              <w:jc w:val="center"/>
              <w:rPr>
                <w:rFonts w:ascii="宋体" w:hAnsi="宋体" w:cs="宋体"/>
                <w:color w:val="000000"/>
                <w:kern w:val="0"/>
                <w:szCs w:val="21"/>
              </w:rPr>
            </w:pPr>
            <w:r w:rsidRPr="00046EA3">
              <w:rPr>
                <w:rFonts w:ascii="宋体" w:hAnsi="宋体" w:cs="宋体" w:hint="eastAsia"/>
                <w:color w:val="000000"/>
                <w:kern w:val="0"/>
                <w:szCs w:val="21"/>
              </w:rPr>
              <w:t>008700</w:t>
            </w:r>
          </w:p>
        </w:tc>
      </w:tr>
      <w:tr w:rsidR="00046EA3" w:rsidRPr="00F67640" w:rsidTr="00B24C77">
        <w:trPr>
          <w:trHeight w:val="398"/>
        </w:trPr>
        <w:tc>
          <w:tcPr>
            <w:tcW w:w="709" w:type="dxa"/>
            <w:shd w:val="clear" w:color="auto" w:fill="auto"/>
            <w:noWrap/>
            <w:vAlign w:val="center"/>
          </w:tcPr>
          <w:p w:rsidR="00046EA3" w:rsidRDefault="00046EA3" w:rsidP="00B24C77">
            <w:pPr>
              <w:widowControl/>
              <w:spacing w:line="360" w:lineRule="auto"/>
              <w:jc w:val="center"/>
              <w:rPr>
                <w:rFonts w:ascii="宋体" w:hAnsi="宋体" w:cs="宋体"/>
                <w:color w:val="000000"/>
                <w:kern w:val="0"/>
                <w:szCs w:val="21"/>
              </w:rPr>
            </w:pPr>
            <w:r>
              <w:rPr>
                <w:rFonts w:ascii="宋体" w:hAnsi="宋体" w:cs="宋体"/>
                <w:color w:val="000000"/>
                <w:kern w:val="0"/>
                <w:szCs w:val="21"/>
              </w:rPr>
              <w:t>4</w:t>
            </w:r>
          </w:p>
        </w:tc>
        <w:tc>
          <w:tcPr>
            <w:tcW w:w="6237" w:type="dxa"/>
            <w:shd w:val="clear" w:color="auto" w:fill="auto"/>
            <w:noWrap/>
            <w:vAlign w:val="center"/>
          </w:tcPr>
          <w:p w:rsidR="00046EA3" w:rsidRPr="00F67640" w:rsidRDefault="00046EA3" w:rsidP="00B24C77">
            <w:pPr>
              <w:widowControl/>
              <w:spacing w:line="360" w:lineRule="auto"/>
              <w:jc w:val="center"/>
              <w:rPr>
                <w:rFonts w:ascii="宋体" w:hAnsi="宋体" w:cs="宋体" w:hint="eastAsia"/>
                <w:color w:val="000000"/>
                <w:kern w:val="0"/>
                <w:szCs w:val="21"/>
              </w:rPr>
            </w:pPr>
            <w:r w:rsidRPr="00046EA3">
              <w:rPr>
                <w:rFonts w:ascii="宋体" w:hAnsi="宋体" w:cs="宋体" w:hint="eastAsia"/>
                <w:color w:val="000000"/>
                <w:kern w:val="0"/>
                <w:szCs w:val="21"/>
              </w:rPr>
              <w:t>泰康长江经济带债券型证券投资基金</w:t>
            </w:r>
          </w:p>
        </w:tc>
        <w:tc>
          <w:tcPr>
            <w:tcW w:w="1418" w:type="dxa"/>
            <w:shd w:val="clear" w:color="auto" w:fill="auto"/>
            <w:noWrap/>
            <w:vAlign w:val="center"/>
          </w:tcPr>
          <w:p w:rsidR="00046EA3"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A</w:t>
            </w:r>
            <w:r>
              <w:rPr>
                <w:rFonts w:ascii="宋体" w:hAnsi="宋体" w:cs="宋体" w:hint="eastAsia"/>
                <w:color w:val="000000"/>
                <w:kern w:val="0"/>
                <w:szCs w:val="21"/>
              </w:rPr>
              <w:t>：</w:t>
            </w:r>
            <w:r w:rsidRPr="00046EA3">
              <w:rPr>
                <w:rFonts w:ascii="宋体" w:hAnsi="宋体" w:cs="宋体" w:hint="eastAsia"/>
                <w:color w:val="000000"/>
                <w:kern w:val="0"/>
                <w:szCs w:val="21"/>
              </w:rPr>
              <w:t>009343</w:t>
            </w:r>
          </w:p>
          <w:p w:rsidR="00046EA3"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C</w:t>
            </w:r>
            <w:r>
              <w:rPr>
                <w:rFonts w:ascii="宋体" w:hAnsi="宋体" w:cs="宋体" w:hint="eastAsia"/>
                <w:color w:val="000000"/>
                <w:kern w:val="0"/>
                <w:szCs w:val="21"/>
              </w:rPr>
              <w:t>：</w:t>
            </w:r>
            <w:r w:rsidRPr="00046EA3">
              <w:rPr>
                <w:rFonts w:ascii="宋体" w:hAnsi="宋体" w:cs="宋体" w:hint="eastAsia"/>
                <w:color w:val="000000"/>
                <w:kern w:val="0"/>
                <w:szCs w:val="21"/>
              </w:rPr>
              <w:t>009344</w:t>
            </w:r>
          </w:p>
          <w:p w:rsidR="00046EA3" w:rsidRPr="00F67640" w:rsidRDefault="00046EA3" w:rsidP="00B24C77">
            <w:pPr>
              <w:widowControl/>
              <w:snapToGrid w:val="0"/>
              <w:spacing w:line="276" w:lineRule="auto"/>
              <w:jc w:val="center"/>
              <w:rPr>
                <w:rFonts w:ascii="宋体" w:hAnsi="宋体" w:cs="宋体"/>
                <w:color w:val="000000"/>
                <w:kern w:val="0"/>
                <w:szCs w:val="21"/>
              </w:rPr>
            </w:pPr>
            <w:r w:rsidRPr="00046EA3">
              <w:rPr>
                <w:rFonts w:ascii="宋体" w:hAnsi="宋体" w:cs="宋体" w:hint="eastAsia"/>
                <w:color w:val="000000"/>
                <w:kern w:val="0"/>
                <w:szCs w:val="21"/>
              </w:rPr>
              <w:t>D</w:t>
            </w:r>
            <w:r>
              <w:rPr>
                <w:rFonts w:ascii="宋体" w:hAnsi="宋体" w:cs="宋体" w:hint="eastAsia"/>
                <w:color w:val="000000"/>
                <w:kern w:val="0"/>
                <w:szCs w:val="21"/>
              </w:rPr>
              <w:t>：</w:t>
            </w:r>
            <w:r w:rsidRPr="00046EA3">
              <w:rPr>
                <w:rFonts w:ascii="宋体" w:hAnsi="宋体" w:cs="宋体" w:hint="eastAsia"/>
                <w:color w:val="000000"/>
                <w:kern w:val="0"/>
                <w:szCs w:val="21"/>
              </w:rPr>
              <w:t>019074</w:t>
            </w:r>
          </w:p>
        </w:tc>
      </w:tr>
    </w:tbl>
    <w:p w:rsidR="00046EA3" w:rsidRPr="00046EA3" w:rsidRDefault="00046EA3" w:rsidP="00046EA3">
      <w:pPr>
        <w:adjustRightInd w:val="0"/>
        <w:snapToGrid w:val="0"/>
        <w:spacing w:before="240" w:line="360" w:lineRule="auto"/>
        <w:ind w:firstLineChars="200" w:firstLine="420"/>
        <w:rPr>
          <w:rFonts w:ascii="宋体" w:hAnsi="宋体" w:cs="Arial" w:hint="eastAsia"/>
          <w:szCs w:val="21"/>
        </w:rPr>
      </w:pPr>
      <w:r w:rsidRPr="00046EA3">
        <w:rPr>
          <w:rFonts w:ascii="宋体" w:hAnsi="宋体" w:cs="Arial" w:hint="eastAsia"/>
          <w:szCs w:val="21"/>
        </w:rPr>
        <w:t>自2024年2月2</w:t>
      </w:r>
      <w:r>
        <w:rPr>
          <w:rFonts w:ascii="宋体" w:hAnsi="宋体" w:cs="Arial"/>
          <w:szCs w:val="21"/>
        </w:rPr>
        <w:t>7</w:t>
      </w:r>
      <w:r w:rsidRPr="00046EA3">
        <w:rPr>
          <w:rFonts w:ascii="宋体" w:hAnsi="宋体" w:cs="Arial" w:hint="eastAsia"/>
          <w:szCs w:val="21"/>
        </w:rPr>
        <w:t>日起，投资者可以通过山西证券办理上述基金的申购、赎回、转换及定投业务。</w:t>
      </w:r>
    </w:p>
    <w:p w:rsidR="00903B0E" w:rsidRDefault="00903B0E" w:rsidP="008454FA">
      <w:pPr>
        <w:adjustRightInd w:val="0"/>
        <w:snapToGrid w:val="0"/>
        <w:spacing w:line="360" w:lineRule="auto"/>
        <w:ind w:firstLineChars="200" w:firstLine="420"/>
        <w:rPr>
          <w:rFonts w:ascii="宋体" w:hAnsi="宋体" w:cs="Arial"/>
          <w:szCs w:val="21"/>
        </w:rPr>
      </w:pPr>
      <w:r w:rsidRPr="00903B0E">
        <w:rPr>
          <w:rFonts w:ascii="宋体" w:hAnsi="宋体" w:cs="Arial" w:hint="eastAsia"/>
          <w:szCs w:val="21"/>
        </w:rPr>
        <w:t>业务办理的具体程序，以销售机构相关规定为准。</w:t>
      </w:r>
      <w:r w:rsidR="001650CE" w:rsidRPr="001650CE">
        <w:rPr>
          <w:rFonts w:ascii="宋体" w:hAnsi="宋体" w:cs="Arial" w:hint="eastAsia"/>
          <w:szCs w:val="21"/>
        </w:rPr>
        <w:t>同时，投资者办理</w:t>
      </w:r>
      <w:r w:rsidR="008454FA" w:rsidRPr="008454FA">
        <w:rPr>
          <w:rFonts w:ascii="宋体" w:hAnsi="宋体" w:cs="Arial" w:hint="eastAsia"/>
          <w:szCs w:val="21"/>
        </w:rPr>
        <w:t>上述</w:t>
      </w:r>
      <w:r w:rsidR="001650CE" w:rsidRPr="001650CE">
        <w:rPr>
          <w:rFonts w:ascii="宋体" w:hAnsi="宋体" w:cs="Arial" w:hint="eastAsia"/>
          <w:szCs w:val="21"/>
        </w:rPr>
        <w:t>基金转换业务适用转换范围，请参看本公司相关公告及业务规则。</w:t>
      </w:r>
    </w:p>
    <w:p w:rsidR="000479AA" w:rsidRPr="000E015F" w:rsidRDefault="000479AA"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优惠</w:t>
      </w:r>
      <w:r w:rsidR="004D2222" w:rsidRPr="000E015F">
        <w:rPr>
          <w:rFonts w:ascii="宋体" w:hAnsi="宋体" w:cs="Arial" w:hint="eastAsia"/>
          <w:b/>
          <w:szCs w:val="21"/>
        </w:rPr>
        <w:t>方式</w:t>
      </w:r>
      <w:r w:rsidRPr="000E015F">
        <w:rPr>
          <w:rFonts w:ascii="宋体" w:hAnsi="宋体" w:cs="Arial"/>
          <w:b/>
          <w:szCs w:val="21"/>
        </w:rPr>
        <w:t>：</w:t>
      </w:r>
    </w:p>
    <w:p w:rsidR="004B543A" w:rsidRPr="004B543A" w:rsidRDefault="008A55BE" w:rsidP="004B543A">
      <w:pPr>
        <w:adjustRightInd w:val="0"/>
        <w:snapToGrid w:val="0"/>
        <w:spacing w:line="360" w:lineRule="auto"/>
        <w:ind w:firstLineChars="200" w:firstLine="420"/>
        <w:rPr>
          <w:rFonts w:ascii="宋体" w:hAnsi="宋体" w:cs="Arial" w:hint="eastAsia"/>
          <w:szCs w:val="21"/>
        </w:rPr>
      </w:pPr>
      <w:r w:rsidRPr="009833C6">
        <w:rPr>
          <w:rFonts w:ascii="宋体" w:hAnsi="宋体" w:cs="Arial" w:hint="eastAsia"/>
          <w:szCs w:val="21"/>
        </w:rPr>
        <w:t>自</w:t>
      </w:r>
      <w:r w:rsidR="001650CE" w:rsidRPr="001650CE">
        <w:rPr>
          <w:rFonts w:ascii="宋体" w:hAnsi="宋体" w:cs="Arial" w:hint="eastAsia"/>
          <w:szCs w:val="21"/>
        </w:rPr>
        <w:t>2024年</w:t>
      </w:r>
      <w:r w:rsidR="00F67640">
        <w:rPr>
          <w:rFonts w:ascii="宋体" w:hAnsi="宋体" w:cs="Arial"/>
          <w:szCs w:val="21"/>
        </w:rPr>
        <w:t>2</w:t>
      </w:r>
      <w:r w:rsidR="001650CE" w:rsidRPr="001650CE">
        <w:rPr>
          <w:rFonts w:ascii="宋体" w:hAnsi="宋体" w:cs="Arial" w:hint="eastAsia"/>
          <w:szCs w:val="21"/>
        </w:rPr>
        <w:t>月</w:t>
      </w:r>
      <w:r w:rsidR="008454FA">
        <w:rPr>
          <w:rFonts w:ascii="宋体" w:hAnsi="宋体" w:cs="Arial"/>
          <w:szCs w:val="21"/>
        </w:rPr>
        <w:t>26</w:t>
      </w:r>
      <w:r w:rsidR="001650CE" w:rsidRPr="001650CE">
        <w:rPr>
          <w:rFonts w:ascii="宋体" w:hAnsi="宋体" w:cs="Arial" w:hint="eastAsia"/>
          <w:szCs w:val="21"/>
        </w:rPr>
        <w:t>日</w:t>
      </w:r>
      <w:r w:rsidRPr="009833C6">
        <w:rPr>
          <w:rFonts w:ascii="宋体" w:hAnsi="宋体" w:cs="Arial" w:hint="eastAsia"/>
          <w:szCs w:val="21"/>
        </w:rPr>
        <w:t>起，</w:t>
      </w:r>
      <w:r w:rsidR="004B543A" w:rsidRPr="004B543A">
        <w:rPr>
          <w:rFonts w:ascii="宋体" w:hAnsi="宋体" w:cs="Arial" w:hint="eastAsia"/>
          <w:szCs w:val="21"/>
        </w:rPr>
        <w:t>在符合基金相关法律文件及监管部门要求的前提下，投资者通过</w:t>
      </w:r>
      <w:r w:rsidR="00F67640" w:rsidRPr="00F67640">
        <w:rPr>
          <w:rFonts w:ascii="宋体" w:hAnsi="宋体" w:cs="Arial" w:hint="eastAsia"/>
          <w:szCs w:val="21"/>
        </w:rPr>
        <w:t>山西证券</w:t>
      </w:r>
      <w:r w:rsidR="004B543A">
        <w:rPr>
          <w:rFonts w:ascii="宋体" w:hAnsi="宋体" w:cs="Arial" w:hint="eastAsia"/>
          <w:szCs w:val="21"/>
        </w:rPr>
        <w:t>申购（含定投）上述</w:t>
      </w:r>
      <w:r w:rsidR="004B543A" w:rsidRPr="004B543A">
        <w:rPr>
          <w:rFonts w:ascii="宋体" w:hAnsi="宋体" w:cs="Arial" w:hint="eastAsia"/>
          <w:szCs w:val="21"/>
        </w:rPr>
        <w:t>基金，享有申购费率优惠，具体折扣费率以</w:t>
      </w:r>
      <w:r w:rsidR="00F67640" w:rsidRPr="00F67640">
        <w:rPr>
          <w:rFonts w:ascii="宋体" w:hAnsi="宋体" w:cs="Arial" w:hint="eastAsia"/>
          <w:szCs w:val="21"/>
        </w:rPr>
        <w:t>山西证券</w:t>
      </w:r>
      <w:r w:rsidR="004B543A" w:rsidRPr="004B543A">
        <w:rPr>
          <w:rFonts w:ascii="宋体" w:hAnsi="宋体" w:cs="Arial" w:hint="eastAsia"/>
          <w:szCs w:val="21"/>
        </w:rPr>
        <w:t>最新公示为准。</w:t>
      </w:r>
    </w:p>
    <w:p w:rsidR="000D43A5" w:rsidRPr="00D55F81" w:rsidRDefault="000D43A5" w:rsidP="000D43A5">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Arial" w:hAnsi="Arial" w:cs="Arial"/>
          <w:b/>
          <w:szCs w:val="21"/>
        </w:rPr>
      </w:pPr>
      <w:r w:rsidRPr="00D55F81">
        <w:rPr>
          <w:rFonts w:ascii="Arial" w:hAnsi="Arial" w:cs="Arial"/>
          <w:b/>
          <w:szCs w:val="21"/>
        </w:rPr>
        <w:lastRenderedPageBreak/>
        <w:t>咨询方式</w:t>
      </w:r>
    </w:p>
    <w:p w:rsidR="00C74F2C" w:rsidRPr="00C74F2C" w:rsidRDefault="00F67640" w:rsidP="00F67640">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sidRPr="00F67640">
        <w:rPr>
          <w:rFonts w:ascii="宋体" w:hAnsi="宋体" w:cs="Arial" w:hint="eastAsia"/>
          <w:szCs w:val="21"/>
        </w:rPr>
        <w:t>山西证券股份有限公司</w:t>
      </w:r>
    </w:p>
    <w:p w:rsidR="00C74F2C" w:rsidRPr="00C74F2C" w:rsidRDefault="00C74F2C" w:rsidP="00C74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szCs w:val="21"/>
        </w:rPr>
      </w:pPr>
      <w:r w:rsidRPr="00C74F2C">
        <w:rPr>
          <w:rFonts w:ascii="宋体" w:hAnsi="宋体" w:cs="Arial" w:hint="eastAsia"/>
          <w:szCs w:val="21"/>
        </w:rPr>
        <w:t>客服电话：</w:t>
      </w:r>
      <w:r w:rsidR="00F67640" w:rsidRPr="00F67640">
        <w:rPr>
          <w:rFonts w:ascii="宋体" w:hAnsi="宋体" w:cs="Arial" w:hint="eastAsia"/>
          <w:szCs w:val="21"/>
        </w:rPr>
        <w:t>95573、(0351)95573</w:t>
      </w:r>
    </w:p>
    <w:p w:rsidR="006C5F5B" w:rsidRDefault="00C74F2C" w:rsidP="00C74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szCs w:val="21"/>
        </w:rPr>
      </w:pPr>
      <w:r w:rsidRPr="00C74F2C">
        <w:rPr>
          <w:rFonts w:ascii="宋体" w:hAnsi="宋体" w:cs="Arial" w:hint="eastAsia"/>
          <w:szCs w:val="21"/>
        </w:rPr>
        <w:t>网址：</w:t>
      </w:r>
      <w:r w:rsidR="00F67640" w:rsidRPr="00F67640">
        <w:rPr>
          <w:rFonts w:ascii="宋体" w:hAnsi="宋体" w:cs="Arial"/>
          <w:szCs w:val="21"/>
        </w:rPr>
        <w:t>www.i618.com.cn</w:t>
      </w:r>
    </w:p>
    <w:p w:rsidR="00A3693F" w:rsidRPr="00A3693F" w:rsidRDefault="00902C93" w:rsidP="006C5F5B">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Pr>
          <w:rFonts w:ascii="宋体" w:hAnsi="宋体" w:cs="Arial" w:hint="eastAsia"/>
          <w:szCs w:val="21"/>
        </w:rPr>
        <w:t>泰康基金管理有限</w:t>
      </w:r>
      <w:r w:rsidR="00A3693F" w:rsidRPr="00A3693F">
        <w:rPr>
          <w:rFonts w:ascii="宋体" w:hAnsi="宋体" w:cs="Arial" w:hint="eastAsia"/>
          <w:szCs w:val="21"/>
        </w:rPr>
        <w:t>公司</w:t>
      </w:r>
    </w:p>
    <w:p w:rsidR="00A3693F"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客服电话：400-18-95522</w:t>
      </w:r>
    </w:p>
    <w:p w:rsidR="006802DB"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网站：www.tkfunds.com.cn</w:t>
      </w:r>
    </w:p>
    <w:p w:rsidR="00E60F6C" w:rsidRPr="000E015F" w:rsidRDefault="008133FF"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特别提示</w:t>
      </w:r>
    </w:p>
    <w:p w:rsidR="00174EA6" w:rsidRDefault="00E60F6C" w:rsidP="00174EA6">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0E015F">
        <w:rPr>
          <w:rFonts w:ascii="宋体" w:hAnsi="宋体" w:cs="Arial" w:hint="eastAsia"/>
          <w:szCs w:val="21"/>
        </w:rPr>
        <w:t>本</w:t>
      </w:r>
      <w:r w:rsidR="00976DCC" w:rsidRPr="000E015F">
        <w:rPr>
          <w:rFonts w:ascii="宋体" w:hAnsi="宋体" w:cs="Arial" w:hint="eastAsia"/>
          <w:szCs w:val="21"/>
        </w:rPr>
        <w:t>公告</w:t>
      </w:r>
      <w:r w:rsidRPr="000E015F">
        <w:rPr>
          <w:rFonts w:ascii="宋体" w:hAnsi="宋体" w:cs="Arial" w:hint="eastAsia"/>
          <w:szCs w:val="21"/>
        </w:rPr>
        <w:t>的解释权归</w:t>
      </w:r>
      <w:r w:rsidR="00F67640">
        <w:rPr>
          <w:rFonts w:ascii="宋体" w:hAnsi="宋体" w:cs="Arial" w:hint="eastAsia"/>
          <w:szCs w:val="21"/>
        </w:rPr>
        <w:t>山西</w:t>
      </w:r>
      <w:r w:rsidR="00C74F2C">
        <w:rPr>
          <w:rFonts w:ascii="宋体" w:hAnsi="宋体" w:cs="Arial" w:hint="eastAsia"/>
          <w:szCs w:val="21"/>
        </w:rPr>
        <w:t>证券</w:t>
      </w:r>
      <w:r w:rsidRPr="000E015F">
        <w:rPr>
          <w:rFonts w:ascii="宋体" w:hAnsi="宋体" w:cs="Arial" w:hint="eastAsia"/>
          <w:szCs w:val="21"/>
        </w:rPr>
        <w:t>所有。</w:t>
      </w:r>
    </w:p>
    <w:p w:rsidR="003A0F54" w:rsidRPr="00174EA6" w:rsidRDefault="00174EA6" w:rsidP="00174EA6">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174EA6">
        <w:rPr>
          <w:rFonts w:ascii="宋体" w:hAnsi="宋体" w:cs="Arial" w:hint="eastAsia"/>
          <w:szCs w:val="21"/>
        </w:rPr>
        <w:t>上述优惠活动仅适用于处于正常申购期或申购开放期基金产品日常申购手续费或定期定额投资手续费，不包括基金赎回、转换业务等其他业务的基金手续费。本公司旗下各基金是否参与销售机构费率优惠活动，请参看本公司相关公告。</w:t>
      </w:r>
    </w:p>
    <w:p w:rsidR="001613F3" w:rsidRDefault="003A62CB" w:rsidP="003A62CB">
      <w:pPr>
        <w:widowControl/>
        <w:shd w:val="clear" w:color="auto" w:fill="FFFFFF"/>
        <w:snapToGrid w:val="0"/>
        <w:spacing w:before="240" w:line="360" w:lineRule="auto"/>
        <w:ind w:firstLineChars="200" w:firstLine="420"/>
        <w:jc w:val="left"/>
        <w:rPr>
          <w:rFonts w:ascii="宋体" w:hAnsi="宋体"/>
        </w:rPr>
      </w:pPr>
      <w:r w:rsidRPr="0025288B">
        <w:rPr>
          <w:rFonts w:ascii="宋体" w:hAnsi="宋体" w:hint="eastAsia"/>
        </w:rPr>
        <w:t>风险提示：</w:t>
      </w:r>
      <w:r w:rsidR="00B53427" w:rsidRPr="00B53427">
        <w:rPr>
          <w:rFonts w:ascii="宋体" w:hAnsi="宋体" w:hint="eastAsia"/>
        </w:rPr>
        <w:t>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r w:rsidRPr="0025288B">
        <w:rPr>
          <w:rFonts w:ascii="宋体" w:hAnsi="宋体" w:hint="eastAsia"/>
        </w:rPr>
        <w:t>。</w:t>
      </w:r>
    </w:p>
    <w:p w:rsidR="003A62CB" w:rsidRDefault="003A62CB" w:rsidP="00A3693F">
      <w:pPr>
        <w:widowControl/>
        <w:shd w:val="clear" w:color="auto" w:fill="FFFFFF"/>
        <w:snapToGrid w:val="0"/>
        <w:spacing w:line="360" w:lineRule="auto"/>
        <w:ind w:firstLineChars="200" w:firstLine="420"/>
        <w:jc w:val="left"/>
        <w:rPr>
          <w:rFonts w:ascii="宋体" w:hAnsi="宋体" w:hint="eastAsia"/>
        </w:rPr>
      </w:pPr>
      <w:r>
        <w:rPr>
          <w:rFonts w:ascii="宋体" w:hAnsi="宋体"/>
        </w:rPr>
        <w:t>特此公告</w:t>
      </w:r>
      <w:r>
        <w:rPr>
          <w:rFonts w:ascii="宋体" w:hAnsi="宋体" w:hint="eastAsia"/>
        </w:rPr>
        <w:t>。</w:t>
      </w:r>
    </w:p>
    <w:p w:rsidR="001613F3" w:rsidRDefault="001613F3"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5471CF" w:rsidRPr="000E015F" w:rsidRDefault="005471CF" w:rsidP="00C15731">
      <w:pPr>
        <w:autoSpaceDE w:val="0"/>
        <w:autoSpaceDN w:val="0"/>
        <w:adjustRightInd w:val="0"/>
        <w:snapToGrid w:val="0"/>
        <w:spacing w:line="360" w:lineRule="auto"/>
        <w:jc w:val="left"/>
        <w:rPr>
          <w:rFonts w:ascii="宋体" w:hAnsi="宋体" w:cs="Arial" w:hint="eastAsia"/>
          <w:szCs w:val="21"/>
        </w:rPr>
      </w:pPr>
    </w:p>
    <w:p w:rsidR="00271AFD" w:rsidRPr="000E015F" w:rsidRDefault="00902C93" w:rsidP="00C15731">
      <w:pPr>
        <w:autoSpaceDE w:val="0"/>
        <w:autoSpaceDN w:val="0"/>
        <w:adjustRightInd w:val="0"/>
        <w:snapToGrid w:val="0"/>
        <w:spacing w:line="360" w:lineRule="auto"/>
        <w:ind w:firstLine="570"/>
        <w:jc w:val="right"/>
        <w:rPr>
          <w:rFonts w:ascii="宋体" w:hAnsi="宋体" w:cs="Arial" w:hint="eastAsia"/>
          <w:szCs w:val="21"/>
        </w:rPr>
      </w:pPr>
      <w:r>
        <w:rPr>
          <w:rFonts w:ascii="宋体" w:hAnsi="宋体" w:cs="Arial" w:hint="eastAsia"/>
          <w:szCs w:val="21"/>
        </w:rPr>
        <w:t>泰康基金管理有限</w:t>
      </w:r>
      <w:r w:rsidR="006A0374" w:rsidRPr="000E015F">
        <w:rPr>
          <w:rFonts w:ascii="宋体" w:hAnsi="宋体" w:cs="Arial" w:hint="eastAsia"/>
          <w:szCs w:val="21"/>
        </w:rPr>
        <w:t>公司</w:t>
      </w:r>
    </w:p>
    <w:p w:rsidR="00271AFD" w:rsidRPr="000E015F" w:rsidRDefault="00A81B3A" w:rsidP="00C15731">
      <w:pPr>
        <w:autoSpaceDE w:val="0"/>
        <w:autoSpaceDN w:val="0"/>
        <w:adjustRightInd w:val="0"/>
        <w:snapToGrid w:val="0"/>
        <w:spacing w:line="360" w:lineRule="auto"/>
        <w:ind w:left="5250" w:right="90"/>
        <w:jc w:val="right"/>
        <w:rPr>
          <w:rFonts w:ascii="宋体" w:hAnsi="宋体" w:cs="Arial" w:hint="eastAsia"/>
          <w:szCs w:val="21"/>
        </w:rPr>
      </w:pPr>
      <w:r w:rsidRPr="000E015F">
        <w:rPr>
          <w:rFonts w:ascii="宋体" w:hAnsi="宋体" w:cs="Arial" w:hint="eastAsia"/>
          <w:szCs w:val="21"/>
        </w:rPr>
        <w:t>20</w:t>
      </w:r>
      <w:r>
        <w:rPr>
          <w:rFonts w:ascii="宋体" w:hAnsi="宋体" w:cs="Arial"/>
          <w:szCs w:val="21"/>
        </w:rPr>
        <w:t>2</w:t>
      </w:r>
      <w:r w:rsidR="001650CE">
        <w:rPr>
          <w:rFonts w:ascii="宋体" w:hAnsi="宋体" w:cs="Arial"/>
          <w:szCs w:val="21"/>
        </w:rPr>
        <w:t>4</w:t>
      </w:r>
      <w:r w:rsidRPr="000E015F">
        <w:rPr>
          <w:rFonts w:ascii="宋体" w:hAnsi="宋体" w:cs="Arial" w:hint="eastAsia"/>
          <w:szCs w:val="21"/>
        </w:rPr>
        <w:t>年</w:t>
      </w:r>
      <w:r w:rsidR="00F67640">
        <w:rPr>
          <w:rFonts w:ascii="宋体" w:hAnsi="宋体" w:cs="Arial"/>
          <w:szCs w:val="21"/>
        </w:rPr>
        <w:t>2</w:t>
      </w:r>
      <w:r w:rsidRPr="000E015F">
        <w:rPr>
          <w:rFonts w:ascii="宋体" w:hAnsi="宋体" w:cs="Arial" w:hint="eastAsia"/>
          <w:szCs w:val="21"/>
        </w:rPr>
        <w:t>月</w:t>
      </w:r>
      <w:r w:rsidR="008454FA">
        <w:rPr>
          <w:rFonts w:ascii="宋体" w:hAnsi="宋体" w:cs="Arial"/>
          <w:szCs w:val="21"/>
        </w:rPr>
        <w:t>26</w:t>
      </w:r>
      <w:r w:rsidRPr="000E015F">
        <w:rPr>
          <w:rFonts w:ascii="宋体" w:hAnsi="宋体" w:cs="Arial" w:hint="eastAsia"/>
          <w:szCs w:val="21"/>
        </w:rPr>
        <w:t>日</w:t>
      </w:r>
    </w:p>
    <w:sectPr w:rsidR="00271AFD" w:rsidRPr="000E015F" w:rsidSect="009A749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77" w:rsidRDefault="00B24C77" w:rsidP="00625EB7">
      <w:r>
        <w:separator/>
      </w:r>
    </w:p>
  </w:endnote>
  <w:endnote w:type="continuationSeparator" w:id="0">
    <w:p w:rsidR="00B24C77" w:rsidRDefault="00B24C77" w:rsidP="006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77" w:rsidRDefault="00B24C77" w:rsidP="00625EB7">
      <w:r>
        <w:separator/>
      </w:r>
    </w:p>
  </w:footnote>
  <w:footnote w:type="continuationSeparator" w:id="0">
    <w:p w:rsidR="00B24C77" w:rsidRDefault="00B24C77" w:rsidP="0062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D"/>
    <w:multiLevelType w:val="hybridMultilevel"/>
    <w:tmpl w:val="724C35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5F6DD7"/>
    <w:multiLevelType w:val="hybridMultilevel"/>
    <w:tmpl w:val="C0E8FEE4"/>
    <w:lvl w:ilvl="0" w:tplc="C682208C">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3C1B07"/>
    <w:multiLevelType w:val="hybridMultilevel"/>
    <w:tmpl w:val="0D0CCA1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EAC7039"/>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B1EBA"/>
    <w:multiLevelType w:val="hybridMultilevel"/>
    <w:tmpl w:val="1146FC98"/>
    <w:lvl w:ilvl="0" w:tplc="415862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3A37CC"/>
    <w:multiLevelType w:val="hybridMultilevel"/>
    <w:tmpl w:val="A492F872"/>
    <w:lvl w:ilvl="0" w:tplc="7070D568">
      <w:start w:val="1"/>
      <w:numFmt w:val="japaneseCounting"/>
      <w:lvlText w:val="%1、"/>
      <w:lvlJc w:val="left"/>
      <w:pPr>
        <w:ind w:left="420" w:hanging="42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93B3E60"/>
    <w:multiLevelType w:val="multilevel"/>
    <w:tmpl w:val="393B3E60"/>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260"/>
        </w:tabs>
        <w:ind w:left="180" w:firstLine="0"/>
      </w:pPr>
      <w:rPr>
        <w:rFonts w:hint="eastAsia"/>
        <w:sz w:val="21"/>
        <w:szCs w:val="21"/>
      </w:rPr>
    </w:lvl>
    <w:lvl w:ilvl="2">
      <w:start w:val="1"/>
      <w:numFmt w:val="decimal"/>
      <w:lvlText w:val="%3."/>
      <w:lvlJc w:val="left"/>
      <w:pPr>
        <w:tabs>
          <w:tab w:val="num" w:pos="454"/>
        </w:tabs>
        <w:ind w:left="454" w:hanging="454"/>
      </w:pPr>
      <w:rPr>
        <w:rFonts w:ascii="Arial" w:eastAsia="宋体" w:hAnsi="Arial" w:cs="Arial" w:hint="default"/>
        <w:b w:val="0"/>
        <w:i w:val="0"/>
        <w:sz w:val="21"/>
      </w:rPr>
    </w:lvl>
    <w:lvl w:ilvl="3">
      <w:start w:val="1"/>
      <w:numFmt w:val="decimal"/>
      <w:lvlText w:val="（%4）"/>
      <w:lvlJc w:val="left"/>
      <w:pPr>
        <w:tabs>
          <w:tab w:val="num" w:pos="720"/>
        </w:tabs>
        <w:ind w:left="0" w:firstLine="0"/>
      </w:pPr>
      <w:rPr>
        <w:rFonts w:ascii="Arial" w:eastAsia="宋体" w:hAnsi="Arial" w:cs="Arial"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5395FBF"/>
    <w:multiLevelType w:val="hybridMultilevel"/>
    <w:tmpl w:val="FDAA02C0"/>
    <w:lvl w:ilvl="0" w:tplc="52506198">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72870D4"/>
    <w:multiLevelType w:val="hybridMultilevel"/>
    <w:tmpl w:val="B42ED7D0"/>
    <w:lvl w:ilvl="0" w:tplc="18361A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097504"/>
    <w:multiLevelType w:val="hybridMultilevel"/>
    <w:tmpl w:val="C0E8FEE4"/>
    <w:lvl w:ilvl="0" w:tplc="C68220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6E8281C"/>
    <w:multiLevelType w:val="hybridMultilevel"/>
    <w:tmpl w:val="6E5C2B86"/>
    <w:lvl w:ilvl="0" w:tplc="AB98549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D6843"/>
    <w:multiLevelType w:val="hybridMultilevel"/>
    <w:tmpl w:val="62C210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90A4DCC"/>
    <w:multiLevelType w:val="hybridMultilevel"/>
    <w:tmpl w:val="2C9CAD82"/>
    <w:lvl w:ilvl="0" w:tplc="434E69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C691A0E"/>
    <w:multiLevelType w:val="hybridMultilevel"/>
    <w:tmpl w:val="3940A21A"/>
    <w:lvl w:ilvl="0" w:tplc="A0CC6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FB93EEF"/>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0"/>
  </w:num>
  <w:num w:numId="11">
    <w:abstractNumId w:val="8"/>
  </w:num>
  <w:num w:numId="12">
    <w:abstractNumId w:val="9"/>
  </w:num>
  <w:num w:numId="13">
    <w:abstractNumId w:val="12"/>
  </w:num>
  <w:num w:numId="14">
    <w:abstractNumId w:val="14"/>
  </w:num>
  <w:num w:numId="15">
    <w:abstractNumId w:val="1"/>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96A"/>
    <w:rsid w:val="00001B49"/>
    <w:rsid w:val="00013725"/>
    <w:rsid w:val="00021AD9"/>
    <w:rsid w:val="00023667"/>
    <w:rsid w:val="0002403C"/>
    <w:rsid w:val="00025529"/>
    <w:rsid w:val="0003103C"/>
    <w:rsid w:val="00032C67"/>
    <w:rsid w:val="00040FDD"/>
    <w:rsid w:val="00043779"/>
    <w:rsid w:val="00044CFE"/>
    <w:rsid w:val="00046EA3"/>
    <w:rsid w:val="000479AA"/>
    <w:rsid w:val="00054B41"/>
    <w:rsid w:val="00063199"/>
    <w:rsid w:val="00066185"/>
    <w:rsid w:val="00085B94"/>
    <w:rsid w:val="00090BCD"/>
    <w:rsid w:val="00091E50"/>
    <w:rsid w:val="00093F75"/>
    <w:rsid w:val="000A30D7"/>
    <w:rsid w:val="000A53F3"/>
    <w:rsid w:val="000D43A5"/>
    <w:rsid w:val="000E015F"/>
    <w:rsid w:val="000E509B"/>
    <w:rsid w:val="000F414D"/>
    <w:rsid w:val="000F6EFB"/>
    <w:rsid w:val="00100401"/>
    <w:rsid w:val="00100681"/>
    <w:rsid w:val="00104A4B"/>
    <w:rsid w:val="00115CF2"/>
    <w:rsid w:val="00122F16"/>
    <w:rsid w:val="00131A47"/>
    <w:rsid w:val="001418B0"/>
    <w:rsid w:val="0014595D"/>
    <w:rsid w:val="001515B7"/>
    <w:rsid w:val="001613F3"/>
    <w:rsid w:val="00161910"/>
    <w:rsid w:val="001650CE"/>
    <w:rsid w:val="00174EA6"/>
    <w:rsid w:val="00186981"/>
    <w:rsid w:val="001911CB"/>
    <w:rsid w:val="001A64F2"/>
    <w:rsid w:val="001A6B85"/>
    <w:rsid w:val="001C7882"/>
    <w:rsid w:val="001D7E8B"/>
    <w:rsid w:val="001E1E0B"/>
    <w:rsid w:val="001E7EC6"/>
    <w:rsid w:val="001F1C04"/>
    <w:rsid w:val="0021598D"/>
    <w:rsid w:val="00216ADD"/>
    <w:rsid w:val="002235F7"/>
    <w:rsid w:val="00231FE4"/>
    <w:rsid w:val="002345F5"/>
    <w:rsid w:val="00241052"/>
    <w:rsid w:val="00244D85"/>
    <w:rsid w:val="00245443"/>
    <w:rsid w:val="00246822"/>
    <w:rsid w:val="00252504"/>
    <w:rsid w:val="002536CA"/>
    <w:rsid w:val="00254DA6"/>
    <w:rsid w:val="00257B74"/>
    <w:rsid w:val="002603EF"/>
    <w:rsid w:val="00266B70"/>
    <w:rsid w:val="00266DB9"/>
    <w:rsid w:val="00271AFD"/>
    <w:rsid w:val="00271D93"/>
    <w:rsid w:val="00273EE9"/>
    <w:rsid w:val="002826EC"/>
    <w:rsid w:val="00291948"/>
    <w:rsid w:val="002D3A6E"/>
    <w:rsid w:val="002F33F4"/>
    <w:rsid w:val="00302545"/>
    <w:rsid w:val="003171F0"/>
    <w:rsid w:val="003207AA"/>
    <w:rsid w:val="00320CB2"/>
    <w:rsid w:val="003258E1"/>
    <w:rsid w:val="00326539"/>
    <w:rsid w:val="003276DE"/>
    <w:rsid w:val="00332179"/>
    <w:rsid w:val="00335521"/>
    <w:rsid w:val="00337626"/>
    <w:rsid w:val="00344F25"/>
    <w:rsid w:val="0034659B"/>
    <w:rsid w:val="00357DC6"/>
    <w:rsid w:val="0036568E"/>
    <w:rsid w:val="003667B6"/>
    <w:rsid w:val="00370D5E"/>
    <w:rsid w:val="00377BD4"/>
    <w:rsid w:val="0038641D"/>
    <w:rsid w:val="003903D6"/>
    <w:rsid w:val="0039474B"/>
    <w:rsid w:val="0039790B"/>
    <w:rsid w:val="003A0F54"/>
    <w:rsid w:val="003A36F4"/>
    <w:rsid w:val="003A5796"/>
    <w:rsid w:val="003A62CB"/>
    <w:rsid w:val="003B1360"/>
    <w:rsid w:val="003B5FCD"/>
    <w:rsid w:val="003D040A"/>
    <w:rsid w:val="003D2FAC"/>
    <w:rsid w:val="003E596E"/>
    <w:rsid w:val="003F6FD5"/>
    <w:rsid w:val="00407495"/>
    <w:rsid w:val="004124C2"/>
    <w:rsid w:val="00414D22"/>
    <w:rsid w:val="0045789E"/>
    <w:rsid w:val="00461D07"/>
    <w:rsid w:val="00462DA4"/>
    <w:rsid w:val="00472A5A"/>
    <w:rsid w:val="00477083"/>
    <w:rsid w:val="0049659E"/>
    <w:rsid w:val="004A4BC0"/>
    <w:rsid w:val="004A68FA"/>
    <w:rsid w:val="004A767B"/>
    <w:rsid w:val="004B543A"/>
    <w:rsid w:val="004C1B4C"/>
    <w:rsid w:val="004C51D6"/>
    <w:rsid w:val="004D2222"/>
    <w:rsid w:val="004F253C"/>
    <w:rsid w:val="0050669B"/>
    <w:rsid w:val="00507AC6"/>
    <w:rsid w:val="00516B81"/>
    <w:rsid w:val="0051769F"/>
    <w:rsid w:val="00536A19"/>
    <w:rsid w:val="005471CF"/>
    <w:rsid w:val="00561113"/>
    <w:rsid w:val="0056769E"/>
    <w:rsid w:val="00582379"/>
    <w:rsid w:val="005875FF"/>
    <w:rsid w:val="005A283F"/>
    <w:rsid w:val="005A3111"/>
    <w:rsid w:val="005B65E8"/>
    <w:rsid w:val="005B74AC"/>
    <w:rsid w:val="005C72D5"/>
    <w:rsid w:val="005D4932"/>
    <w:rsid w:val="005D4E5B"/>
    <w:rsid w:val="005E4438"/>
    <w:rsid w:val="005F5BE8"/>
    <w:rsid w:val="005F68C5"/>
    <w:rsid w:val="005F76E0"/>
    <w:rsid w:val="006045A2"/>
    <w:rsid w:val="0060548D"/>
    <w:rsid w:val="006112A8"/>
    <w:rsid w:val="00611876"/>
    <w:rsid w:val="00613699"/>
    <w:rsid w:val="00615EC8"/>
    <w:rsid w:val="00625EB7"/>
    <w:rsid w:val="00634344"/>
    <w:rsid w:val="00640D5F"/>
    <w:rsid w:val="006523DA"/>
    <w:rsid w:val="0065311D"/>
    <w:rsid w:val="00655FCF"/>
    <w:rsid w:val="006562F8"/>
    <w:rsid w:val="00657F32"/>
    <w:rsid w:val="0066624E"/>
    <w:rsid w:val="00670144"/>
    <w:rsid w:val="00675C44"/>
    <w:rsid w:val="006802DB"/>
    <w:rsid w:val="006864F2"/>
    <w:rsid w:val="00687C3B"/>
    <w:rsid w:val="006921B6"/>
    <w:rsid w:val="0069496F"/>
    <w:rsid w:val="006A0374"/>
    <w:rsid w:val="006A6D0E"/>
    <w:rsid w:val="006C5E7F"/>
    <w:rsid w:val="006C5F5B"/>
    <w:rsid w:val="006D655E"/>
    <w:rsid w:val="006E446D"/>
    <w:rsid w:val="0073074B"/>
    <w:rsid w:val="00731C81"/>
    <w:rsid w:val="00737E11"/>
    <w:rsid w:val="00746824"/>
    <w:rsid w:val="007473C0"/>
    <w:rsid w:val="007519AB"/>
    <w:rsid w:val="00751F9E"/>
    <w:rsid w:val="00757DC2"/>
    <w:rsid w:val="007614DF"/>
    <w:rsid w:val="007639E9"/>
    <w:rsid w:val="00774FB0"/>
    <w:rsid w:val="007838F8"/>
    <w:rsid w:val="00785571"/>
    <w:rsid w:val="00795E7D"/>
    <w:rsid w:val="007A3C16"/>
    <w:rsid w:val="007A7931"/>
    <w:rsid w:val="007B648F"/>
    <w:rsid w:val="007C6576"/>
    <w:rsid w:val="007C736E"/>
    <w:rsid w:val="007D1EEE"/>
    <w:rsid w:val="007D30F3"/>
    <w:rsid w:val="007E249D"/>
    <w:rsid w:val="008133FF"/>
    <w:rsid w:val="00813695"/>
    <w:rsid w:val="00822B71"/>
    <w:rsid w:val="00823A16"/>
    <w:rsid w:val="0083217F"/>
    <w:rsid w:val="008454FA"/>
    <w:rsid w:val="008456B0"/>
    <w:rsid w:val="00846BDA"/>
    <w:rsid w:val="00855F26"/>
    <w:rsid w:val="00860F7D"/>
    <w:rsid w:val="00875F5B"/>
    <w:rsid w:val="00887D80"/>
    <w:rsid w:val="008A55BE"/>
    <w:rsid w:val="008B0D7E"/>
    <w:rsid w:val="008B1A34"/>
    <w:rsid w:val="008B4492"/>
    <w:rsid w:val="008C09C7"/>
    <w:rsid w:val="008D15AF"/>
    <w:rsid w:val="008D477C"/>
    <w:rsid w:val="008E32ED"/>
    <w:rsid w:val="008E5CB1"/>
    <w:rsid w:val="00902C93"/>
    <w:rsid w:val="0090388A"/>
    <w:rsid w:val="00903B0E"/>
    <w:rsid w:val="0090587A"/>
    <w:rsid w:val="00913C02"/>
    <w:rsid w:val="00917FE5"/>
    <w:rsid w:val="009220DF"/>
    <w:rsid w:val="00940402"/>
    <w:rsid w:val="00945534"/>
    <w:rsid w:val="009460B7"/>
    <w:rsid w:val="00950293"/>
    <w:rsid w:val="00956BC8"/>
    <w:rsid w:val="00961002"/>
    <w:rsid w:val="0097276B"/>
    <w:rsid w:val="00976DCC"/>
    <w:rsid w:val="0099093F"/>
    <w:rsid w:val="00993ED2"/>
    <w:rsid w:val="009A15F1"/>
    <w:rsid w:val="009A3487"/>
    <w:rsid w:val="009A7493"/>
    <w:rsid w:val="009B4C28"/>
    <w:rsid w:val="009C4632"/>
    <w:rsid w:val="009C510A"/>
    <w:rsid w:val="009D3288"/>
    <w:rsid w:val="009D5805"/>
    <w:rsid w:val="009F3ECF"/>
    <w:rsid w:val="009F7EAA"/>
    <w:rsid w:val="00A106C7"/>
    <w:rsid w:val="00A10E48"/>
    <w:rsid w:val="00A127DE"/>
    <w:rsid w:val="00A220E6"/>
    <w:rsid w:val="00A248A0"/>
    <w:rsid w:val="00A24EBD"/>
    <w:rsid w:val="00A33379"/>
    <w:rsid w:val="00A33403"/>
    <w:rsid w:val="00A3693F"/>
    <w:rsid w:val="00A36C0B"/>
    <w:rsid w:val="00A6136F"/>
    <w:rsid w:val="00A631BB"/>
    <w:rsid w:val="00A71530"/>
    <w:rsid w:val="00A7194F"/>
    <w:rsid w:val="00A8184A"/>
    <w:rsid w:val="00A81B3A"/>
    <w:rsid w:val="00A84C76"/>
    <w:rsid w:val="00A9210C"/>
    <w:rsid w:val="00A960ED"/>
    <w:rsid w:val="00AA5936"/>
    <w:rsid w:val="00AA635D"/>
    <w:rsid w:val="00AA7A95"/>
    <w:rsid w:val="00AB2209"/>
    <w:rsid w:val="00AB2349"/>
    <w:rsid w:val="00AC2861"/>
    <w:rsid w:val="00AC494E"/>
    <w:rsid w:val="00AC7DD4"/>
    <w:rsid w:val="00AD1CB5"/>
    <w:rsid w:val="00AD20BA"/>
    <w:rsid w:val="00AD6752"/>
    <w:rsid w:val="00AD7F1C"/>
    <w:rsid w:val="00AE26EF"/>
    <w:rsid w:val="00AF32CF"/>
    <w:rsid w:val="00AF6384"/>
    <w:rsid w:val="00B11FE0"/>
    <w:rsid w:val="00B24C77"/>
    <w:rsid w:val="00B35226"/>
    <w:rsid w:val="00B47A9B"/>
    <w:rsid w:val="00B53361"/>
    <w:rsid w:val="00B53427"/>
    <w:rsid w:val="00B60C8D"/>
    <w:rsid w:val="00B63EC0"/>
    <w:rsid w:val="00B824E6"/>
    <w:rsid w:val="00BA1DD7"/>
    <w:rsid w:val="00BA2134"/>
    <w:rsid w:val="00BA6597"/>
    <w:rsid w:val="00BB25E2"/>
    <w:rsid w:val="00BB2601"/>
    <w:rsid w:val="00BC120D"/>
    <w:rsid w:val="00BD27D8"/>
    <w:rsid w:val="00BD6147"/>
    <w:rsid w:val="00BD658B"/>
    <w:rsid w:val="00BF33B4"/>
    <w:rsid w:val="00BF7C2A"/>
    <w:rsid w:val="00C15731"/>
    <w:rsid w:val="00C207A4"/>
    <w:rsid w:val="00C222B0"/>
    <w:rsid w:val="00C25D2D"/>
    <w:rsid w:val="00C27DDE"/>
    <w:rsid w:val="00C30774"/>
    <w:rsid w:val="00C33E82"/>
    <w:rsid w:val="00C41F26"/>
    <w:rsid w:val="00C47699"/>
    <w:rsid w:val="00C501E0"/>
    <w:rsid w:val="00C502D1"/>
    <w:rsid w:val="00C65C02"/>
    <w:rsid w:val="00C74F2C"/>
    <w:rsid w:val="00C876AC"/>
    <w:rsid w:val="00C90437"/>
    <w:rsid w:val="00C90632"/>
    <w:rsid w:val="00CC15ED"/>
    <w:rsid w:val="00CC37CF"/>
    <w:rsid w:val="00CC5CFB"/>
    <w:rsid w:val="00CD447B"/>
    <w:rsid w:val="00CD78C4"/>
    <w:rsid w:val="00CE54DD"/>
    <w:rsid w:val="00CE6F37"/>
    <w:rsid w:val="00CF27B8"/>
    <w:rsid w:val="00D02909"/>
    <w:rsid w:val="00D03603"/>
    <w:rsid w:val="00D0477A"/>
    <w:rsid w:val="00D130C6"/>
    <w:rsid w:val="00D154B1"/>
    <w:rsid w:val="00D157A9"/>
    <w:rsid w:val="00D17383"/>
    <w:rsid w:val="00D200FB"/>
    <w:rsid w:val="00D23E79"/>
    <w:rsid w:val="00D23FC7"/>
    <w:rsid w:val="00D24354"/>
    <w:rsid w:val="00D26633"/>
    <w:rsid w:val="00D30AB2"/>
    <w:rsid w:val="00D34A94"/>
    <w:rsid w:val="00D413A1"/>
    <w:rsid w:val="00D41CCC"/>
    <w:rsid w:val="00D6323E"/>
    <w:rsid w:val="00D63879"/>
    <w:rsid w:val="00D64625"/>
    <w:rsid w:val="00D72739"/>
    <w:rsid w:val="00D732C5"/>
    <w:rsid w:val="00D80E6A"/>
    <w:rsid w:val="00D84520"/>
    <w:rsid w:val="00D90CE6"/>
    <w:rsid w:val="00D96475"/>
    <w:rsid w:val="00DA2DC6"/>
    <w:rsid w:val="00DC01CF"/>
    <w:rsid w:val="00DC3BFC"/>
    <w:rsid w:val="00DD14BF"/>
    <w:rsid w:val="00DE2802"/>
    <w:rsid w:val="00DE6C7A"/>
    <w:rsid w:val="00E03DD2"/>
    <w:rsid w:val="00E1545C"/>
    <w:rsid w:val="00E23983"/>
    <w:rsid w:val="00E3547C"/>
    <w:rsid w:val="00E3757D"/>
    <w:rsid w:val="00E379BF"/>
    <w:rsid w:val="00E45C58"/>
    <w:rsid w:val="00E60F6C"/>
    <w:rsid w:val="00E65ECC"/>
    <w:rsid w:val="00E70DD8"/>
    <w:rsid w:val="00E85E76"/>
    <w:rsid w:val="00E92215"/>
    <w:rsid w:val="00E924D4"/>
    <w:rsid w:val="00EB3E04"/>
    <w:rsid w:val="00EB5841"/>
    <w:rsid w:val="00EC3E92"/>
    <w:rsid w:val="00EC4135"/>
    <w:rsid w:val="00ED4528"/>
    <w:rsid w:val="00ED4E28"/>
    <w:rsid w:val="00EE20EC"/>
    <w:rsid w:val="00EF3B32"/>
    <w:rsid w:val="00F07090"/>
    <w:rsid w:val="00F13155"/>
    <w:rsid w:val="00F24686"/>
    <w:rsid w:val="00F37C4D"/>
    <w:rsid w:val="00F419B3"/>
    <w:rsid w:val="00F41C91"/>
    <w:rsid w:val="00F4437A"/>
    <w:rsid w:val="00F67640"/>
    <w:rsid w:val="00F8082D"/>
    <w:rsid w:val="00F80852"/>
    <w:rsid w:val="00F85694"/>
    <w:rsid w:val="00FA2082"/>
    <w:rsid w:val="00FB077B"/>
    <w:rsid w:val="00FB3920"/>
    <w:rsid w:val="00FB59EC"/>
    <w:rsid w:val="00FB738D"/>
    <w:rsid w:val="00FB799F"/>
    <w:rsid w:val="00FC4B2C"/>
    <w:rsid w:val="00FC767A"/>
    <w:rsid w:val="00FD019A"/>
    <w:rsid w:val="00FE76FB"/>
    <w:rsid w:val="00FF2453"/>
    <w:rsid w:val="00FF4E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pacing w:before="300" w:after="300" w:line="360" w:lineRule="auto"/>
      <w:outlineLvl w:val="0"/>
    </w:pPr>
    <w:rPr>
      <w:rFonts w:ascii="宋体" w:hAnsi="宋体"/>
      <w:b/>
      <w:bCs/>
      <w:color w:val="000000"/>
      <w:kern w:val="44"/>
      <w:sz w:val="30"/>
      <w:szCs w:val="21"/>
      <w:lang w:val="zh-CN"/>
    </w:rPr>
  </w:style>
  <w:style w:type="paragraph" w:styleId="2">
    <w:name w:val="heading 2"/>
    <w:basedOn w:val="a"/>
    <w:next w:val="a0"/>
    <w:link w:val="2Char"/>
    <w:qFormat/>
    <w:pPr>
      <w:numPr>
        <w:ilvl w:val="1"/>
        <w:numId w:val="1"/>
      </w:numPr>
      <w:tabs>
        <w:tab w:val="left" w:pos="1260"/>
      </w:tabs>
      <w:spacing w:after="120" w:line="360" w:lineRule="auto"/>
      <w:outlineLvl w:val="1"/>
    </w:pPr>
    <w:rPr>
      <w:rFonts w:ascii="宋体" w:hAnsi="宋体"/>
      <w:b/>
      <w:bCs/>
      <w:color w:val="000000"/>
      <w:kern w:val="0"/>
      <w:sz w:val="24"/>
      <w:szCs w:val="21"/>
      <w:lang w:val="zh-CN"/>
    </w:rPr>
  </w:style>
  <w:style w:type="paragraph" w:styleId="3">
    <w:name w:val="heading 3"/>
    <w:basedOn w:val="a"/>
    <w:next w:val="a0"/>
    <w:link w:val="3Char"/>
    <w:qFormat/>
    <w:pPr>
      <w:numPr>
        <w:ilvl w:val="2"/>
        <w:numId w:val="1"/>
      </w:numPr>
      <w:tabs>
        <w:tab w:val="left" w:pos="454"/>
      </w:tabs>
      <w:spacing w:after="120" w:line="360" w:lineRule="auto"/>
      <w:outlineLvl w:val="2"/>
    </w:pPr>
    <w:rPr>
      <w:rFonts w:ascii="宋体" w:hAnsi="宋体"/>
      <w:color w:val="000000"/>
      <w:kern w:val="0"/>
      <w:szCs w:val="21"/>
      <w:lang w:val="zh-CN"/>
    </w:rPr>
  </w:style>
  <w:style w:type="paragraph" w:styleId="4">
    <w:name w:val="heading 4"/>
    <w:basedOn w:val="a"/>
    <w:next w:val="a0"/>
    <w:link w:val="4Char"/>
    <w:qFormat/>
    <w:pPr>
      <w:numPr>
        <w:ilvl w:val="3"/>
        <w:numId w:val="1"/>
      </w:numPr>
      <w:tabs>
        <w:tab w:val="left" w:pos="720"/>
      </w:tabs>
      <w:spacing w:after="120" w:line="360" w:lineRule="auto"/>
      <w:outlineLvl w:val="3"/>
    </w:pPr>
    <w:rPr>
      <w:rFonts w:ascii="宋体" w:hAnsi="宋体"/>
      <w:color w:val="000000"/>
      <w:kern w:val="0"/>
      <w:szCs w:val="21"/>
      <w:lang w:val="zh-CN"/>
    </w:rPr>
  </w:style>
  <w:style w:type="paragraph" w:styleId="5">
    <w:name w:val="heading 5"/>
    <w:basedOn w:val="a"/>
    <w:next w:val="a0"/>
    <w:link w:val="5Char"/>
    <w:qFormat/>
    <w:pPr>
      <w:numPr>
        <w:ilvl w:val="4"/>
        <w:numId w:val="1"/>
      </w:numPr>
      <w:tabs>
        <w:tab w:val="left" w:pos="360"/>
      </w:tabs>
      <w:spacing w:after="120" w:line="360" w:lineRule="auto"/>
      <w:outlineLvl w:val="4"/>
    </w:pPr>
    <w:rPr>
      <w:rFonts w:ascii="宋体" w:hAnsi="宋体"/>
      <w:bCs/>
      <w:color w:val="000000"/>
      <w:kern w:val="0"/>
      <w:szCs w:val="21"/>
      <w:lang w:val="zh-CN"/>
    </w:rPr>
  </w:style>
  <w:style w:type="paragraph" w:styleId="6">
    <w:name w:val="heading 6"/>
    <w:basedOn w:val="a"/>
    <w:next w:val="a0"/>
    <w:link w:val="6Char"/>
    <w:qFormat/>
    <w:pPr>
      <w:numPr>
        <w:ilvl w:val="5"/>
        <w:numId w:val="1"/>
      </w:numPr>
      <w:tabs>
        <w:tab w:val="left" w:pos="927"/>
      </w:tabs>
      <w:spacing w:after="120" w:line="360" w:lineRule="auto"/>
      <w:outlineLvl w:val="5"/>
    </w:pPr>
    <w:rPr>
      <w:rFonts w:ascii="宋体" w:hAnsi="宋体"/>
      <w:bCs/>
      <w:color w:val="000000"/>
      <w:kern w:val="0"/>
      <w:szCs w:val="21"/>
      <w:lang w:val="zh-CN"/>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Pr>
      <w:rFonts w:ascii="宋体" w:hAnsi="宋体" w:cs="Arial"/>
      <w:color w:val="000000"/>
      <w:sz w:val="21"/>
      <w:szCs w:val="21"/>
      <w:lang w:val="zh-CN"/>
    </w:rPr>
  </w:style>
  <w:style w:type="character" w:customStyle="1" w:styleId="Char">
    <w:name w:val="页眉 Char"/>
    <w:link w:val="a4"/>
    <w:rPr>
      <w:kern w:val="2"/>
      <w:sz w:val="18"/>
      <w:szCs w:val="18"/>
    </w:rPr>
  </w:style>
  <w:style w:type="character" w:customStyle="1" w:styleId="HTMLChar">
    <w:name w:val="HTML 预设格式 Char"/>
    <w:link w:val="HTML"/>
    <w:uiPriority w:val="99"/>
    <w:rPr>
      <w:rFonts w:ascii="宋体" w:hAnsi="宋体" w:cs="宋体"/>
      <w:sz w:val="24"/>
      <w:szCs w:val="24"/>
    </w:rPr>
  </w:style>
  <w:style w:type="character" w:customStyle="1" w:styleId="2Char">
    <w:name w:val="标题 2 Char"/>
    <w:link w:val="2"/>
    <w:rPr>
      <w:rFonts w:ascii="宋体" w:hAnsi="宋体" w:cs="Arial"/>
      <w:b/>
      <w:bCs/>
      <w:color w:val="000000"/>
      <w:sz w:val="24"/>
      <w:szCs w:val="21"/>
      <w:lang w:val="zh-CN"/>
    </w:rPr>
  </w:style>
  <w:style w:type="character" w:customStyle="1" w:styleId="1Char">
    <w:name w:val="标题 1 Char"/>
    <w:link w:val="1"/>
    <w:rPr>
      <w:rFonts w:ascii="宋体" w:hAnsi="宋体" w:cs="Arial"/>
      <w:b/>
      <w:bCs/>
      <w:color w:val="000000"/>
      <w:kern w:val="44"/>
      <w:sz w:val="30"/>
      <w:szCs w:val="21"/>
      <w:lang w:val="zh-CN"/>
    </w:rPr>
  </w:style>
  <w:style w:type="character" w:customStyle="1" w:styleId="txtcontent11">
    <w:name w:val="txtcontent11"/>
    <w:rPr>
      <w:rFonts w:ascii="ˎ̥" w:hAnsi="ˎ̥" w:hint="default"/>
      <w:b w:val="0"/>
      <w:bCs w:val="0"/>
      <w:color w:val="000000"/>
      <w:sz w:val="21"/>
      <w:szCs w:val="21"/>
    </w:rPr>
  </w:style>
  <w:style w:type="character" w:customStyle="1" w:styleId="4Char">
    <w:name w:val="标题 4 Char"/>
    <w:link w:val="4"/>
    <w:rPr>
      <w:rFonts w:ascii="宋体" w:hAnsi="宋体" w:cs="Arial"/>
      <w:color w:val="000000"/>
      <w:sz w:val="21"/>
      <w:szCs w:val="21"/>
      <w:lang w:val="zh-CN"/>
    </w:rPr>
  </w:style>
  <w:style w:type="character" w:customStyle="1" w:styleId="6Char">
    <w:name w:val="标题 6 Char"/>
    <w:link w:val="6"/>
    <w:rPr>
      <w:rFonts w:ascii="宋体" w:hAnsi="宋体" w:cs="Arial"/>
      <w:bCs/>
      <w:color w:val="000000"/>
      <w:sz w:val="21"/>
      <w:szCs w:val="21"/>
      <w:lang w:val="zh-CN"/>
    </w:rPr>
  </w:style>
  <w:style w:type="character" w:styleId="a5">
    <w:name w:val="Hyperlink"/>
    <w:rPr>
      <w:color w:val="0000FF"/>
      <w:u w:val="single"/>
    </w:rPr>
  </w:style>
  <w:style w:type="character" w:customStyle="1" w:styleId="Char0">
    <w:name w:val="页脚 Char"/>
    <w:link w:val="a6"/>
    <w:rPr>
      <w:kern w:val="2"/>
      <w:sz w:val="18"/>
      <w:szCs w:val="18"/>
    </w:rPr>
  </w:style>
  <w:style w:type="character" w:customStyle="1" w:styleId="5Char">
    <w:name w:val="标题 5 Char"/>
    <w:link w:val="5"/>
    <w:rPr>
      <w:rFonts w:ascii="宋体" w:hAnsi="宋体" w:cs="Arial"/>
      <w:bCs/>
      <w:color w:val="000000"/>
      <w:sz w:val="21"/>
      <w:szCs w:val="21"/>
      <w:lang w:val="zh-CN"/>
    </w:rPr>
  </w:style>
  <w:style w:type="character" w:customStyle="1" w:styleId="font-bold1">
    <w:name w:val="font-bold1"/>
    <w:rPr>
      <w:b/>
      <w:bCs/>
    </w:rPr>
  </w:style>
  <w:style w:type="paragraph" w:styleId="a7">
    <w:name w:val="Balloon Text"/>
    <w:basedOn w:val="a"/>
    <w:semiHidden/>
    <w:rPr>
      <w:sz w:val="18"/>
      <w:szCs w:val="18"/>
    </w:rPr>
  </w:style>
  <w:style w:type="paragraph" w:styleId="a8">
    <w:name w:val="Date"/>
    <w:basedOn w:val="a"/>
    <w:next w:val="a"/>
    <w:pPr>
      <w:autoSpaceDE w:val="0"/>
      <w:autoSpaceDN w:val="0"/>
      <w:adjustRightInd w:val="0"/>
      <w:jc w:val="left"/>
    </w:pPr>
    <w:rPr>
      <w:rFonts w:ascii="宋体"/>
      <w:kern w:val="0"/>
      <w:sz w:val="24"/>
    </w:rPr>
  </w:style>
  <w:style w:type="paragraph" w:styleId="a0">
    <w:name w:val="Normal Indent"/>
    <w:basedOn w:val="a"/>
    <w:pPr>
      <w:ind w:firstLineChars="200" w:firstLine="420"/>
    </w:p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9">
    <w:name w:val="List Paragraph"/>
    <w:basedOn w:val="a"/>
    <w:uiPriority w:val="34"/>
    <w:qFormat/>
    <w:pPr>
      <w:widowControl/>
      <w:ind w:firstLine="420"/>
    </w:pPr>
    <w:rPr>
      <w:rFonts w:ascii="Calibri" w:hAnsi="Calibri" w:cs="宋体"/>
      <w:kern w:val="0"/>
      <w:szCs w:val="21"/>
    </w:rPr>
  </w:style>
  <w:style w:type="paragraph" w:styleId="aa">
    <w:name w:val="Normal (Web)"/>
    <w:basedOn w:val="a"/>
    <w:rsid w:val="00AB2349"/>
    <w:rPr>
      <w:sz w:val="24"/>
    </w:rPr>
  </w:style>
  <w:style w:type="paragraph" w:styleId="ab">
    <w:name w:val="annotation text"/>
    <w:basedOn w:val="a"/>
    <w:link w:val="Char1"/>
    <w:uiPriority w:val="99"/>
    <w:unhideWhenUsed/>
    <w:rsid w:val="00DC01CF"/>
    <w:pPr>
      <w:widowControl/>
      <w:jc w:val="left"/>
    </w:pPr>
    <w:rPr>
      <w:rFonts w:ascii="Calibri" w:hAnsi="Calibri" w:cs="宋体"/>
      <w:kern w:val="0"/>
      <w:szCs w:val="21"/>
    </w:rPr>
  </w:style>
  <w:style w:type="character" w:customStyle="1" w:styleId="Char1">
    <w:name w:val="批注文字 Char"/>
    <w:link w:val="ab"/>
    <w:uiPriority w:val="99"/>
    <w:rsid w:val="00DC01CF"/>
    <w:rPr>
      <w:rFonts w:ascii="Calibri" w:hAnsi="Calibri" w:cs="宋体"/>
      <w:sz w:val="21"/>
      <w:szCs w:val="21"/>
    </w:rPr>
  </w:style>
  <w:style w:type="character" w:styleId="ac">
    <w:name w:val="annotation reference"/>
    <w:uiPriority w:val="99"/>
    <w:unhideWhenUsed/>
    <w:rsid w:val="00DC01CF"/>
    <w:rPr>
      <w:sz w:val="21"/>
      <w:szCs w:val="21"/>
    </w:rPr>
  </w:style>
  <w:style w:type="paragraph" w:styleId="ad">
    <w:name w:val="annotation subject"/>
    <w:basedOn w:val="ab"/>
    <w:next w:val="ab"/>
    <w:link w:val="Char2"/>
    <w:rsid w:val="00021AD9"/>
    <w:pPr>
      <w:widowControl w:val="0"/>
    </w:pPr>
    <w:rPr>
      <w:rFonts w:ascii="Times New Roman" w:hAnsi="Times New Roman" w:cs="Times New Roman"/>
      <w:b/>
      <w:bCs/>
      <w:kern w:val="2"/>
      <w:szCs w:val="24"/>
    </w:rPr>
  </w:style>
  <w:style w:type="character" w:customStyle="1" w:styleId="Char2">
    <w:name w:val="批注主题 Char"/>
    <w:link w:val="ad"/>
    <w:rsid w:val="00021AD9"/>
    <w:rPr>
      <w:rFonts w:ascii="Calibri" w:hAnsi="Calibri" w:cs="宋体"/>
      <w:b/>
      <w:bCs/>
      <w:kern w:val="2"/>
      <w:sz w:val="21"/>
      <w:szCs w:val="24"/>
    </w:rPr>
  </w:style>
  <w:style w:type="table" w:styleId="ae">
    <w:name w:val="Table Grid"/>
    <w:basedOn w:val="a2"/>
    <w:uiPriority w:val="99"/>
    <w:semiHidden/>
    <w:unhideWhenUsed/>
    <w:rsid w:val="006E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515B7"/>
    <w:rPr>
      <w:kern w:val="2"/>
      <w:sz w:val="21"/>
      <w:szCs w:val="24"/>
    </w:rPr>
  </w:style>
</w:styles>
</file>

<file path=word/webSettings.xml><?xml version="1.0" encoding="utf-8"?>
<w:webSettings xmlns:r="http://schemas.openxmlformats.org/officeDocument/2006/relationships" xmlns:w="http://schemas.openxmlformats.org/wordprocessingml/2006/main">
  <w:divs>
    <w:div w:id="22291969">
      <w:bodyDiv w:val="1"/>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
      </w:divsChild>
    </w:div>
    <w:div w:id="76443128">
      <w:bodyDiv w:val="1"/>
      <w:marLeft w:val="0"/>
      <w:marRight w:val="0"/>
      <w:marTop w:val="0"/>
      <w:marBottom w:val="0"/>
      <w:divBdr>
        <w:top w:val="none" w:sz="0" w:space="0" w:color="auto"/>
        <w:left w:val="none" w:sz="0" w:space="0" w:color="auto"/>
        <w:bottom w:val="none" w:sz="0" w:space="0" w:color="auto"/>
        <w:right w:val="none" w:sz="0" w:space="0" w:color="auto"/>
      </w:divBdr>
    </w:div>
    <w:div w:id="80101372">
      <w:bodyDiv w:val="1"/>
      <w:marLeft w:val="0"/>
      <w:marRight w:val="0"/>
      <w:marTop w:val="0"/>
      <w:marBottom w:val="0"/>
      <w:divBdr>
        <w:top w:val="none" w:sz="0" w:space="0" w:color="auto"/>
        <w:left w:val="none" w:sz="0" w:space="0" w:color="auto"/>
        <w:bottom w:val="none" w:sz="0" w:space="0" w:color="auto"/>
        <w:right w:val="none" w:sz="0" w:space="0" w:color="auto"/>
      </w:divBdr>
    </w:div>
    <w:div w:id="136070253">
      <w:bodyDiv w:val="1"/>
      <w:marLeft w:val="0"/>
      <w:marRight w:val="0"/>
      <w:marTop w:val="0"/>
      <w:marBottom w:val="0"/>
      <w:divBdr>
        <w:top w:val="none" w:sz="0" w:space="0" w:color="auto"/>
        <w:left w:val="none" w:sz="0" w:space="0" w:color="auto"/>
        <w:bottom w:val="none" w:sz="0" w:space="0" w:color="auto"/>
        <w:right w:val="none" w:sz="0" w:space="0" w:color="auto"/>
      </w:divBdr>
    </w:div>
    <w:div w:id="140536326">
      <w:bodyDiv w:val="1"/>
      <w:marLeft w:val="0"/>
      <w:marRight w:val="0"/>
      <w:marTop w:val="0"/>
      <w:marBottom w:val="0"/>
      <w:divBdr>
        <w:top w:val="none" w:sz="0" w:space="0" w:color="auto"/>
        <w:left w:val="none" w:sz="0" w:space="0" w:color="auto"/>
        <w:bottom w:val="none" w:sz="0" w:space="0" w:color="auto"/>
        <w:right w:val="none" w:sz="0" w:space="0" w:color="auto"/>
      </w:divBdr>
    </w:div>
    <w:div w:id="192617092">
      <w:bodyDiv w:val="1"/>
      <w:marLeft w:val="0"/>
      <w:marRight w:val="0"/>
      <w:marTop w:val="0"/>
      <w:marBottom w:val="0"/>
      <w:divBdr>
        <w:top w:val="none" w:sz="0" w:space="0" w:color="auto"/>
        <w:left w:val="none" w:sz="0" w:space="0" w:color="auto"/>
        <w:bottom w:val="none" w:sz="0" w:space="0" w:color="auto"/>
        <w:right w:val="none" w:sz="0" w:space="0" w:color="auto"/>
      </w:divBdr>
    </w:div>
    <w:div w:id="215745775">
      <w:bodyDiv w:val="1"/>
      <w:marLeft w:val="0"/>
      <w:marRight w:val="0"/>
      <w:marTop w:val="0"/>
      <w:marBottom w:val="0"/>
      <w:divBdr>
        <w:top w:val="none" w:sz="0" w:space="0" w:color="auto"/>
        <w:left w:val="none" w:sz="0" w:space="0" w:color="auto"/>
        <w:bottom w:val="none" w:sz="0" w:space="0" w:color="auto"/>
        <w:right w:val="none" w:sz="0" w:space="0" w:color="auto"/>
      </w:divBdr>
    </w:div>
    <w:div w:id="312372913">
      <w:bodyDiv w:val="1"/>
      <w:marLeft w:val="0"/>
      <w:marRight w:val="0"/>
      <w:marTop w:val="0"/>
      <w:marBottom w:val="0"/>
      <w:divBdr>
        <w:top w:val="none" w:sz="0" w:space="0" w:color="auto"/>
        <w:left w:val="none" w:sz="0" w:space="0" w:color="auto"/>
        <w:bottom w:val="none" w:sz="0" w:space="0" w:color="auto"/>
        <w:right w:val="none" w:sz="0" w:space="0" w:color="auto"/>
      </w:divBdr>
    </w:div>
    <w:div w:id="323289963">
      <w:bodyDiv w:val="1"/>
      <w:marLeft w:val="0"/>
      <w:marRight w:val="0"/>
      <w:marTop w:val="0"/>
      <w:marBottom w:val="0"/>
      <w:divBdr>
        <w:top w:val="none" w:sz="0" w:space="0" w:color="auto"/>
        <w:left w:val="none" w:sz="0" w:space="0" w:color="auto"/>
        <w:bottom w:val="none" w:sz="0" w:space="0" w:color="auto"/>
        <w:right w:val="none" w:sz="0" w:space="0" w:color="auto"/>
      </w:divBdr>
    </w:div>
    <w:div w:id="340205084">
      <w:bodyDiv w:val="1"/>
      <w:marLeft w:val="0"/>
      <w:marRight w:val="0"/>
      <w:marTop w:val="0"/>
      <w:marBottom w:val="0"/>
      <w:divBdr>
        <w:top w:val="none" w:sz="0" w:space="0" w:color="auto"/>
        <w:left w:val="none" w:sz="0" w:space="0" w:color="auto"/>
        <w:bottom w:val="none" w:sz="0" w:space="0" w:color="auto"/>
        <w:right w:val="none" w:sz="0" w:space="0" w:color="auto"/>
      </w:divBdr>
    </w:div>
    <w:div w:id="377365841">
      <w:bodyDiv w:val="1"/>
      <w:marLeft w:val="0"/>
      <w:marRight w:val="0"/>
      <w:marTop w:val="0"/>
      <w:marBottom w:val="0"/>
      <w:divBdr>
        <w:top w:val="none" w:sz="0" w:space="0" w:color="auto"/>
        <w:left w:val="none" w:sz="0" w:space="0" w:color="auto"/>
        <w:bottom w:val="none" w:sz="0" w:space="0" w:color="auto"/>
        <w:right w:val="none" w:sz="0" w:space="0" w:color="auto"/>
      </w:divBdr>
    </w:div>
    <w:div w:id="438647112">
      <w:bodyDiv w:val="1"/>
      <w:marLeft w:val="0"/>
      <w:marRight w:val="0"/>
      <w:marTop w:val="0"/>
      <w:marBottom w:val="0"/>
      <w:divBdr>
        <w:top w:val="none" w:sz="0" w:space="0" w:color="auto"/>
        <w:left w:val="none" w:sz="0" w:space="0" w:color="auto"/>
        <w:bottom w:val="none" w:sz="0" w:space="0" w:color="auto"/>
        <w:right w:val="none" w:sz="0" w:space="0" w:color="auto"/>
      </w:divBdr>
    </w:div>
    <w:div w:id="677077830">
      <w:bodyDiv w:val="1"/>
      <w:marLeft w:val="0"/>
      <w:marRight w:val="0"/>
      <w:marTop w:val="0"/>
      <w:marBottom w:val="0"/>
      <w:divBdr>
        <w:top w:val="none" w:sz="0" w:space="0" w:color="auto"/>
        <w:left w:val="none" w:sz="0" w:space="0" w:color="auto"/>
        <w:bottom w:val="none" w:sz="0" w:space="0" w:color="auto"/>
        <w:right w:val="none" w:sz="0" w:space="0" w:color="auto"/>
      </w:divBdr>
    </w:div>
    <w:div w:id="690883676">
      <w:bodyDiv w:val="1"/>
      <w:marLeft w:val="0"/>
      <w:marRight w:val="0"/>
      <w:marTop w:val="0"/>
      <w:marBottom w:val="0"/>
      <w:divBdr>
        <w:top w:val="none" w:sz="0" w:space="0" w:color="auto"/>
        <w:left w:val="none" w:sz="0" w:space="0" w:color="auto"/>
        <w:bottom w:val="none" w:sz="0" w:space="0" w:color="auto"/>
        <w:right w:val="none" w:sz="0" w:space="0" w:color="auto"/>
      </w:divBdr>
    </w:div>
    <w:div w:id="746926886">
      <w:bodyDiv w:val="1"/>
      <w:marLeft w:val="0"/>
      <w:marRight w:val="0"/>
      <w:marTop w:val="0"/>
      <w:marBottom w:val="0"/>
      <w:divBdr>
        <w:top w:val="none" w:sz="0" w:space="0" w:color="auto"/>
        <w:left w:val="none" w:sz="0" w:space="0" w:color="auto"/>
        <w:bottom w:val="none" w:sz="0" w:space="0" w:color="auto"/>
        <w:right w:val="none" w:sz="0" w:space="0" w:color="auto"/>
      </w:divBdr>
    </w:div>
    <w:div w:id="802239006">
      <w:bodyDiv w:val="1"/>
      <w:marLeft w:val="0"/>
      <w:marRight w:val="0"/>
      <w:marTop w:val="0"/>
      <w:marBottom w:val="0"/>
      <w:divBdr>
        <w:top w:val="none" w:sz="0" w:space="0" w:color="auto"/>
        <w:left w:val="none" w:sz="0" w:space="0" w:color="auto"/>
        <w:bottom w:val="none" w:sz="0" w:space="0" w:color="auto"/>
        <w:right w:val="none" w:sz="0" w:space="0" w:color="auto"/>
      </w:divBdr>
    </w:div>
    <w:div w:id="815997944">
      <w:bodyDiv w:val="1"/>
      <w:marLeft w:val="0"/>
      <w:marRight w:val="0"/>
      <w:marTop w:val="0"/>
      <w:marBottom w:val="0"/>
      <w:divBdr>
        <w:top w:val="none" w:sz="0" w:space="0" w:color="auto"/>
        <w:left w:val="none" w:sz="0" w:space="0" w:color="auto"/>
        <w:bottom w:val="none" w:sz="0" w:space="0" w:color="auto"/>
        <w:right w:val="none" w:sz="0" w:space="0" w:color="auto"/>
      </w:divBdr>
    </w:div>
    <w:div w:id="825246250">
      <w:bodyDiv w:val="1"/>
      <w:marLeft w:val="0"/>
      <w:marRight w:val="0"/>
      <w:marTop w:val="0"/>
      <w:marBottom w:val="0"/>
      <w:divBdr>
        <w:top w:val="none" w:sz="0" w:space="0" w:color="auto"/>
        <w:left w:val="none" w:sz="0" w:space="0" w:color="auto"/>
        <w:bottom w:val="none" w:sz="0" w:space="0" w:color="auto"/>
        <w:right w:val="none" w:sz="0" w:space="0" w:color="auto"/>
      </w:divBdr>
    </w:div>
    <w:div w:id="860168748">
      <w:bodyDiv w:val="1"/>
      <w:marLeft w:val="0"/>
      <w:marRight w:val="0"/>
      <w:marTop w:val="0"/>
      <w:marBottom w:val="0"/>
      <w:divBdr>
        <w:top w:val="none" w:sz="0" w:space="0" w:color="auto"/>
        <w:left w:val="none" w:sz="0" w:space="0" w:color="auto"/>
        <w:bottom w:val="none" w:sz="0" w:space="0" w:color="auto"/>
        <w:right w:val="none" w:sz="0" w:space="0" w:color="auto"/>
      </w:divBdr>
    </w:div>
    <w:div w:id="915282812">
      <w:bodyDiv w:val="1"/>
      <w:marLeft w:val="0"/>
      <w:marRight w:val="0"/>
      <w:marTop w:val="0"/>
      <w:marBottom w:val="0"/>
      <w:divBdr>
        <w:top w:val="none" w:sz="0" w:space="0" w:color="auto"/>
        <w:left w:val="none" w:sz="0" w:space="0" w:color="auto"/>
        <w:bottom w:val="none" w:sz="0" w:space="0" w:color="auto"/>
        <w:right w:val="none" w:sz="0" w:space="0" w:color="auto"/>
      </w:divBdr>
    </w:div>
    <w:div w:id="943465736">
      <w:bodyDiv w:val="1"/>
      <w:marLeft w:val="0"/>
      <w:marRight w:val="0"/>
      <w:marTop w:val="0"/>
      <w:marBottom w:val="0"/>
      <w:divBdr>
        <w:top w:val="none" w:sz="0" w:space="0" w:color="auto"/>
        <w:left w:val="none" w:sz="0" w:space="0" w:color="auto"/>
        <w:bottom w:val="none" w:sz="0" w:space="0" w:color="auto"/>
        <w:right w:val="none" w:sz="0" w:space="0" w:color="auto"/>
      </w:divBdr>
    </w:div>
    <w:div w:id="1019818570">
      <w:bodyDiv w:val="1"/>
      <w:marLeft w:val="0"/>
      <w:marRight w:val="0"/>
      <w:marTop w:val="0"/>
      <w:marBottom w:val="0"/>
      <w:divBdr>
        <w:top w:val="none" w:sz="0" w:space="0" w:color="auto"/>
        <w:left w:val="none" w:sz="0" w:space="0" w:color="auto"/>
        <w:bottom w:val="none" w:sz="0" w:space="0" w:color="auto"/>
        <w:right w:val="none" w:sz="0" w:space="0" w:color="auto"/>
      </w:divBdr>
    </w:div>
    <w:div w:id="1022390868">
      <w:bodyDiv w:val="1"/>
      <w:marLeft w:val="0"/>
      <w:marRight w:val="0"/>
      <w:marTop w:val="0"/>
      <w:marBottom w:val="0"/>
      <w:divBdr>
        <w:top w:val="none" w:sz="0" w:space="0" w:color="auto"/>
        <w:left w:val="none" w:sz="0" w:space="0" w:color="auto"/>
        <w:bottom w:val="none" w:sz="0" w:space="0" w:color="auto"/>
        <w:right w:val="none" w:sz="0" w:space="0" w:color="auto"/>
      </w:divBdr>
    </w:div>
    <w:div w:id="1098988058">
      <w:bodyDiv w:val="1"/>
      <w:marLeft w:val="0"/>
      <w:marRight w:val="0"/>
      <w:marTop w:val="0"/>
      <w:marBottom w:val="0"/>
      <w:divBdr>
        <w:top w:val="none" w:sz="0" w:space="0" w:color="auto"/>
        <w:left w:val="none" w:sz="0" w:space="0" w:color="auto"/>
        <w:bottom w:val="none" w:sz="0" w:space="0" w:color="auto"/>
        <w:right w:val="none" w:sz="0" w:space="0" w:color="auto"/>
      </w:divBdr>
    </w:div>
    <w:div w:id="1102068626">
      <w:bodyDiv w:val="1"/>
      <w:marLeft w:val="0"/>
      <w:marRight w:val="0"/>
      <w:marTop w:val="0"/>
      <w:marBottom w:val="0"/>
      <w:divBdr>
        <w:top w:val="none" w:sz="0" w:space="0" w:color="auto"/>
        <w:left w:val="none" w:sz="0" w:space="0" w:color="auto"/>
        <w:bottom w:val="none" w:sz="0" w:space="0" w:color="auto"/>
        <w:right w:val="none" w:sz="0" w:space="0" w:color="auto"/>
      </w:divBdr>
    </w:div>
    <w:div w:id="1226142170">
      <w:bodyDiv w:val="1"/>
      <w:marLeft w:val="0"/>
      <w:marRight w:val="0"/>
      <w:marTop w:val="0"/>
      <w:marBottom w:val="0"/>
      <w:divBdr>
        <w:top w:val="none" w:sz="0" w:space="0" w:color="auto"/>
        <w:left w:val="none" w:sz="0" w:space="0" w:color="auto"/>
        <w:bottom w:val="none" w:sz="0" w:space="0" w:color="auto"/>
        <w:right w:val="none" w:sz="0" w:space="0" w:color="auto"/>
      </w:divBdr>
    </w:div>
    <w:div w:id="1235554452">
      <w:bodyDiv w:val="1"/>
      <w:marLeft w:val="0"/>
      <w:marRight w:val="0"/>
      <w:marTop w:val="0"/>
      <w:marBottom w:val="0"/>
      <w:divBdr>
        <w:top w:val="none" w:sz="0" w:space="0" w:color="auto"/>
        <w:left w:val="none" w:sz="0" w:space="0" w:color="auto"/>
        <w:bottom w:val="none" w:sz="0" w:space="0" w:color="auto"/>
        <w:right w:val="none" w:sz="0" w:space="0" w:color="auto"/>
      </w:divBdr>
    </w:div>
    <w:div w:id="1241134189">
      <w:bodyDiv w:val="1"/>
      <w:marLeft w:val="0"/>
      <w:marRight w:val="0"/>
      <w:marTop w:val="0"/>
      <w:marBottom w:val="0"/>
      <w:divBdr>
        <w:top w:val="none" w:sz="0" w:space="0" w:color="auto"/>
        <w:left w:val="none" w:sz="0" w:space="0" w:color="auto"/>
        <w:bottom w:val="none" w:sz="0" w:space="0" w:color="auto"/>
        <w:right w:val="none" w:sz="0" w:space="0" w:color="auto"/>
      </w:divBdr>
    </w:div>
    <w:div w:id="1279533481">
      <w:bodyDiv w:val="1"/>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0"/>
          <w:divBdr>
            <w:top w:val="none" w:sz="0" w:space="0" w:color="auto"/>
            <w:left w:val="none" w:sz="0" w:space="0" w:color="auto"/>
            <w:bottom w:val="none" w:sz="0" w:space="0" w:color="auto"/>
            <w:right w:val="none" w:sz="0" w:space="0" w:color="auto"/>
          </w:divBdr>
        </w:div>
      </w:divsChild>
    </w:div>
    <w:div w:id="1355493963">
      <w:bodyDiv w:val="1"/>
      <w:marLeft w:val="0"/>
      <w:marRight w:val="0"/>
      <w:marTop w:val="0"/>
      <w:marBottom w:val="0"/>
      <w:divBdr>
        <w:top w:val="none" w:sz="0" w:space="0" w:color="auto"/>
        <w:left w:val="none" w:sz="0" w:space="0" w:color="auto"/>
        <w:bottom w:val="none" w:sz="0" w:space="0" w:color="auto"/>
        <w:right w:val="none" w:sz="0" w:space="0" w:color="auto"/>
      </w:divBdr>
    </w:div>
    <w:div w:id="1361318937">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sChild>
        <w:div w:id="17559330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sChild>
                <w:div w:id="1718772190">
                  <w:marLeft w:val="0"/>
                  <w:marRight w:val="0"/>
                  <w:marTop w:val="120"/>
                  <w:marBottom w:val="0"/>
                  <w:divBdr>
                    <w:top w:val="single" w:sz="6" w:space="0" w:color="AFC4D5"/>
                    <w:left w:val="single" w:sz="6" w:space="0" w:color="AFC4D5"/>
                    <w:bottom w:val="single" w:sz="6" w:space="0" w:color="AFC4D5"/>
                    <w:right w:val="single" w:sz="6" w:space="0" w:color="AFC4D5"/>
                  </w:divBdr>
                  <w:divsChild>
                    <w:div w:id="394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3118">
      <w:bodyDiv w:val="1"/>
      <w:marLeft w:val="0"/>
      <w:marRight w:val="0"/>
      <w:marTop w:val="0"/>
      <w:marBottom w:val="0"/>
      <w:divBdr>
        <w:top w:val="none" w:sz="0" w:space="0" w:color="auto"/>
        <w:left w:val="none" w:sz="0" w:space="0" w:color="auto"/>
        <w:bottom w:val="none" w:sz="0" w:space="0" w:color="auto"/>
        <w:right w:val="none" w:sz="0" w:space="0" w:color="auto"/>
      </w:divBdr>
    </w:div>
    <w:div w:id="1497182831">
      <w:bodyDiv w:val="1"/>
      <w:marLeft w:val="0"/>
      <w:marRight w:val="0"/>
      <w:marTop w:val="0"/>
      <w:marBottom w:val="0"/>
      <w:divBdr>
        <w:top w:val="none" w:sz="0" w:space="0" w:color="auto"/>
        <w:left w:val="none" w:sz="0" w:space="0" w:color="auto"/>
        <w:bottom w:val="none" w:sz="0" w:space="0" w:color="auto"/>
        <w:right w:val="none" w:sz="0" w:space="0" w:color="auto"/>
      </w:divBdr>
    </w:div>
    <w:div w:id="1524780908">
      <w:bodyDiv w:val="1"/>
      <w:marLeft w:val="0"/>
      <w:marRight w:val="0"/>
      <w:marTop w:val="0"/>
      <w:marBottom w:val="0"/>
      <w:divBdr>
        <w:top w:val="none" w:sz="0" w:space="0" w:color="auto"/>
        <w:left w:val="none" w:sz="0" w:space="0" w:color="auto"/>
        <w:bottom w:val="none" w:sz="0" w:space="0" w:color="auto"/>
        <w:right w:val="none" w:sz="0" w:space="0" w:color="auto"/>
      </w:divBdr>
    </w:div>
    <w:div w:id="1567839683">
      <w:bodyDiv w:val="1"/>
      <w:marLeft w:val="0"/>
      <w:marRight w:val="0"/>
      <w:marTop w:val="0"/>
      <w:marBottom w:val="0"/>
      <w:divBdr>
        <w:top w:val="none" w:sz="0" w:space="0" w:color="auto"/>
        <w:left w:val="none" w:sz="0" w:space="0" w:color="auto"/>
        <w:bottom w:val="none" w:sz="0" w:space="0" w:color="auto"/>
        <w:right w:val="none" w:sz="0" w:space="0" w:color="auto"/>
      </w:divBdr>
    </w:div>
    <w:div w:id="1606963793">
      <w:bodyDiv w:val="1"/>
      <w:marLeft w:val="0"/>
      <w:marRight w:val="0"/>
      <w:marTop w:val="0"/>
      <w:marBottom w:val="0"/>
      <w:divBdr>
        <w:top w:val="none" w:sz="0" w:space="0" w:color="auto"/>
        <w:left w:val="none" w:sz="0" w:space="0" w:color="auto"/>
        <w:bottom w:val="none" w:sz="0" w:space="0" w:color="auto"/>
        <w:right w:val="none" w:sz="0" w:space="0" w:color="auto"/>
      </w:divBdr>
    </w:div>
    <w:div w:id="1655142679">
      <w:bodyDiv w:val="1"/>
      <w:marLeft w:val="0"/>
      <w:marRight w:val="0"/>
      <w:marTop w:val="0"/>
      <w:marBottom w:val="0"/>
      <w:divBdr>
        <w:top w:val="none" w:sz="0" w:space="0" w:color="auto"/>
        <w:left w:val="none" w:sz="0" w:space="0" w:color="auto"/>
        <w:bottom w:val="none" w:sz="0" w:space="0" w:color="auto"/>
        <w:right w:val="none" w:sz="0" w:space="0" w:color="auto"/>
      </w:divBdr>
    </w:div>
    <w:div w:id="1720006687">
      <w:bodyDiv w:val="1"/>
      <w:marLeft w:val="0"/>
      <w:marRight w:val="0"/>
      <w:marTop w:val="0"/>
      <w:marBottom w:val="0"/>
      <w:divBdr>
        <w:top w:val="none" w:sz="0" w:space="0" w:color="auto"/>
        <w:left w:val="none" w:sz="0" w:space="0" w:color="auto"/>
        <w:bottom w:val="none" w:sz="0" w:space="0" w:color="auto"/>
        <w:right w:val="none" w:sz="0" w:space="0" w:color="auto"/>
      </w:divBdr>
      <w:divsChild>
        <w:div w:id="1795522124">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sChild>
                <w:div w:id="517280263">
                  <w:marLeft w:val="0"/>
                  <w:marRight w:val="0"/>
                  <w:marTop w:val="300"/>
                  <w:marBottom w:val="0"/>
                  <w:divBdr>
                    <w:top w:val="single" w:sz="6" w:space="0" w:color="D0D0D0"/>
                    <w:left w:val="none" w:sz="0" w:space="0" w:color="auto"/>
                    <w:bottom w:val="none" w:sz="0" w:space="0" w:color="auto"/>
                    <w:right w:val="none" w:sz="0" w:space="0" w:color="auto"/>
                  </w:divBdr>
                  <w:divsChild>
                    <w:div w:id="1318152604">
                      <w:marLeft w:val="0"/>
                      <w:marRight w:val="0"/>
                      <w:marTop w:val="0"/>
                      <w:marBottom w:val="0"/>
                      <w:divBdr>
                        <w:top w:val="none" w:sz="0" w:space="0" w:color="auto"/>
                        <w:left w:val="none" w:sz="0" w:space="0" w:color="auto"/>
                        <w:bottom w:val="none" w:sz="0" w:space="0" w:color="auto"/>
                        <w:right w:val="none" w:sz="0" w:space="0" w:color="auto"/>
                      </w:divBdr>
                      <w:divsChild>
                        <w:div w:id="620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3072">
      <w:bodyDiv w:val="1"/>
      <w:marLeft w:val="0"/>
      <w:marRight w:val="0"/>
      <w:marTop w:val="0"/>
      <w:marBottom w:val="0"/>
      <w:divBdr>
        <w:top w:val="none" w:sz="0" w:space="0" w:color="auto"/>
        <w:left w:val="none" w:sz="0" w:space="0" w:color="auto"/>
        <w:bottom w:val="none" w:sz="0" w:space="0" w:color="auto"/>
        <w:right w:val="none" w:sz="0" w:space="0" w:color="auto"/>
      </w:divBdr>
    </w:div>
    <w:div w:id="1902017531">
      <w:bodyDiv w:val="1"/>
      <w:marLeft w:val="0"/>
      <w:marRight w:val="0"/>
      <w:marTop w:val="0"/>
      <w:marBottom w:val="0"/>
      <w:divBdr>
        <w:top w:val="none" w:sz="0" w:space="0" w:color="auto"/>
        <w:left w:val="none" w:sz="0" w:space="0" w:color="auto"/>
        <w:bottom w:val="none" w:sz="0" w:space="0" w:color="auto"/>
        <w:right w:val="none" w:sz="0" w:space="0" w:color="auto"/>
      </w:divBdr>
      <w:divsChild>
        <w:div w:id="870461039">
          <w:marLeft w:val="0"/>
          <w:marRight w:val="0"/>
          <w:marTop w:val="0"/>
          <w:marBottom w:val="0"/>
          <w:divBdr>
            <w:top w:val="none" w:sz="0" w:space="0" w:color="auto"/>
            <w:left w:val="none" w:sz="0" w:space="0" w:color="auto"/>
            <w:bottom w:val="none" w:sz="0" w:space="0" w:color="auto"/>
            <w:right w:val="none" w:sz="0" w:space="0" w:color="auto"/>
          </w:divBdr>
          <w:divsChild>
            <w:div w:id="453327450">
              <w:marLeft w:val="0"/>
              <w:marRight w:val="0"/>
              <w:marTop w:val="0"/>
              <w:marBottom w:val="0"/>
              <w:divBdr>
                <w:top w:val="none" w:sz="0" w:space="0" w:color="auto"/>
                <w:left w:val="none" w:sz="0" w:space="0" w:color="auto"/>
                <w:bottom w:val="none" w:sz="0" w:space="0" w:color="auto"/>
                <w:right w:val="none" w:sz="0" w:space="0" w:color="auto"/>
              </w:divBdr>
              <w:divsChild>
                <w:div w:id="241068026">
                  <w:marLeft w:val="0"/>
                  <w:marRight w:val="0"/>
                  <w:marTop w:val="120"/>
                  <w:marBottom w:val="0"/>
                  <w:divBdr>
                    <w:top w:val="single" w:sz="6" w:space="0" w:color="AFC4D5"/>
                    <w:left w:val="single" w:sz="6" w:space="0" w:color="AFC4D5"/>
                    <w:bottom w:val="single" w:sz="6" w:space="0" w:color="AFC4D5"/>
                    <w:right w:val="single" w:sz="6" w:space="0" w:color="AFC4D5"/>
                  </w:divBdr>
                  <w:divsChild>
                    <w:div w:id="2078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7598">
      <w:bodyDiv w:val="1"/>
      <w:marLeft w:val="0"/>
      <w:marRight w:val="0"/>
      <w:marTop w:val="0"/>
      <w:marBottom w:val="0"/>
      <w:divBdr>
        <w:top w:val="none" w:sz="0" w:space="0" w:color="auto"/>
        <w:left w:val="none" w:sz="0" w:space="0" w:color="auto"/>
        <w:bottom w:val="none" w:sz="0" w:space="0" w:color="auto"/>
        <w:right w:val="none" w:sz="0" w:space="0" w:color="auto"/>
      </w:divBdr>
    </w:div>
    <w:div w:id="1928229935">
      <w:bodyDiv w:val="1"/>
      <w:marLeft w:val="0"/>
      <w:marRight w:val="0"/>
      <w:marTop w:val="0"/>
      <w:marBottom w:val="0"/>
      <w:divBdr>
        <w:top w:val="none" w:sz="0" w:space="0" w:color="auto"/>
        <w:left w:val="none" w:sz="0" w:space="0" w:color="auto"/>
        <w:bottom w:val="none" w:sz="0" w:space="0" w:color="auto"/>
        <w:right w:val="none" w:sz="0" w:space="0" w:color="auto"/>
      </w:divBdr>
    </w:div>
    <w:div w:id="1931160327">
      <w:bodyDiv w:val="1"/>
      <w:marLeft w:val="0"/>
      <w:marRight w:val="0"/>
      <w:marTop w:val="0"/>
      <w:marBottom w:val="0"/>
      <w:divBdr>
        <w:top w:val="none" w:sz="0" w:space="0" w:color="auto"/>
        <w:left w:val="none" w:sz="0" w:space="0" w:color="auto"/>
        <w:bottom w:val="none" w:sz="0" w:space="0" w:color="auto"/>
        <w:right w:val="none" w:sz="0" w:space="0" w:color="auto"/>
      </w:divBdr>
    </w:div>
    <w:div w:id="1934706801">
      <w:bodyDiv w:val="1"/>
      <w:marLeft w:val="0"/>
      <w:marRight w:val="0"/>
      <w:marTop w:val="0"/>
      <w:marBottom w:val="0"/>
      <w:divBdr>
        <w:top w:val="none" w:sz="0" w:space="0" w:color="auto"/>
        <w:left w:val="none" w:sz="0" w:space="0" w:color="auto"/>
        <w:bottom w:val="none" w:sz="0" w:space="0" w:color="auto"/>
        <w:right w:val="none" w:sz="0" w:space="0" w:color="auto"/>
      </w:divBdr>
    </w:div>
    <w:div w:id="19828850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191">
          <w:marLeft w:val="0"/>
          <w:marRight w:val="0"/>
          <w:marTop w:val="0"/>
          <w:marBottom w:val="0"/>
          <w:divBdr>
            <w:top w:val="none" w:sz="0" w:space="0" w:color="auto"/>
            <w:left w:val="none" w:sz="0" w:space="0" w:color="auto"/>
            <w:bottom w:val="none" w:sz="0" w:space="0" w:color="auto"/>
            <w:right w:val="none" w:sz="0" w:space="0" w:color="auto"/>
          </w:divBdr>
          <w:divsChild>
            <w:div w:id="2115469093">
              <w:marLeft w:val="0"/>
              <w:marRight w:val="0"/>
              <w:marTop w:val="0"/>
              <w:marBottom w:val="0"/>
              <w:divBdr>
                <w:top w:val="none" w:sz="0" w:space="0" w:color="auto"/>
                <w:left w:val="none" w:sz="0" w:space="0" w:color="auto"/>
                <w:bottom w:val="none" w:sz="0" w:space="0" w:color="auto"/>
                <w:right w:val="none" w:sz="0" w:space="0" w:color="auto"/>
              </w:divBdr>
              <w:divsChild>
                <w:div w:id="610743893">
                  <w:marLeft w:val="0"/>
                  <w:marRight w:val="0"/>
                  <w:marTop w:val="300"/>
                  <w:marBottom w:val="0"/>
                  <w:divBdr>
                    <w:top w:val="single" w:sz="6" w:space="0" w:color="D0D0D0"/>
                    <w:left w:val="none" w:sz="0" w:space="0" w:color="auto"/>
                    <w:bottom w:val="none" w:sz="0" w:space="0" w:color="auto"/>
                    <w:right w:val="none" w:sz="0" w:space="0" w:color="auto"/>
                  </w:divBdr>
                  <w:divsChild>
                    <w:div w:id="116144813">
                      <w:marLeft w:val="0"/>
                      <w:marRight w:val="0"/>
                      <w:marTop w:val="0"/>
                      <w:marBottom w:val="0"/>
                      <w:divBdr>
                        <w:top w:val="none" w:sz="0" w:space="0" w:color="auto"/>
                        <w:left w:val="none" w:sz="0" w:space="0" w:color="auto"/>
                        <w:bottom w:val="none" w:sz="0" w:space="0" w:color="auto"/>
                        <w:right w:val="none" w:sz="0" w:space="0" w:color="auto"/>
                      </w:divBdr>
                      <w:divsChild>
                        <w:div w:id="1539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541">
      <w:bodyDiv w:val="1"/>
      <w:marLeft w:val="0"/>
      <w:marRight w:val="0"/>
      <w:marTop w:val="0"/>
      <w:marBottom w:val="0"/>
      <w:divBdr>
        <w:top w:val="none" w:sz="0" w:space="0" w:color="auto"/>
        <w:left w:val="none" w:sz="0" w:space="0" w:color="auto"/>
        <w:bottom w:val="none" w:sz="0" w:space="0" w:color="auto"/>
        <w:right w:val="none" w:sz="0" w:space="0" w:color="auto"/>
      </w:divBdr>
    </w:div>
    <w:div w:id="20911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6782-B1F2-48DA-9857-B618FE10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4</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博时价值增长贰号证券投资基金关于增加华泰证券有限责任公司</vt:lpstr>
    </vt:vector>
  </TitlesOfParts>
  <Company>company</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2015-07-24T09:21:00Z</cp:lastPrinted>
  <dcterms:created xsi:type="dcterms:W3CDTF">2024-02-25T16:00:00Z</dcterms:created>
  <dcterms:modified xsi:type="dcterms:W3CDTF">2024-02-25T16:00:00Z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