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F9" w:rsidRDefault="00B9799E">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华宝基金关于旗下部分交易型开放式指数证券投资基金新增国联证券股份有限公司为一级交易商的公告</w:t>
      </w:r>
    </w:p>
    <w:p w:rsidR="00AE58F9" w:rsidRDefault="00B9799E">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）与国联证券股份有限公司（以下简称</w:t>
      </w:r>
      <w:r>
        <w:rPr>
          <w:rFonts w:ascii="宋体" w:eastAsia="宋体" w:hAnsi="宋体" w:cs="宋体"/>
          <w:sz w:val="21"/>
          <w:szCs w:val="21"/>
        </w:rPr>
        <w:t>“</w:t>
      </w:r>
      <w:r>
        <w:rPr>
          <w:rFonts w:ascii="宋体" w:eastAsia="宋体" w:hAnsi="宋体" w:cs="宋体"/>
          <w:sz w:val="21"/>
          <w:szCs w:val="21"/>
        </w:rPr>
        <w:t>国联证券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02</w:t>
      </w:r>
      <w:r>
        <w:rPr>
          <w:rFonts w:ascii="宋体" w:eastAsia="宋体" w:hAnsi="宋体" w:cs="宋体"/>
          <w:sz w:val="21"/>
          <w:szCs w:val="21"/>
        </w:rPr>
        <w:t>月</w:t>
      </w:r>
      <w:r>
        <w:rPr>
          <w:rFonts w:ascii="宋体" w:eastAsia="宋体" w:hAnsi="宋体" w:cs="宋体"/>
          <w:sz w:val="21"/>
          <w:szCs w:val="21"/>
        </w:rPr>
        <w:t>26</w:t>
      </w:r>
      <w:r>
        <w:rPr>
          <w:rFonts w:ascii="宋体" w:eastAsia="宋体" w:hAnsi="宋体" w:cs="宋体"/>
          <w:sz w:val="21"/>
          <w:szCs w:val="21"/>
        </w:rPr>
        <w:t>日起增加国联证券为以下适用基金的一级交易商。</w:t>
      </w:r>
      <w:r>
        <w:rPr>
          <w:rFonts w:ascii="宋体" w:eastAsia="宋体" w:hAnsi="宋体" w:cs="宋体"/>
          <w:sz w:val="21"/>
          <w:szCs w:val="21"/>
        </w:rPr>
        <w:t xml:space="preserve"> </w:t>
      </w:r>
    </w:p>
    <w:p w:rsidR="00AE58F9" w:rsidRDefault="00B9799E">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AE58F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jc w:val="center"/>
              <w:rPr>
                <w:b/>
                <w:bCs/>
                <w:color w:val="000000"/>
                <w:sz w:val="21"/>
                <w:szCs w:val="21"/>
              </w:rPr>
            </w:pPr>
            <w:r>
              <w:rPr>
                <w:rFonts w:ascii="宋体" w:eastAsia="宋体" w:hAnsi="宋体" w:cs="宋体"/>
                <w:b/>
                <w:bCs/>
                <w:color w:val="000000"/>
                <w:sz w:val="21"/>
                <w:szCs w:val="21"/>
              </w:rPr>
              <w:t>基金代码</w:t>
            </w:r>
          </w:p>
        </w:tc>
      </w:tr>
      <w:tr w:rsidR="00AE58F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jc w:val="center"/>
              <w:rPr>
                <w:color w:val="000000"/>
                <w:sz w:val="21"/>
                <w:szCs w:val="21"/>
              </w:rPr>
            </w:pPr>
            <w:r>
              <w:rPr>
                <w:rFonts w:ascii="宋体" w:eastAsia="宋体" w:hAnsi="宋体" w:cs="宋体"/>
                <w:color w:val="000000"/>
                <w:sz w:val="21"/>
                <w:szCs w:val="21"/>
              </w:rPr>
              <w:t>562000</w:t>
            </w:r>
          </w:p>
        </w:tc>
      </w:tr>
      <w:tr w:rsidR="00AE58F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E58F9" w:rsidRDefault="00B9799E">
            <w:pPr>
              <w:jc w:val="center"/>
              <w:rPr>
                <w:color w:val="000000"/>
                <w:sz w:val="21"/>
                <w:szCs w:val="21"/>
              </w:rPr>
            </w:pPr>
            <w:r>
              <w:rPr>
                <w:rFonts w:ascii="宋体" w:eastAsia="宋体" w:hAnsi="宋体" w:cs="宋体"/>
                <w:color w:val="000000"/>
                <w:sz w:val="21"/>
                <w:szCs w:val="21"/>
              </w:rPr>
              <w:t>562060</w:t>
            </w:r>
          </w:p>
        </w:tc>
      </w:tr>
    </w:tbl>
    <w:p w:rsidR="00AE58F9" w:rsidRDefault="00B9799E">
      <w:pPr>
        <w:spacing w:before="210" w:after="210" w:line="560" w:lineRule="atLeast"/>
        <w:ind w:left="420"/>
        <w:rPr>
          <w:sz w:val="21"/>
          <w:szCs w:val="21"/>
        </w:rPr>
      </w:pPr>
      <w:r>
        <w:rPr>
          <w:rFonts w:ascii="宋体" w:eastAsia="宋体" w:hAnsi="宋体" w:cs="宋体"/>
          <w:sz w:val="21"/>
          <w:szCs w:val="21"/>
        </w:rPr>
        <w:t>二、投资者可到国联证券办理上述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国联证券股份有限公司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95570</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www.glsc.com.cn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AE58F9" w:rsidRDefault="00B9799E">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w:t>
      </w:r>
      <w:r>
        <w:rPr>
          <w:rFonts w:ascii="宋体" w:eastAsia="宋体" w:hAnsi="宋体" w:cs="宋体"/>
          <w:sz w:val="21"/>
          <w:szCs w:val="21"/>
        </w:rPr>
        <w:t>基金产品资料概要、《基金合同》和《招募说明书》。敬请投资者注意投资风险。</w:t>
      </w:r>
      <w:r>
        <w:rPr>
          <w:rFonts w:ascii="宋体" w:eastAsia="宋体" w:hAnsi="宋体" w:cs="宋体"/>
          <w:sz w:val="21"/>
          <w:szCs w:val="21"/>
        </w:rPr>
        <w:t xml:space="preserve"> </w:t>
      </w:r>
    </w:p>
    <w:p w:rsidR="00AE58F9" w:rsidRDefault="00B9799E">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AE58F9" w:rsidRDefault="00B9799E">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02</w:t>
      </w:r>
      <w:r>
        <w:rPr>
          <w:rFonts w:ascii="宋体" w:eastAsia="宋体" w:hAnsi="宋体" w:cs="宋体"/>
          <w:sz w:val="21"/>
          <w:szCs w:val="21"/>
        </w:rPr>
        <w:t>月</w:t>
      </w:r>
      <w:r>
        <w:rPr>
          <w:rFonts w:ascii="宋体" w:eastAsia="宋体" w:hAnsi="宋体" w:cs="宋体"/>
          <w:sz w:val="21"/>
          <w:szCs w:val="21"/>
        </w:rPr>
        <w:t>26</w:t>
      </w:r>
      <w:r>
        <w:rPr>
          <w:rFonts w:ascii="宋体" w:eastAsia="宋体" w:hAnsi="宋体" w:cs="宋体"/>
          <w:sz w:val="21"/>
          <w:szCs w:val="21"/>
        </w:rPr>
        <w:t>日</w:t>
      </w:r>
      <w:r>
        <w:rPr>
          <w:rFonts w:ascii="宋体" w:eastAsia="宋体" w:hAnsi="宋体" w:cs="宋体"/>
          <w:sz w:val="21"/>
          <w:szCs w:val="21"/>
        </w:rPr>
        <w:t xml:space="preserve"> </w:t>
      </w:r>
    </w:p>
    <w:p w:rsidR="00AE58F9" w:rsidRDefault="00AE58F9">
      <w:pPr>
        <w:spacing w:before="240" w:after="240"/>
      </w:pPr>
    </w:p>
    <w:sectPr w:rsidR="00AE58F9" w:rsidSect="00AE58F9">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8F9" w:rsidRDefault="00AE58F9" w:rsidP="00AE58F9">
      <w:r>
        <w:separator/>
      </w:r>
    </w:p>
  </w:endnote>
  <w:endnote w:type="continuationSeparator" w:id="0">
    <w:p w:rsidR="00AE58F9" w:rsidRDefault="00AE58F9" w:rsidP="00AE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F9" w:rsidRDefault="00AE58F9">
    <w:pPr>
      <w:jc w:val="center"/>
      <w:rPr>
        <w:sz w:val="20"/>
      </w:rPr>
    </w:pPr>
    <w:r>
      <w:rPr>
        <w:sz w:val="20"/>
      </w:rPr>
      <w:fldChar w:fldCharType="begin"/>
    </w:r>
    <w:r w:rsidR="00B9799E">
      <w:rPr>
        <w:rFonts w:ascii="宋体" w:eastAsia="宋体" w:hAnsi="宋体" w:cs="宋体"/>
        <w:sz w:val="20"/>
      </w:rPr>
      <w:instrText>PAGE</w:instrText>
    </w:r>
    <w:r>
      <w:rPr>
        <w:sz w:val="20"/>
      </w:rPr>
      <w:fldChar w:fldCharType="separate"/>
    </w:r>
    <w:r w:rsidR="00B9799E">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8F9" w:rsidRDefault="00AE58F9" w:rsidP="00AE58F9">
      <w:r>
        <w:separator/>
      </w:r>
    </w:p>
  </w:footnote>
  <w:footnote w:type="continuationSeparator" w:id="0">
    <w:p w:rsidR="00AE58F9" w:rsidRDefault="00AE58F9" w:rsidP="00AE5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AE58F9"/>
    <w:rsid w:val="00B9799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8F9"/>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华宝基金关于旗下部分交易型开放式指数证券投资基金新增国联证券股份有限公司为一级交易商的公告</dc:title>
  <cp:lastModifiedBy>ZHONGM</cp:lastModifiedBy>
  <cp:revision>2</cp:revision>
  <dcterms:created xsi:type="dcterms:W3CDTF">2024-02-25T16:00:00Z</dcterms:created>
  <dcterms:modified xsi:type="dcterms:W3CDTF">2024-02-25T16:00:00Z</dcterms:modified>
</cp:coreProperties>
</file>