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29" w:rsidRPr="00D76529" w:rsidRDefault="007D2BDE" w:rsidP="00883531">
      <w:pPr>
        <w:jc w:val="center"/>
        <w:rPr>
          <w:rFonts w:ascii="Verdana" w:hAnsi="Verdana"/>
          <w:b/>
          <w:bCs/>
          <w:sz w:val="28"/>
          <w:szCs w:val="28"/>
        </w:rPr>
      </w:pPr>
      <w:r w:rsidRPr="007D2BDE">
        <w:rPr>
          <w:rFonts w:ascii="Verdana" w:hAnsi="Verdana" w:hint="eastAsia"/>
          <w:b/>
          <w:bCs/>
          <w:sz w:val="28"/>
          <w:szCs w:val="28"/>
        </w:rPr>
        <w:t>天治基金管理有限公司关于</w:t>
      </w:r>
      <w:r w:rsidR="00D76529" w:rsidRPr="00D76529">
        <w:rPr>
          <w:rFonts w:ascii="Verdana" w:hAnsi="Verdana" w:hint="eastAsia"/>
          <w:b/>
          <w:bCs/>
          <w:sz w:val="28"/>
          <w:szCs w:val="28"/>
        </w:rPr>
        <w:t>天治中国制造</w:t>
      </w:r>
      <w:r w:rsidR="00D76529" w:rsidRPr="00D76529">
        <w:rPr>
          <w:rFonts w:ascii="Verdana" w:hAnsi="Verdana" w:hint="eastAsia"/>
          <w:b/>
          <w:bCs/>
          <w:sz w:val="28"/>
          <w:szCs w:val="28"/>
        </w:rPr>
        <w:t>2025</w:t>
      </w:r>
      <w:r w:rsidR="00D76529" w:rsidRPr="00D76529">
        <w:rPr>
          <w:rFonts w:ascii="Verdana" w:hAnsi="Verdana" w:hint="eastAsia"/>
          <w:b/>
          <w:bCs/>
          <w:sz w:val="28"/>
          <w:szCs w:val="28"/>
        </w:rPr>
        <w:t>灵活配置混合型证券投资基金在部分代销机构开展赎回费率优惠活动的公告</w:t>
      </w:r>
    </w:p>
    <w:p w:rsidR="00A24F41" w:rsidRDefault="00A24F41" w:rsidP="00A24F41">
      <w:pPr>
        <w:pStyle w:val="Default"/>
      </w:pPr>
    </w:p>
    <w:p w:rsidR="003C14CF" w:rsidRPr="00D76529" w:rsidRDefault="007D2BDE" w:rsidP="00D76529">
      <w:pPr>
        <w:spacing w:line="360" w:lineRule="auto"/>
        <w:ind w:firstLineChars="200" w:firstLine="420"/>
      </w:pPr>
      <w:r>
        <w:t>为更好地满足投资者的理财需求，根据《中华人民共和国证券投资基金法》、《公开募集证券投资基金运作管理办法》等法律法规的规定和基金合同的相关约定</w:t>
      </w:r>
      <w:r>
        <w:rPr>
          <w:rFonts w:hint="eastAsia"/>
        </w:rPr>
        <w:t>，</w:t>
      </w:r>
      <w:r w:rsidR="00D76529">
        <w:rPr>
          <w:rFonts w:hint="eastAsia"/>
        </w:rPr>
        <w:t>经</w:t>
      </w:r>
      <w:r w:rsidR="0000598B" w:rsidRPr="008F753B">
        <w:rPr>
          <w:rFonts w:hint="eastAsia"/>
        </w:rPr>
        <w:t>天治</w:t>
      </w:r>
      <w:r w:rsidR="00A24F41" w:rsidRPr="008F753B">
        <w:rPr>
          <w:rFonts w:hint="eastAsia"/>
        </w:rPr>
        <w:t>基金管理有限公司</w:t>
      </w:r>
      <w:bookmarkStart w:id="0" w:name="_Hlk159406777"/>
      <w:r w:rsidR="00A24F41" w:rsidRPr="008F753B">
        <w:rPr>
          <w:rFonts w:hint="eastAsia"/>
        </w:rPr>
        <w:t>（以下简称</w:t>
      </w:r>
      <w:r w:rsidR="00A24F41" w:rsidRPr="008F753B">
        <w:t>“</w:t>
      </w:r>
      <w:r w:rsidR="00A24F41" w:rsidRPr="008F753B">
        <w:rPr>
          <w:rFonts w:hint="eastAsia"/>
        </w:rPr>
        <w:t>本公司</w:t>
      </w:r>
      <w:r w:rsidR="00A24F41" w:rsidRPr="008F753B">
        <w:t>”</w:t>
      </w:r>
      <w:r w:rsidR="00A24F41" w:rsidRPr="008F753B">
        <w:rPr>
          <w:rFonts w:hint="eastAsia"/>
        </w:rPr>
        <w:t>）</w:t>
      </w:r>
      <w:bookmarkEnd w:id="0"/>
      <w:r w:rsidR="00D76529">
        <w:rPr>
          <w:rFonts w:hint="eastAsia"/>
        </w:rPr>
        <w:t>与</w:t>
      </w:r>
      <w:r w:rsidR="00FA31BF">
        <w:t>国泰君安证券股份有限公司</w:t>
      </w:r>
      <w:r w:rsidR="005D6BEB">
        <w:rPr>
          <w:rFonts w:hint="eastAsia"/>
        </w:rPr>
        <w:t>(</w:t>
      </w:r>
      <w:r w:rsidR="005D6BEB" w:rsidRPr="008F753B">
        <w:rPr>
          <w:rFonts w:hint="eastAsia"/>
        </w:rPr>
        <w:t>以下简称</w:t>
      </w:r>
      <w:r w:rsidR="005D6BEB" w:rsidRPr="008F753B">
        <w:t>“</w:t>
      </w:r>
      <w:r w:rsidR="005D6BEB">
        <w:rPr>
          <w:rFonts w:hint="eastAsia"/>
        </w:rPr>
        <w:t>国泰君安</w:t>
      </w:r>
      <w:r w:rsidR="00F44F1D">
        <w:rPr>
          <w:rFonts w:hint="eastAsia"/>
        </w:rPr>
        <w:t>证券</w:t>
      </w:r>
      <w:r w:rsidR="005D6BEB" w:rsidRPr="008F753B">
        <w:t>”</w:t>
      </w:r>
      <w:r w:rsidR="005D6BEB">
        <w:t>)</w:t>
      </w:r>
      <w:r w:rsidR="003F0151">
        <w:rPr>
          <w:rFonts w:hint="eastAsia"/>
        </w:rPr>
        <w:t>、</w:t>
      </w:r>
      <w:r w:rsidR="00FA31BF">
        <w:t>光大证券股份有限公司</w:t>
      </w:r>
      <w:r w:rsidR="005D6BEB" w:rsidRPr="008F753B">
        <w:rPr>
          <w:rFonts w:hint="eastAsia"/>
        </w:rPr>
        <w:t>（以下简称</w:t>
      </w:r>
      <w:r w:rsidR="005D6BEB" w:rsidRPr="008F753B">
        <w:t>“</w:t>
      </w:r>
      <w:r w:rsidR="005D6BEB">
        <w:rPr>
          <w:rFonts w:hint="eastAsia"/>
        </w:rPr>
        <w:t>光大证券</w:t>
      </w:r>
      <w:r w:rsidR="005D6BEB" w:rsidRPr="008F753B">
        <w:t>”</w:t>
      </w:r>
      <w:r w:rsidR="005D6BEB" w:rsidRPr="008F753B">
        <w:rPr>
          <w:rFonts w:hint="eastAsia"/>
        </w:rPr>
        <w:t>）</w:t>
      </w:r>
      <w:r w:rsidR="00D6541C">
        <w:rPr>
          <w:rFonts w:hint="eastAsia"/>
        </w:rPr>
        <w:t>、</w:t>
      </w:r>
      <w:r w:rsidR="00FA31BF">
        <w:t>信达证券股份有限公司</w:t>
      </w:r>
      <w:r w:rsidR="005D6BEB" w:rsidRPr="008F753B">
        <w:rPr>
          <w:rFonts w:hint="eastAsia"/>
        </w:rPr>
        <w:t>（以下简称</w:t>
      </w:r>
      <w:r w:rsidR="005D6BEB" w:rsidRPr="008F753B">
        <w:t>“</w:t>
      </w:r>
      <w:r w:rsidR="005D6BEB">
        <w:rPr>
          <w:rFonts w:hint="eastAsia"/>
        </w:rPr>
        <w:t>信达证券</w:t>
      </w:r>
      <w:r w:rsidR="005D6BEB" w:rsidRPr="008F753B">
        <w:t>”</w:t>
      </w:r>
      <w:r w:rsidR="005D6BEB" w:rsidRPr="008F753B">
        <w:rPr>
          <w:rFonts w:hint="eastAsia"/>
        </w:rPr>
        <w:t>）</w:t>
      </w:r>
      <w:r w:rsidR="00D6541C">
        <w:rPr>
          <w:rFonts w:hint="eastAsia"/>
        </w:rPr>
        <w:t>、</w:t>
      </w:r>
      <w:r w:rsidR="00FA31BF">
        <w:t>泛华普益基金销售有限公司</w:t>
      </w:r>
      <w:r w:rsidR="005D6BEB" w:rsidRPr="008F753B">
        <w:rPr>
          <w:rFonts w:hint="eastAsia"/>
        </w:rPr>
        <w:t>（以下简称</w:t>
      </w:r>
      <w:r w:rsidR="005D6BEB" w:rsidRPr="008F753B">
        <w:t>“</w:t>
      </w:r>
      <w:r w:rsidR="005D6BEB">
        <w:rPr>
          <w:rFonts w:hint="eastAsia"/>
        </w:rPr>
        <w:t>泛华普益基金</w:t>
      </w:r>
      <w:r w:rsidR="005D6BEB" w:rsidRPr="008F753B">
        <w:t>”</w:t>
      </w:r>
      <w:r w:rsidR="005D6BEB" w:rsidRPr="008F753B">
        <w:rPr>
          <w:rFonts w:hint="eastAsia"/>
        </w:rPr>
        <w:t>）</w:t>
      </w:r>
      <w:r w:rsidR="00D6541C">
        <w:rPr>
          <w:rFonts w:hint="eastAsia"/>
        </w:rPr>
        <w:t>、</w:t>
      </w:r>
      <w:r w:rsidR="00FA31BF">
        <w:t>上海基煜基金销售有限公司</w:t>
      </w:r>
      <w:r w:rsidR="005D6BEB" w:rsidRPr="008F753B">
        <w:rPr>
          <w:rFonts w:hint="eastAsia"/>
        </w:rPr>
        <w:t>（以下简称</w:t>
      </w:r>
      <w:r w:rsidR="005D6BEB" w:rsidRPr="008F753B">
        <w:t>“</w:t>
      </w:r>
      <w:r w:rsidR="005D6BEB">
        <w:rPr>
          <w:rFonts w:hint="eastAsia"/>
        </w:rPr>
        <w:t>基煜基金</w:t>
      </w:r>
      <w:r w:rsidR="005D6BEB" w:rsidRPr="008F753B">
        <w:t>”</w:t>
      </w:r>
      <w:r w:rsidR="005D6BEB" w:rsidRPr="008F753B">
        <w:rPr>
          <w:rFonts w:hint="eastAsia"/>
        </w:rPr>
        <w:t>）</w:t>
      </w:r>
      <w:r w:rsidR="00D76529" w:rsidRPr="00D76529">
        <w:rPr>
          <w:rFonts w:hint="eastAsia"/>
        </w:rPr>
        <w:t>协商一致</w:t>
      </w:r>
      <w:r w:rsidR="00D76529">
        <w:rPr>
          <w:rFonts w:hint="eastAsia"/>
        </w:rPr>
        <w:t>，</w:t>
      </w:r>
      <w:bookmarkStart w:id="1" w:name="_Hlk157781674"/>
      <w:r w:rsidR="00D76529" w:rsidRPr="00D76529">
        <w:rPr>
          <w:rFonts w:hint="eastAsia"/>
        </w:rPr>
        <w:t>天治中国制造</w:t>
      </w:r>
      <w:r w:rsidR="00D76529" w:rsidRPr="00D76529">
        <w:rPr>
          <w:rFonts w:hint="eastAsia"/>
        </w:rPr>
        <w:t>2025</w:t>
      </w:r>
      <w:r w:rsidR="00D76529" w:rsidRPr="00D76529">
        <w:rPr>
          <w:rFonts w:hint="eastAsia"/>
        </w:rPr>
        <w:t>灵活配置混合型证券投资基金</w:t>
      </w:r>
      <w:bookmarkEnd w:id="1"/>
      <w:r w:rsidR="00D76529" w:rsidRPr="00D76529">
        <w:rPr>
          <w:rFonts w:hint="eastAsia"/>
        </w:rPr>
        <w:t>将在上述代销机构开展赎回费率优惠活动。现将有关事宜公告如下：</w:t>
      </w:r>
    </w:p>
    <w:p w:rsidR="006F0915" w:rsidRDefault="006F0915" w:rsidP="00146578">
      <w:pPr>
        <w:pStyle w:val="ab"/>
        <w:numPr>
          <w:ilvl w:val="0"/>
          <w:numId w:val="3"/>
        </w:numPr>
        <w:spacing w:line="360" w:lineRule="auto"/>
        <w:ind w:firstLineChars="0"/>
        <w:outlineLvl w:val="0"/>
        <w:rPr>
          <w:b/>
          <w:szCs w:val="21"/>
        </w:rPr>
      </w:pPr>
      <w:r w:rsidRPr="006F0915">
        <w:rPr>
          <w:rFonts w:hint="eastAsia"/>
          <w:b/>
          <w:szCs w:val="21"/>
        </w:rPr>
        <w:t>优惠活动期间</w:t>
      </w:r>
    </w:p>
    <w:p w:rsidR="006F0915" w:rsidRPr="00D6541C" w:rsidRDefault="00D6541C" w:rsidP="006F0915">
      <w:pPr>
        <w:pStyle w:val="ab"/>
        <w:spacing w:line="360" w:lineRule="auto"/>
        <w:ind w:left="450" w:firstLineChars="0" w:firstLine="0"/>
        <w:outlineLvl w:val="0"/>
      </w:pPr>
      <w:r w:rsidRPr="00D6541C">
        <w:rPr>
          <w:rFonts w:hint="eastAsia"/>
        </w:rPr>
        <w:t>2</w:t>
      </w:r>
      <w:r w:rsidRPr="00D6541C">
        <w:t>024</w:t>
      </w:r>
      <w:r w:rsidRPr="00D6541C">
        <w:rPr>
          <w:rFonts w:hint="eastAsia"/>
        </w:rPr>
        <w:t>年</w:t>
      </w:r>
      <w:r w:rsidRPr="00D6541C">
        <w:rPr>
          <w:rFonts w:hint="eastAsia"/>
        </w:rPr>
        <w:t>3</w:t>
      </w:r>
      <w:r w:rsidRPr="00D6541C">
        <w:rPr>
          <w:rFonts w:hint="eastAsia"/>
        </w:rPr>
        <w:t>月</w:t>
      </w:r>
      <w:r w:rsidRPr="00D6541C">
        <w:rPr>
          <w:rFonts w:hint="eastAsia"/>
        </w:rPr>
        <w:t>1</w:t>
      </w:r>
      <w:r w:rsidRPr="00D6541C">
        <w:rPr>
          <w:rFonts w:hint="eastAsia"/>
        </w:rPr>
        <w:t>日至</w:t>
      </w:r>
      <w:r w:rsidRPr="00D6541C">
        <w:rPr>
          <w:rFonts w:hint="eastAsia"/>
        </w:rPr>
        <w:t>2</w:t>
      </w:r>
      <w:r w:rsidRPr="00D6541C">
        <w:t>024</w:t>
      </w:r>
      <w:r w:rsidRPr="00D6541C">
        <w:rPr>
          <w:rFonts w:hint="eastAsia"/>
        </w:rPr>
        <w:t>年</w:t>
      </w:r>
      <w:r w:rsidRPr="00D6541C">
        <w:rPr>
          <w:rFonts w:hint="eastAsia"/>
        </w:rPr>
        <w:t>3</w:t>
      </w:r>
      <w:r w:rsidRPr="00D6541C">
        <w:rPr>
          <w:rFonts w:hint="eastAsia"/>
        </w:rPr>
        <w:t>月</w:t>
      </w:r>
      <w:r w:rsidRPr="00D6541C">
        <w:rPr>
          <w:rFonts w:hint="eastAsia"/>
        </w:rPr>
        <w:t>3</w:t>
      </w:r>
      <w:r w:rsidRPr="00D6541C">
        <w:t>1</w:t>
      </w:r>
      <w:r w:rsidRPr="00D6541C">
        <w:rPr>
          <w:rFonts w:hint="eastAsia"/>
        </w:rPr>
        <w:t>日</w:t>
      </w:r>
    </w:p>
    <w:p w:rsidR="006F0915" w:rsidRDefault="006F0915" w:rsidP="00146578">
      <w:pPr>
        <w:pStyle w:val="ab"/>
        <w:numPr>
          <w:ilvl w:val="0"/>
          <w:numId w:val="3"/>
        </w:numPr>
        <w:spacing w:line="360" w:lineRule="auto"/>
        <w:ind w:firstLineChars="0"/>
        <w:outlineLvl w:val="0"/>
        <w:rPr>
          <w:b/>
          <w:szCs w:val="21"/>
        </w:rPr>
      </w:pPr>
      <w:r w:rsidRPr="006F0915">
        <w:rPr>
          <w:rFonts w:hint="eastAsia"/>
          <w:b/>
          <w:szCs w:val="21"/>
        </w:rPr>
        <w:t>优惠活动适用基金</w:t>
      </w:r>
    </w:p>
    <w:p w:rsidR="006F0915" w:rsidRPr="00D6541C" w:rsidRDefault="00D6541C" w:rsidP="006F0915">
      <w:pPr>
        <w:pStyle w:val="ab"/>
        <w:spacing w:line="360" w:lineRule="auto"/>
        <w:ind w:left="450" w:firstLineChars="0" w:firstLine="0"/>
        <w:outlineLvl w:val="0"/>
      </w:pPr>
      <w:r w:rsidRPr="00D6541C">
        <w:rPr>
          <w:rFonts w:hint="eastAsia"/>
        </w:rPr>
        <w:t>天治中国制造</w:t>
      </w:r>
      <w:r w:rsidRPr="00D6541C">
        <w:rPr>
          <w:rFonts w:hint="eastAsia"/>
        </w:rPr>
        <w:t>2</w:t>
      </w:r>
      <w:r w:rsidRPr="00D6541C">
        <w:t>025</w:t>
      </w:r>
      <w:r w:rsidR="00FA31BF" w:rsidRPr="00FA31BF">
        <w:rPr>
          <w:rFonts w:hint="eastAsia"/>
        </w:rPr>
        <w:t>灵活配置混合型证券投资基金</w:t>
      </w:r>
      <w:r w:rsidRPr="00D6541C">
        <w:rPr>
          <w:rFonts w:hint="eastAsia"/>
        </w:rPr>
        <w:t>（产品代码：</w:t>
      </w:r>
      <w:r w:rsidRPr="00D6541C">
        <w:rPr>
          <w:rFonts w:hint="eastAsia"/>
        </w:rPr>
        <w:t>3</w:t>
      </w:r>
      <w:r w:rsidRPr="00D6541C">
        <w:t>50005</w:t>
      </w:r>
      <w:r w:rsidRPr="00D6541C">
        <w:rPr>
          <w:rFonts w:hint="eastAsia"/>
        </w:rPr>
        <w:t>）</w:t>
      </w:r>
    </w:p>
    <w:p w:rsidR="00581804" w:rsidRDefault="005271A5" w:rsidP="00581804">
      <w:pPr>
        <w:pStyle w:val="ab"/>
        <w:numPr>
          <w:ilvl w:val="0"/>
          <w:numId w:val="3"/>
        </w:numPr>
        <w:spacing w:line="360" w:lineRule="auto"/>
        <w:ind w:firstLineChars="0"/>
        <w:outlineLvl w:val="0"/>
        <w:rPr>
          <w:b/>
          <w:szCs w:val="21"/>
        </w:rPr>
      </w:pPr>
      <w:r>
        <w:rPr>
          <w:rFonts w:hint="eastAsia"/>
          <w:b/>
          <w:szCs w:val="21"/>
        </w:rPr>
        <w:t>费率优惠情况</w:t>
      </w:r>
    </w:p>
    <w:p w:rsidR="00581804" w:rsidRDefault="00581804" w:rsidP="00474999">
      <w:pPr>
        <w:pStyle w:val="ab"/>
        <w:spacing w:line="360" w:lineRule="auto"/>
        <w:ind w:left="450" w:firstLineChars="0" w:firstLine="0"/>
        <w:outlineLvl w:val="0"/>
        <w:rPr>
          <w:bCs/>
          <w:szCs w:val="21"/>
        </w:rPr>
      </w:pPr>
      <w:r w:rsidRPr="0092168F">
        <w:rPr>
          <w:rFonts w:hint="eastAsia"/>
          <w:bCs/>
          <w:szCs w:val="21"/>
        </w:rPr>
        <w:t>优惠活动期间，投资者通过国泰君安证券、光大证券、信达证券、泛华普益基金、基煜基金办理基金赎回（不含转换转出）业务时，赎回费享有如下优惠：</w:t>
      </w:r>
    </w:p>
    <w:tbl>
      <w:tblPr>
        <w:tblW w:w="77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451"/>
        <w:gridCol w:w="2609"/>
        <w:gridCol w:w="2737"/>
      </w:tblGrid>
      <w:tr w:rsidR="0049359F" w:rsidRPr="00B31EE5" w:rsidTr="00474999">
        <w:tc>
          <w:tcPr>
            <w:tcW w:w="2451" w:type="dxa"/>
            <w:shd w:val="clear" w:color="auto" w:fill="auto"/>
            <w:tcMar>
              <w:top w:w="0" w:type="dxa"/>
              <w:left w:w="108" w:type="dxa"/>
              <w:bottom w:w="0" w:type="dxa"/>
              <w:right w:w="108" w:type="dxa"/>
            </w:tcMar>
            <w:hideMark/>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hint="eastAsia"/>
                <w:kern w:val="0"/>
                <w:szCs w:val="21"/>
              </w:rPr>
              <w:t>持有期限(N)</w:t>
            </w:r>
          </w:p>
        </w:tc>
        <w:tc>
          <w:tcPr>
            <w:tcW w:w="2609" w:type="dxa"/>
            <w:shd w:val="clear" w:color="auto" w:fill="auto"/>
            <w:tcMar>
              <w:top w:w="0" w:type="dxa"/>
              <w:left w:w="108" w:type="dxa"/>
              <w:bottom w:w="0" w:type="dxa"/>
              <w:right w:w="108" w:type="dxa"/>
            </w:tcMar>
            <w:hideMark/>
          </w:tcPr>
          <w:p w:rsidR="0049359F" w:rsidRPr="00B31EE5" w:rsidRDefault="0049359F" w:rsidP="00AF5987">
            <w:pPr>
              <w:spacing w:before="60" w:after="60" w:line="400" w:lineRule="exact"/>
              <w:ind w:firstLine="420"/>
              <w:rPr>
                <w:rFonts w:ascii="宋体" w:hAnsi="宋体"/>
                <w:kern w:val="0"/>
                <w:szCs w:val="21"/>
              </w:rPr>
            </w:pPr>
            <w:r>
              <w:rPr>
                <w:rFonts w:ascii="宋体" w:hAnsi="宋体" w:hint="eastAsia"/>
                <w:kern w:val="0"/>
                <w:szCs w:val="21"/>
              </w:rPr>
              <w:t>原</w:t>
            </w:r>
            <w:r w:rsidRPr="00B31EE5">
              <w:rPr>
                <w:rFonts w:ascii="宋体" w:hAnsi="宋体" w:hint="eastAsia"/>
                <w:kern w:val="0"/>
                <w:szCs w:val="21"/>
              </w:rPr>
              <w:t>赎回费率</w:t>
            </w:r>
          </w:p>
        </w:tc>
        <w:tc>
          <w:tcPr>
            <w:tcW w:w="2737" w:type="dxa"/>
          </w:tcPr>
          <w:p w:rsidR="0049359F" w:rsidRPr="00B31EE5" w:rsidRDefault="0049359F" w:rsidP="00474999">
            <w:pPr>
              <w:spacing w:before="60" w:after="60" w:line="400" w:lineRule="exact"/>
              <w:ind w:firstLineChars="200" w:firstLine="420"/>
              <w:rPr>
                <w:rFonts w:ascii="宋体" w:hAnsi="宋体"/>
                <w:kern w:val="0"/>
                <w:szCs w:val="21"/>
              </w:rPr>
            </w:pPr>
            <w:r>
              <w:rPr>
                <w:rFonts w:ascii="宋体" w:hAnsi="宋体" w:hint="eastAsia"/>
                <w:kern w:val="0"/>
                <w:szCs w:val="21"/>
              </w:rPr>
              <w:t>折扣后</w:t>
            </w:r>
            <w:r w:rsidRPr="00B31EE5">
              <w:rPr>
                <w:rFonts w:ascii="宋体" w:hAnsi="宋体" w:hint="eastAsia"/>
                <w:kern w:val="0"/>
                <w:szCs w:val="21"/>
              </w:rPr>
              <w:t>赎回费率</w:t>
            </w:r>
          </w:p>
        </w:tc>
      </w:tr>
      <w:tr w:rsidR="0049359F" w:rsidRPr="00B31EE5" w:rsidTr="00474999">
        <w:tc>
          <w:tcPr>
            <w:tcW w:w="2451" w:type="dxa"/>
            <w:shd w:val="clear" w:color="auto" w:fill="auto"/>
            <w:tcMar>
              <w:top w:w="0" w:type="dxa"/>
              <w:left w:w="108" w:type="dxa"/>
              <w:bottom w:w="0" w:type="dxa"/>
              <w:right w:w="108" w:type="dxa"/>
            </w:tcMar>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hint="eastAsia"/>
                <w:kern w:val="0"/>
                <w:szCs w:val="21"/>
              </w:rPr>
              <w:t>N＜7天</w:t>
            </w:r>
          </w:p>
        </w:tc>
        <w:tc>
          <w:tcPr>
            <w:tcW w:w="2609" w:type="dxa"/>
            <w:shd w:val="clear" w:color="auto" w:fill="auto"/>
            <w:tcMar>
              <w:top w:w="0" w:type="dxa"/>
              <w:left w:w="108" w:type="dxa"/>
              <w:bottom w:w="0" w:type="dxa"/>
              <w:right w:w="108" w:type="dxa"/>
            </w:tcMar>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kern w:val="0"/>
                <w:szCs w:val="21"/>
              </w:rPr>
              <w:t>1.50%</w:t>
            </w:r>
          </w:p>
        </w:tc>
        <w:tc>
          <w:tcPr>
            <w:tcW w:w="2737" w:type="dxa"/>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kern w:val="0"/>
                <w:szCs w:val="21"/>
              </w:rPr>
              <w:t>1.50%</w:t>
            </w:r>
          </w:p>
        </w:tc>
      </w:tr>
      <w:tr w:rsidR="0049359F" w:rsidRPr="00B31EE5" w:rsidTr="00474999">
        <w:tc>
          <w:tcPr>
            <w:tcW w:w="2451" w:type="dxa"/>
            <w:shd w:val="clear" w:color="auto" w:fill="auto"/>
            <w:tcMar>
              <w:top w:w="0" w:type="dxa"/>
              <w:left w:w="108" w:type="dxa"/>
              <w:bottom w:w="0" w:type="dxa"/>
              <w:right w:w="108" w:type="dxa"/>
            </w:tcMar>
            <w:hideMark/>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hint="eastAsia"/>
                <w:kern w:val="0"/>
                <w:szCs w:val="21"/>
              </w:rPr>
              <w:t>7天≤N＜1年</w:t>
            </w:r>
          </w:p>
        </w:tc>
        <w:tc>
          <w:tcPr>
            <w:tcW w:w="2609" w:type="dxa"/>
            <w:shd w:val="clear" w:color="auto" w:fill="auto"/>
            <w:tcMar>
              <w:top w:w="0" w:type="dxa"/>
              <w:left w:w="108" w:type="dxa"/>
              <w:bottom w:w="0" w:type="dxa"/>
              <w:right w:w="108" w:type="dxa"/>
            </w:tcMar>
            <w:hideMark/>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kern w:val="0"/>
                <w:szCs w:val="21"/>
              </w:rPr>
              <w:t>0.50%</w:t>
            </w:r>
          </w:p>
        </w:tc>
        <w:tc>
          <w:tcPr>
            <w:tcW w:w="2737" w:type="dxa"/>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kern w:val="0"/>
                <w:szCs w:val="21"/>
              </w:rPr>
              <w:t>0.</w:t>
            </w:r>
            <w:r>
              <w:rPr>
                <w:rFonts w:ascii="宋体" w:hAnsi="宋体"/>
                <w:kern w:val="0"/>
                <w:szCs w:val="21"/>
              </w:rPr>
              <w:t>35</w:t>
            </w:r>
            <w:r w:rsidRPr="00B31EE5">
              <w:rPr>
                <w:rFonts w:ascii="宋体" w:hAnsi="宋体"/>
                <w:kern w:val="0"/>
                <w:szCs w:val="21"/>
              </w:rPr>
              <w:t>%</w:t>
            </w:r>
          </w:p>
        </w:tc>
      </w:tr>
      <w:tr w:rsidR="0049359F" w:rsidRPr="00B31EE5" w:rsidTr="00474999">
        <w:tc>
          <w:tcPr>
            <w:tcW w:w="2451" w:type="dxa"/>
            <w:shd w:val="clear" w:color="auto" w:fill="auto"/>
            <w:tcMar>
              <w:top w:w="0" w:type="dxa"/>
              <w:left w:w="108" w:type="dxa"/>
              <w:bottom w:w="0" w:type="dxa"/>
              <w:right w:w="108" w:type="dxa"/>
            </w:tcMar>
            <w:hideMark/>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hint="eastAsia"/>
                <w:kern w:val="0"/>
                <w:szCs w:val="21"/>
              </w:rPr>
              <w:t>1年≤N＜2年</w:t>
            </w:r>
          </w:p>
        </w:tc>
        <w:tc>
          <w:tcPr>
            <w:tcW w:w="2609" w:type="dxa"/>
            <w:shd w:val="clear" w:color="auto" w:fill="auto"/>
            <w:tcMar>
              <w:top w:w="0" w:type="dxa"/>
              <w:left w:w="108" w:type="dxa"/>
              <w:bottom w:w="0" w:type="dxa"/>
              <w:right w:w="108" w:type="dxa"/>
            </w:tcMar>
            <w:hideMark/>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kern w:val="0"/>
                <w:szCs w:val="21"/>
              </w:rPr>
              <w:t>0.30%</w:t>
            </w:r>
          </w:p>
        </w:tc>
        <w:tc>
          <w:tcPr>
            <w:tcW w:w="2737" w:type="dxa"/>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kern w:val="0"/>
                <w:szCs w:val="21"/>
              </w:rPr>
              <w:t>0.30%</w:t>
            </w:r>
          </w:p>
        </w:tc>
      </w:tr>
      <w:tr w:rsidR="0049359F" w:rsidRPr="00B31EE5" w:rsidTr="00474999">
        <w:tc>
          <w:tcPr>
            <w:tcW w:w="2451" w:type="dxa"/>
            <w:shd w:val="clear" w:color="auto" w:fill="auto"/>
            <w:tcMar>
              <w:top w:w="0" w:type="dxa"/>
              <w:left w:w="108" w:type="dxa"/>
              <w:bottom w:w="0" w:type="dxa"/>
              <w:right w:w="108" w:type="dxa"/>
            </w:tcMar>
            <w:hideMark/>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hint="eastAsia"/>
                <w:kern w:val="0"/>
                <w:szCs w:val="21"/>
              </w:rPr>
              <w:t>N≥2年</w:t>
            </w:r>
          </w:p>
        </w:tc>
        <w:tc>
          <w:tcPr>
            <w:tcW w:w="2609" w:type="dxa"/>
            <w:shd w:val="clear" w:color="auto" w:fill="auto"/>
            <w:tcMar>
              <w:top w:w="0" w:type="dxa"/>
              <w:left w:w="108" w:type="dxa"/>
              <w:bottom w:w="0" w:type="dxa"/>
              <w:right w:w="108" w:type="dxa"/>
            </w:tcMar>
            <w:hideMark/>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kern w:val="0"/>
                <w:szCs w:val="21"/>
              </w:rPr>
              <w:t>0</w:t>
            </w:r>
          </w:p>
        </w:tc>
        <w:tc>
          <w:tcPr>
            <w:tcW w:w="2737" w:type="dxa"/>
          </w:tcPr>
          <w:p w:rsidR="0049359F" w:rsidRPr="00B31EE5" w:rsidRDefault="0049359F" w:rsidP="00AF5987">
            <w:pPr>
              <w:spacing w:before="60" w:after="60" w:line="400" w:lineRule="exact"/>
              <w:ind w:firstLine="420"/>
              <w:rPr>
                <w:rFonts w:ascii="宋体" w:hAnsi="宋体"/>
                <w:kern w:val="0"/>
                <w:szCs w:val="21"/>
              </w:rPr>
            </w:pPr>
            <w:r w:rsidRPr="00B31EE5">
              <w:rPr>
                <w:rFonts w:ascii="宋体" w:hAnsi="宋体"/>
                <w:kern w:val="0"/>
                <w:szCs w:val="21"/>
              </w:rPr>
              <w:t>0</w:t>
            </w:r>
          </w:p>
        </w:tc>
      </w:tr>
    </w:tbl>
    <w:p w:rsidR="006F0915" w:rsidRPr="0092168F" w:rsidRDefault="00581804" w:rsidP="0092168F">
      <w:pPr>
        <w:spacing w:line="360" w:lineRule="auto"/>
        <w:ind w:firstLineChars="200" w:firstLine="420"/>
        <w:outlineLvl w:val="0"/>
        <w:rPr>
          <w:bCs/>
          <w:szCs w:val="21"/>
        </w:rPr>
      </w:pPr>
      <w:r w:rsidRPr="0092168F">
        <w:rPr>
          <w:rFonts w:hint="eastAsia"/>
          <w:bCs/>
          <w:szCs w:val="21"/>
        </w:rPr>
        <w:t>赎回费用由基金份额赎回人承担，本次优惠后的赎回费将满足不低于按原费率计算的赎回</w:t>
      </w:r>
      <w:r w:rsidR="00E82394">
        <w:rPr>
          <w:rFonts w:hint="eastAsia"/>
          <w:bCs/>
          <w:szCs w:val="21"/>
        </w:rPr>
        <w:t>费</w:t>
      </w:r>
      <w:r w:rsidRPr="0092168F">
        <w:rPr>
          <w:rFonts w:hint="eastAsia"/>
          <w:bCs/>
          <w:szCs w:val="21"/>
        </w:rPr>
        <w:t>总额</w:t>
      </w:r>
      <w:r w:rsidR="0092168F" w:rsidRPr="0092168F">
        <w:rPr>
          <w:rFonts w:hint="eastAsia"/>
          <w:bCs/>
          <w:szCs w:val="21"/>
        </w:rPr>
        <w:t>应归入基金资产部分的要求。此次费率优惠不会对基金份额持有人利益造成不利影响。</w:t>
      </w:r>
    </w:p>
    <w:p w:rsidR="004F1B71" w:rsidRDefault="0010334F" w:rsidP="0010334F">
      <w:pPr>
        <w:pStyle w:val="ab"/>
        <w:numPr>
          <w:ilvl w:val="0"/>
          <w:numId w:val="3"/>
        </w:numPr>
        <w:spacing w:line="360" w:lineRule="auto"/>
        <w:ind w:firstLineChars="0"/>
        <w:outlineLvl w:val="0"/>
        <w:rPr>
          <w:b/>
          <w:szCs w:val="21"/>
        </w:rPr>
      </w:pPr>
      <w:r w:rsidRPr="0010334F">
        <w:rPr>
          <w:rFonts w:hint="eastAsia"/>
          <w:b/>
          <w:szCs w:val="21"/>
        </w:rPr>
        <w:t>适用销售</w:t>
      </w:r>
      <w:r w:rsidR="005271A5">
        <w:rPr>
          <w:rFonts w:hint="eastAsia"/>
          <w:b/>
          <w:szCs w:val="21"/>
        </w:rPr>
        <w:t>机构</w:t>
      </w:r>
    </w:p>
    <w:p w:rsidR="005271A5" w:rsidRPr="005271A5" w:rsidRDefault="006A549A" w:rsidP="005271A5">
      <w:pPr>
        <w:pStyle w:val="ab"/>
        <w:spacing w:line="360" w:lineRule="auto"/>
        <w:ind w:left="450" w:firstLineChars="0" w:firstLine="0"/>
        <w:outlineLvl w:val="0"/>
        <w:rPr>
          <w:b/>
          <w:szCs w:val="21"/>
        </w:rPr>
      </w:pPr>
      <w:r>
        <w:rPr>
          <w:rFonts w:hint="eastAsia"/>
        </w:rPr>
        <w:t>国泰君安证券、</w:t>
      </w:r>
      <w:r w:rsidR="00D6541C">
        <w:rPr>
          <w:rFonts w:hint="eastAsia"/>
        </w:rPr>
        <w:t>光大证券、信达证券、</w:t>
      </w:r>
      <w:r w:rsidR="00F967A2">
        <w:rPr>
          <w:rFonts w:hint="eastAsia"/>
        </w:rPr>
        <w:t>泛华普益基金</w:t>
      </w:r>
      <w:r w:rsidR="00D6541C">
        <w:rPr>
          <w:rFonts w:hint="eastAsia"/>
        </w:rPr>
        <w:t>、基煜基金</w:t>
      </w:r>
    </w:p>
    <w:p w:rsidR="0010334F" w:rsidRPr="0010334F" w:rsidRDefault="0010334F" w:rsidP="0010334F">
      <w:pPr>
        <w:pStyle w:val="ab"/>
        <w:numPr>
          <w:ilvl w:val="0"/>
          <w:numId w:val="3"/>
        </w:numPr>
        <w:spacing w:line="360" w:lineRule="auto"/>
        <w:ind w:firstLineChars="0"/>
        <w:outlineLvl w:val="0"/>
        <w:rPr>
          <w:b/>
          <w:szCs w:val="21"/>
        </w:rPr>
      </w:pPr>
      <w:r w:rsidRPr="0010334F">
        <w:rPr>
          <w:rFonts w:hint="eastAsia"/>
          <w:b/>
          <w:szCs w:val="21"/>
        </w:rPr>
        <w:t>重要提示</w:t>
      </w:r>
      <w:r w:rsidRPr="0010334F">
        <w:rPr>
          <w:b/>
          <w:szCs w:val="21"/>
        </w:rPr>
        <w:t xml:space="preserve"> </w:t>
      </w:r>
    </w:p>
    <w:p w:rsidR="0092168F" w:rsidRPr="00454CD4" w:rsidRDefault="00454CD4" w:rsidP="00454CD4">
      <w:pPr>
        <w:spacing w:line="360" w:lineRule="auto"/>
        <w:outlineLvl w:val="0"/>
        <w:rPr>
          <w:bCs/>
          <w:szCs w:val="21"/>
        </w:rPr>
      </w:pPr>
      <w:r>
        <w:rPr>
          <w:rFonts w:hint="eastAsia"/>
          <w:szCs w:val="21"/>
        </w:rPr>
        <w:lastRenderedPageBreak/>
        <w:t>1</w:t>
      </w:r>
      <w:r>
        <w:rPr>
          <w:rFonts w:hint="eastAsia"/>
          <w:szCs w:val="21"/>
        </w:rPr>
        <w:t>、</w:t>
      </w:r>
      <w:r w:rsidR="0092168F" w:rsidRPr="00454CD4">
        <w:rPr>
          <w:rFonts w:hint="eastAsia"/>
          <w:szCs w:val="21"/>
        </w:rPr>
        <w:t>本次优惠活动仅针对上述特定渠道赎回（不含转换转出）本基金的赎回费率进行优惠，且优惠后的赎回费将满足不低于按原费率计算的赎回费总额应归属基金资产部分的要求，此次费率优惠不会对基金份额持有人利益造成不利</w:t>
      </w:r>
      <w:r w:rsidR="0092168F" w:rsidRPr="00454CD4">
        <w:rPr>
          <w:rFonts w:hint="eastAsia"/>
          <w:bCs/>
          <w:szCs w:val="21"/>
        </w:rPr>
        <w:t>影响。</w:t>
      </w:r>
    </w:p>
    <w:p w:rsidR="00454CD4" w:rsidRDefault="00454CD4" w:rsidP="00454CD4">
      <w:pPr>
        <w:spacing w:line="360" w:lineRule="auto"/>
        <w:outlineLvl w:val="0"/>
        <w:rPr>
          <w:bCs/>
          <w:szCs w:val="21"/>
        </w:rPr>
      </w:pPr>
      <w:r>
        <w:rPr>
          <w:rFonts w:hint="eastAsia"/>
          <w:bCs/>
          <w:szCs w:val="21"/>
        </w:rPr>
        <w:t>2</w:t>
      </w:r>
      <w:r>
        <w:rPr>
          <w:rFonts w:hint="eastAsia"/>
          <w:bCs/>
          <w:szCs w:val="21"/>
        </w:rPr>
        <w:t>、</w:t>
      </w:r>
      <w:r w:rsidR="0092168F" w:rsidRPr="00454CD4">
        <w:rPr>
          <w:rFonts w:hint="eastAsia"/>
          <w:bCs/>
          <w:szCs w:val="21"/>
        </w:rPr>
        <w:t>本公告的最终解释权归本公司所有。</w:t>
      </w:r>
    </w:p>
    <w:p w:rsidR="006F0915" w:rsidRPr="00454CD4" w:rsidRDefault="00454CD4" w:rsidP="00454CD4">
      <w:pPr>
        <w:spacing w:line="360" w:lineRule="auto"/>
        <w:outlineLvl w:val="0"/>
        <w:rPr>
          <w:szCs w:val="21"/>
        </w:rPr>
      </w:pPr>
      <w:r>
        <w:rPr>
          <w:rFonts w:hint="eastAsia"/>
          <w:bCs/>
          <w:szCs w:val="21"/>
        </w:rPr>
        <w:t>3</w:t>
      </w:r>
      <w:r>
        <w:rPr>
          <w:rFonts w:hint="eastAsia"/>
          <w:bCs/>
          <w:szCs w:val="21"/>
        </w:rPr>
        <w:t>、</w:t>
      </w:r>
      <w:r w:rsidRPr="00454CD4">
        <w:rPr>
          <w:rFonts w:hint="eastAsia"/>
          <w:bCs/>
          <w:szCs w:val="21"/>
        </w:rPr>
        <w:t>上诉费率优惠活动如有变更，本公司将另行公告。</w:t>
      </w:r>
    </w:p>
    <w:p w:rsidR="005271A5" w:rsidRDefault="00454CD4" w:rsidP="006F0915">
      <w:pPr>
        <w:spacing w:line="360" w:lineRule="auto"/>
        <w:outlineLvl w:val="0"/>
        <w:rPr>
          <w:szCs w:val="21"/>
        </w:rPr>
      </w:pPr>
      <w:r>
        <w:rPr>
          <w:szCs w:val="21"/>
        </w:rPr>
        <w:t>4</w:t>
      </w:r>
      <w:r>
        <w:rPr>
          <w:rFonts w:hint="eastAsia"/>
          <w:szCs w:val="21"/>
        </w:rPr>
        <w:t>、如有疑问，</w:t>
      </w:r>
      <w:r w:rsidR="005271A5" w:rsidRPr="005271A5">
        <w:rPr>
          <w:rFonts w:hint="eastAsia"/>
          <w:szCs w:val="21"/>
        </w:rPr>
        <w:t>投资者可通过以下途径咨询详情：</w:t>
      </w:r>
    </w:p>
    <w:tbl>
      <w:tblPr>
        <w:tblStyle w:val="af"/>
        <w:tblW w:w="0" w:type="auto"/>
        <w:tblLook w:val="04A0"/>
      </w:tblPr>
      <w:tblGrid>
        <w:gridCol w:w="3114"/>
        <w:gridCol w:w="2165"/>
        <w:gridCol w:w="3198"/>
      </w:tblGrid>
      <w:tr w:rsidR="00F967A2" w:rsidTr="00474999">
        <w:tc>
          <w:tcPr>
            <w:tcW w:w="3114" w:type="dxa"/>
          </w:tcPr>
          <w:p w:rsidR="00F967A2" w:rsidRDefault="00F967A2" w:rsidP="006F0915">
            <w:pPr>
              <w:spacing w:line="360" w:lineRule="auto"/>
              <w:outlineLvl w:val="0"/>
              <w:rPr>
                <w:szCs w:val="21"/>
              </w:rPr>
            </w:pPr>
            <w:r>
              <w:rPr>
                <w:rFonts w:hint="eastAsia"/>
                <w:szCs w:val="21"/>
              </w:rPr>
              <w:t>机构名称</w:t>
            </w:r>
          </w:p>
        </w:tc>
        <w:tc>
          <w:tcPr>
            <w:tcW w:w="1984" w:type="dxa"/>
          </w:tcPr>
          <w:p w:rsidR="00F967A2" w:rsidRDefault="00F967A2" w:rsidP="006F0915">
            <w:pPr>
              <w:spacing w:line="360" w:lineRule="auto"/>
              <w:outlineLvl w:val="0"/>
              <w:rPr>
                <w:szCs w:val="21"/>
              </w:rPr>
            </w:pPr>
            <w:r>
              <w:rPr>
                <w:rFonts w:hint="eastAsia"/>
                <w:szCs w:val="21"/>
              </w:rPr>
              <w:t>客服电话</w:t>
            </w:r>
          </w:p>
        </w:tc>
        <w:tc>
          <w:tcPr>
            <w:tcW w:w="3198" w:type="dxa"/>
          </w:tcPr>
          <w:p w:rsidR="00F967A2" w:rsidRDefault="00F967A2" w:rsidP="006F0915">
            <w:pPr>
              <w:spacing w:line="360" w:lineRule="auto"/>
              <w:outlineLvl w:val="0"/>
              <w:rPr>
                <w:szCs w:val="21"/>
              </w:rPr>
            </w:pPr>
            <w:r>
              <w:rPr>
                <w:rFonts w:hint="eastAsia"/>
                <w:szCs w:val="21"/>
              </w:rPr>
              <w:t>网址</w:t>
            </w:r>
          </w:p>
        </w:tc>
      </w:tr>
      <w:tr w:rsidR="005D6BEB" w:rsidTr="00474999">
        <w:tc>
          <w:tcPr>
            <w:tcW w:w="3114" w:type="dxa"/>
          </w:tcPr>
          <w:p w:rsidR="005D6BEB" w:rsidRDefault="005D6BEB" w:rsidP="005D6BEB">
            <w:pPr>
              <w:spacing w:line="360" w:lineRule="auto"/>
              <w:outlineLvl w:val="0"/>
            </w:pPr>
            <w:r>
              <w:rPr>
                <w:rFonts w:hint="eastAsia"/>
              </w:rPr>
              <w:t>天治基金</w:t>
            </w:r>
            <w:r w:rsidR="00DB2687">
              <w:rPr>
                <w:rFonts w:hint="eastAsia"/>
              </w:rPr>
              <w:t>管理有限公司</w:t>
            </w:r>
          </w:p>
        </w:tc>
        <w:tc>
          <w:tcPr>
            <w:tcW w:w="1984" w:type="dxa"/>
          </w:tcPr>
          <w:p w:rsidR="005D6BEB" w:rsidRDefault="005D6BEB" w:rsidP="005D6BEB">
            <w:pPr>
              <w:spacing w:line="360" w:lineRule="auto"/>
              <w:outlineLvl w:val="0"/>
              <w:rPr>
                <w:szCs w:val="21"/>
              </w:rPr>
            </w:pPr>
            <w:r w:rsidRPr="00FA31BF">
              <w:rPr>
                <w:rFonts w:hint="eastAsia"/>
              </w:rPr>
              <w:t>4000984800/60374800</w:t>
            </w:r>
          </w:p>
        </w:tc>
        <w:tc>
          <w:tcPr>
            <w:tcW w:w="3198" w:type="dxa"/>
          </w:tcPr>
          <w:p w:rsidR="005D6BEB" w:rsidRDefault="005D6BEB" w:rsidP="005D6BEB">
            <w:pPr>
              <w:spacing w:line="360" w:lineRule="auto"/>
              <w:outlineLvl w:val="0"/>
              <w:rPr>
                <w:szCs w:val="21"/>
              </w:rPr>
            </w:pPr>
            <w:r w:rsidRPr="00FA31BF">
              <w:rPr>
                <w:rFonts w:hint="eastAsia"/>
              </w:rPr>
              <w:t>www.chinanature.com.cn</w:t>
            </w:r>
          </w:p>
        </w:tc>
      </w:tr>
      <w:tr w:rsidR="005D6BEB" w:rsidTr="00474999">
        <w:tc>
          <w:tcPr>
            <w:tcW w:w="3114" w:type="dxa"/>
          </w:tcPr>
          <w:p w:rsidR="005D6BEB" w:rsidRDefault="005D6BEB" w:rsidP="005D6BEB">
            <w:pPr>
              <w:spacing w:line="360" w:lineRule="auto"/>
              <w:outlineLvl w:val="0"/>
              <w:rPr>
                <w:szCs w:val="21"/>
              </w:rPr>
            </w:pPr>
            <w:r>
              <w:rPr>
                <w:rFonts w:hint="eastAsia"/>
              </w:rPr>
              <w:t>国泰君安证券</w:t>
            </w:r>
            <w:r w:rsidR="00226879">
              <w:t>股份有限公司</w:t>
            </w:r>
          </w:p>
        </w:tc>
        <w:tc>
          <w:tcPr>
            <w:tcW w:w="1984" w:type="dxa"/>
          </w:tcPr>
          <w:p w:rsidR="005D6BEB" w:rsidRPr="00F967A2" w:rsidRDefault="005D6BEB" w:rsidP="005D6BEB">
            <w:pPr>
              <w:spacing w:line="360" w:lineRule="auto"/>
              <w:outlineLvl w:val="0"/>
              <w:rPr>
                <w:szCs w:val="21"/>
              </w:rPr>
            </w:pPr>
            <w:r>
              <w:rPr>
                <w:rFonts w:hint="eastAsia"/>
                <w:szCs w:val="21"/>
              </w:rPr>
              <w:t>9</w:t>
            </w:r>
            <w:r>
              <w:rPr>
                <w:szCs w:val="21"/>
              </w:rPr>
              <w:t>5521</w:t>
            </w:r>
            <w:r>
              <w:rPr>
                <w:rFonts w:hint="eastAsia"/>
                <w:szCs w:val="21"/>
              </w:rPr>
              <w:t>/</w:t>
            </w:r>
            <w:r>
              <w:rPr>
                <w:szCs w:val="21"/>
              </w:rPr>
              <w:t>4008888666</w:t>
            </w:r>
          </w:p>
        </w:tc>
        <w:tc>
          <w:tcPr>
            <w:tcW w:w="3198" w:type="dxa"/>
          </w:tcPr>
          <w:p w:rsidR="005D6BEB" w:rsidRPr="00F967A2" w:rsidRDefault="005D6BEB" w:rsidP="005D6BEB">
            <w:pPr>
              <w:spacing w:line="360" w:lineRule="auto"/>
              <w:outlineLvl w:val="0"/>
              <w:rPr>
                <w:szCs w:val="21"/>
              </w:rPr>
            </w:pPr>
            <w:r>
              <w:rPr>
                <w:rFonts w:hint="eastAsia"/>
                <w:szCs w:val="21"/>
              </w:rPr>
              <w:t>w</w:t>
            </w:r>
            <w:r>
              <w:rPr>
                <w:szCs w:val="21"/>
              </w:rPr>
              <w:t>ww.gtja.com</w:t>
            </w:r>
          </w:p>
        </w:tc>
      </w:tr>
      <w:tr w:rsidR="005D6BEB" w:rsidTr="00474999">
        <w:tc>
          <w:tcPr>
            <w:tcW w:w="3114" w:type="dxa"/>
          </w:tcPr>
          <w:p w:rsidR="005D6BEB" w:rsidRDefault="005D6BEB" w:rsidP="005D6BEB">
            <w:pPr>
              <w:spacing w:line="360" w:lineRule="auto"/>
              <w:outlineLvl w:val="0"/>
              <w:rPr>
                <w:szCs w:val="21"/>
              </w:rPr>
            </w:pPr>
            <w:r>
              <w:rPr>
                <w:rFonts w:hint="eastAsia"/>
              </w:rPr>
              <w:t>光大证券</w:t>
            </w:r>
            <w:r w:rsidR="00226879">
              <w:t>股份有限公司</w:t>
            </w:r>
          </w:p>
        </w:tc>
        <w:tc>
          <w:tcPr>
            <w:tcW w:w="1984" w:type="dxa"/>
          </w:tcPr>
          <w:p w:rsidR="005D6BEB" w:rsidRPr="00F967A2" w:rsidRDefault="005D6BEB" w:rsidP="005D6BEB">
            <w:pPr>
              <w:spacing w:line="360" w:lineRule="auto"/>
              <w:outlineLvl w:val="0"/>
              <w:rPr>
                <w:szCs w:val="21"/>
              </w:rPr>
            </w:pPr>
            <w:r>
              <w:rPr>
                <w:rFonts w:hint="eastAsia"/>
                <w:szCs w:val="21"/>
              </w:rPr>
              <w:t>9</w:t>
            </w:r>
            <w:r>
              <w:rPr>
                <w:szCs w:val="21"/>
              </w:rPr>
              <w:t>5525</w:t>
            </w:r>
          </w:p>
        </w:tc>
        <w:tc>
          <w:tcPr>
            <w:tcW w:w="3198" w:type="dxa"/>
          </w:tcPr>
          <w:p w:rsidR="005D6BEB" w:rsidRPr="00F967A2" w:rsidRDefault="005D6BEB" w:rsidP="005D6BEB">
            <w:pPr>
              <w:spacing w:line="360" w:lineRule="auto"/>
              <w:outlineLvl w:val="0"/>
              <w:rPr>
                <w:szCs w:val="21"/>
              </w:rPr>
            </w:pPr>
            <w:r w:rsidRPr="006A549A">
              <w:rPr>
                <w:szCs w:val="21"/>
              </w:rPr>
              <w:t>www.ebscn.com</w:t>
            </w:r>
          </w:p>
        </w:tc>
      </w:tr>
      <w:tr w:rsidR="005D6BEB" w:rsidTr="00474999">
        <w:tc>
          <w:tcPr>
            <w:tcW w:w="3114" w:type="dxa"/>
          </w:tcPr>
          <w:p w:rsidR="005D6BEB" w:rsidRDefault="005D6BEB" w:rsidP="005D6BEB">
            <w:pPr>
              <w:spacing w:line="360" w:lineRule="auto"/>
              <w:outlineLvl w:val="0"/>
              <w:rPr>
                <w:szCs w:val="21"/>
              </w:rPr>
            </w:pPr>
            <w:r>
              <w:rPr>
                <w:rFonts w:hint="eastAsia"/>
              </w:rPr>
              <w:t>信达证券</w:t>
            </w:r>
            <w:r w:rsidR="00226879">
              <w:t>股份有限公司</w:t>
            </w:r>
          </w:p>
        </w:tc>
        <w:tc>
          <w:tcPr>
            <w:tcW w:w="1984" w:type="dxa"/>
          </w:tcPr>
          <w:p w:rsidR="005D6BEB" w:rsidRPr="00F967A2" w:rsidRDefault="005D6BEB" w:rsidP="005D6BEB">
            <w:pPr>
              <w:spacing w:line="360" w:lineRule="auto"/>
              <w:outlineLvl w:val="0"/>
              <w:rPr>
                <w:szCs w:val="21"/>
              </w:rPr>
            </w:pPr>
            <w:r>
              <w:rPr>
                <w:rFonts w:hint="eastAsia"/>
                <w:szCs w:val="21"/>
              </w:rPr>
              <w:t>9</w:t>
            </w:r>
            <w:r>
              <w:rPr>
                <w:szCs w:val="21"/>
              </w:rPr>
              <w:t>5321</w:t>
            </w:r>
          </w:p>
        </w:tc>
        <w:tc>
          <w:tcPr>
            <w:tcW w:w="3198" w:type="dxa"/>
          </w:tcPr>
          <w:p w:rsidR="005D6BEB" w:rsidRPr="00F967A2" w:rsidRDefault="005D6BEB" w:rsidP="005D6BEB">
            <w:pPr>
              <w:spacing w:line="360" w:lineRule="auto"/>
              <w:outlineLvl w:val="0"/>
              <w:rPr>
                <w:szCs w:val="21"/>
              </w:rPr>
            </w:pPr>
            <w:r>
              <w:rPr>
                <w:rFonts w:hint="eastAsia"/>
                <w:szCs w:val="21"/>
              </w:rPr>
              <w:t>w</w:t>
            </w:r>
            <w:r>
              <w:rPr>
                <w:szCs w:val="21"/>
              </w:rPr>
              <w:t>ww.cindasc.com</w:t>
            </w:r>
          </w:p>
        </w:tc>
      </w:tr>
      <w:tr w:rsidR="005D6BEB" w:rsidTr="00474999">
        <w:tc>
          <w:tcPr>
            <w:tcW w:w="3114" w:type="dxa"/>
          </w:tcPr>
          <w:p w:rsidR="005D6BEB" w:rsidRDefault="005D6BEB" w:rsidP="005D6BEB">
            <w:pPr>
              <w:spacing w:line="360" w:lineRule="auto"/>
              <w:outlineLvl w:val="0"/>
              <w:rPr>
                <w:szCs w:val="21"/>
              </w:rPr>
            </w:pPr>
            <w:r>
              <w:rPr>
                <w:rFonts w:hint="eastAsia"/>
              </w:rPr>
              <w:t>泛华普益基金</w:t>
            </w:r>
            <w:r w:rsidR="00226879">
              <w:t>销售有限公司</w:t>
            </w:r>
          </w:p>
        </w:tc>
        <w:tc>
          <w:tcPr>
            <w:tcW w:w="1984" w:type="dxa"/>
          </w:tcPr>
          <w:p w:rsidR="005D6BEB" w:rsidRPr="00F967A2" w:rsidRDefault="005D6BEB" w:rsidP="005D6BEB">
            <w:pPr>
              <w:spacing w:line="360" w:lineRule="auto"/>
              <w:outlineLvl w:val="0"/>
              <w:rPr>
                <w:szCs w:val="21"/>
              </w:rPr>
            </w:pPr>
            <w:r>
              <w:rPr>
                <w:rFonts w:hint="eastAsia"/>
                <w:szCs w:val="21"/>
              </w:rPr>
              <w:t>4</w:t>
            </w:r>
            <w:r>
              <w:rPr>
                <w:szCs w:val="21"/>
              </w:rPr>
              <w:t>000803388</w:t>
            </w:r>
          </w:p>
        </w:tc>
        <w:tc>
          <w:tcPr>
            <w:tcW w:w="3198" w:type="dxa"/>
          </w:tcPr>
          <w:p w:rsidR="005D6BEB" w:rsidRPr="00F967A2" w:rsidRDefault="005D6BEB" w:rsidP="005D6BEB">
            <w:pPr>
              <w:spacing w:line="360" w:lineRule="auto"/>
              <w:outlineLvl w:val="0"/>
              <w:rPr>
                <w:szCs w:val="21"/>
              </w:rPr>
            </w:pPr>
            <w:r>
              <w:rPr>
                <w:rFonts w:hint="eastAsia"/>
                <w:szCs w:val="21"/>
              </w:rPr>
              <w:t>www</w:t>
            </w:r>
            <w:r>
              <w:rPr>
                <w:szCs w:val="21"/>
              </w:rPr>
              <w:t>.puyiwm.com</w:t>
            </w:r>
          </w:p>
        </w:tc>
      </w:tr>
      <w:tr w:rsidR="005D6BEB" w:rsidTr="00474999">
        <w:tc>
          <w:tcPr>
            <w:tcW w:w="3114" w:type="dxa"/>
          </w:tcPr>
          <w:p w:rsidR="005D6BEB" w:rsidRDefault="00FA1301" w:rsidP="005D6BEB">
            <w:pPr>
              <w:spacing w:line="360" w:lineRule="auto"/>
              <w:outlineLvl w:val="0"/>
              <w:rPr>
                <w:szCs w:val="21"/>
              </w:rPr>
            </w:pPr>
            <w:r>
              <w:rPr>
                <w:rFonts w:hint="eastAsia"/>
              </w:rPr>
              <w:t>上海</w:t>
            </w:r>
            <w:r w:rsidR="005D6BEB">
              <w:rPr>
                <w:rFonts w:hint="eastAsia"/>
              </w:rPr>
              <w:t>基煜基金</w:t>
            </w:r>
            <w:r w:rsidR="00226879">
              <w:t>销售有限公司</w:t>
            </w:r>
          </w:p>
        </w:tc>
        <w:tc>
          <w:tcPr>
            <w:tcW w:w="1984" w:type="dxa"/>
          </w:tcPr>
          <w:p w:rsidR="005D6BEB" w:rsidRDefault="005D6BEB" w:rsidP="005D6BEB">
            <w:pPr>
              <w:spacing w:line="360" w:lineRule="auto"/>
              <w:outlineLvl w:val="0"/>
              <w:rPr>
                <w:szCs w:val="21"/>
              </w:rPr>
            </w:pPr>
            <w:r>
              <w:rPr>
                <w:rFonts w:hint="eastAsia"/>
                <w:szCs w:val="21"/>
              </w:rPr>
              <w:t>4</w:t>
            </w:r>
            <w:r>
              <w:rPr>
                <w:szCs w:val="21"/>
              </w:rPr>
              <w:t>00-820-5369</w:t>
            </w:r>
          </w:p>
        </w:tc>
        <w:tc>
          <w:tcPr>
            <w:tcW w:w="3198" w:type="dxa"/>
          </w:tcPr>
          <w:p w:rsidR="005D6BEB" w:rsidRDefault="005D6BEB" w:rsidP="005D6BEB">
            <w:pPr>
              <w:spacing w:line="360" w:lineRule="auto"/>
              <w:outlineLvl w:val="0"/>
              <w:rPr>
                <w:szCs w:val="21"/>
              </w:rPr>
            </w:pPr>
            <w:r>
              <w:rPr>
                <w:rFonts w:hint="eastAsia"/>
                <w:szCs w:val="21"/>
              </w:rPr>
              <w:t>w</w:t>
            </w:r>
            <w:r>
              <w:rPr>
                <w:szCs w:val="21"/>
              </w:rPr>
              <w:t>ww.jiyufund.com.cn</w:t>
            </w:r>
          </w:p>
        </w:tc>
      </w:tr>
    </w:tbl>
    <w:p w:rsidR="00D6541C" w:rsidRDefault="00D6541C" w:rsidP="006F0915">
      <w:pPr>
        <w:spacing w:line="360" w:lineRule="auto"/>
        <w:outlineLvl w:val="0"/>
        <w:rPr>
          <w:szCs w:val="21"/>
        </w:rPr>
      </w:pPr>
    </w:p>
    <w:p w:rsidR="00454CD4" w:rsidRPr="00B80B54" w:rsidRDefault="00454CD4" w:rsidP="006F0915">
      <w:pPr>
        <w:spacing w:line="360" w:lineRule="auto"/>
        <w:outlineLvl w:val="0"/>
        <w:rPr>
          <w:b/>
          <w:bCs/>
          <w:szCs w:val="21"/>
        </w:rPr>
      </w:pPr>
      <w:r w:rsidRPr="00B80B54">
        <w:rPr>
          <w:rFonts w:hint="eastAsia"/>
          <w:b/>
          <w:bCs/>
          <w:szCs w:val="21"/>
        </w:rPr>
        <w:t>六</w:t>
      </w:r>
      <w:r w:rsidR="005271A5" w:rsidRPr="00B80B54">
        <w:rPr>
          <w:rFonts w:hint="eastAsia"/>
          <w:b/>
          <w:bCs/>
          <w:szCs w:val="21"/>
        </w:rPr>
        <w:t>、</w:t>
      </w:r>
      <w:r w:rsidR="006F0915" w:rsidRPr="00B80B54">
        <w:rPr>
          <w:rFonts w:hint="eastAsia"/>
          <w:b/>
          <w:bCs/>
          <w:szCs w:val="21"/>
        </w:rPr>
        <w:t>风险提示：</w:t>
      </w:r>
    </w:p>
    <w:p w:rsidR="006F0915" w:rsidRDefault="00341079" w:rsidP="00454CD4">
      <w:pPr>
        <w:spacing w:line="360" w:lineRule="auto"/>
        <w:ind w:firstLineChars="200" w:firstLine="420"/>
        <w:outlineLvl w:val="0"/>
        <w:rPr>
          <w:szCs w:val="21"/>
        </w:rPr>
      </w:pPr>
      <w:r w:rsidRPr="00341079">
        <w:rPr>
          <w:rFonts w:hint="eastAsia"/>
          <w:szCs w:val="21"/>
        </w:rPr>
        <w:t>本公司承诺以诚实信用、勤勉尽责的原则管理和运用基金资产，但不保证基金一定盈利，也不保证最低收益。投资者投资基金前应认真阅读基金的《基金合同》、《招募说明书》等法律文件，了解所投资基金的风险收益特征，遵守基金交易规则，并根据自身情况购买与本人风险承受能力相匹配的产品。敬请投资者注意投资风险</w:t>
      </w:r>
      <w:r w:rsidR="006F0915" w:rsidRPr="006F0915">
        <w:rPr>
          <w:rFonts w:hint="eastAsia"/>
          <w:szCs w:val="21"/>
        </w:rPr>
        <w:t>。</w:t>
      </w:r>
    </w:p>
    <w:p w:rsidR="000256CF" w:rsidRPr="00883531" w:rsidRDefault="004F1B71" w:rsidP="004F1B71">
      <w:pPr>
        <w:spacing w:line="360" w:lineRule="auto"/>
        <w:ind w:firstLineChars="200" w:firstLine="420"/>
        <w:rPr>
          <w:szCs w:val="21"/>
        </w:rPr>
      </w:pPr>
      <w:r>
        <w:rPr>
          <w:rFonts w:hint="eastAsia"/>
          <w:szCs w:val="21"/>
        </w:rPr>
        <w:t>特此公告。</w:t>
      </w:r>
      <w:r>
        <w:rPr>
          <w:szCs w:val="21"/>
        </w:rPr>
        <w:t xml:space="preserve"> </w:t>
      </w:r>
      <w:r w:rsidR="000256CF" w:rsidRPr="00883531">
        <w:rPr>
          <w:szCs w:val="21"/>
        </w:rPr>
        <w:t xml:space="preserve"> </w:t>
      </w:r>
    </w:p>
    <w:p w:rsidR="00D15A06" w:rsidRPr="00883531" w:rsidRDefault="00D15A06" w:rsidP="004F1B71">
      <w:pPr>
        <w:spacing w:line="360" w:lineRule="auto"/>
        <w:ind w:firstLineChars="200" w:firstLine="420"/>
        <w:rPr>
          <w:szCs w:val="21"/>
        </w:rPr>
      </w:pPr>
    </w:p>
    <w:p w:rsidR="000256CF" w:rsidRPr="00883531" w:rsidRDefault="000256CF" w:rsidP="000256CF">
      <w:pPr>
        <w:spacing w:line="360" w:lineRule="auto"/>
        <w:ind w:firstLine="420"/>
        <w:jc w:val="right"/>
        <w:rPr>
          <w:szCs w:val="21"/>
        </w:rPr>
      </w:pPr>
      <w:r w:rsidRPr="00883531">
        <w:rPr>
          <w:rFonts w:hint="eastAsia"/>
          <w:szCs w:val="21"/>
        </w:rPr>
        <w:t xml:space="preserve">                                      </w:t>
      </w:r>
      <w:r w:rsidR="002D50B5" w:rsidRPr="00883531">
        <w:rPr>
          <w:rFonts w:hint="eastAsia"/>
          <w:szCs w:val="21"/>
        </w:rPr>
        <w:t xml:space="preserve">        </w:t>
      </w:r>
      <w:r w:rsidR="007A160A">
        <w:rPr>
          <w:rFonts w:hint="eastAsia"/>
          <w:szCs w:val="21"/>
        </w:rPr>
        <w:t>天治</w:t>
      </w:r>
      <w:r w:rsidR="002D50B5" w:rsidRPr="00883531">
        <w:rPr>
          <w:rFonts w:hint="eastAsia"/>
          <w:szCs w:val="21"/>
        </w:rPr>
        <w:t>基金</w:t>
      </w:r>
      <w:r w:rsidRPr="00883531">
        <w:rPr>
          <w:rFonts w:hint="eastAsia"/>
          <w:szCs w:val="21"/>
        </w:rPr>
        <w:t>管理有限公司</w:t>
      </w:r>
    </w:p>
    <w:p w:rsidR="000256CF" w:rsidRPr="00883531" w:rsidRDefault="00146578" w:rsidP="00522B39">
      <w:pPr>
        <w:wordWrap w:val="0"/>
        <w:spacing w:line="360" w:lineRule="auto"/>
        <w:ind w:right="120" w:firstLine="420"/>
        <w:jc w:val="right"/>
        <w:rPr>
          <w:szCs w:val="21"/>
        </w:rPr>
      </w:pPr>
      <w:r>
        <w:rPr>
          <w:rFonts w:hint="eastAsia"/>
          <w:szCs w:val="21"/>
        </w:rPr>
        <w:t>20</w:t>
      </w:r>
      <w:r w:rsidR="006F0915">
        <w:rPr>
          <w:szCs w:val="21"/>
        </w:rPr>
        <w:t>24</w:t>
      </w:r>
      <w:r w:rsidRPr="00883531">
        <w:rPr>
          <w:rFonts w:hint="eastAsia"/>
          <w:szCs w:val="21"/>
        </w:rPr>
        <w:t>年</w:t>
      </w:r>
      <w:r w:rsidR="003F0151">
        <w:rPr>
          <w:szCs w:val="21"/>
        </w:rPr>
        <w:t>2</w:t>
      </w:r>
      <w:r w:rsidRPr="00883531">
        <w:rPr>
          <w:rFonts w:hint="eastAsia"/>
          <w:szCs w:val="21"/>
        </w:rPr>
        <w:t>月</w:t>
      </w:r>
      <w:r w:rsidR="003F0151">
        <w:rPr>
          <w:szCs w:val="21"/>
        </w:rPr>
        <w:t>23</w:t>
      </w:r>
      <w:r w:rsidR="003F0151">
        <w:rPr>
          <w:rFonts w:hint="eastAsia"/>
          <w:szCs w:val="21"/>
        </w:rPr>
        <w:t>日</w:t>
      </w:r>
    </w:p>
    <w:sectPr w:rsidR="000256CF" w:rsidRPr="00883531" w:rsidSect="00FC01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130" w:rsidRDefault="00FC0130" w:rsidP="001A3F22">
      <w:r>
        <w:separator/>
      </w:r>
    </w:p>
  </w:endnote>
  <w:endnote w:type="continuationSeparator" w:id="0">
    <w:p w:rsidR="00FC0130" w:rsidRDefault="00FC0130" w:rsidP="001A3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130" w:rsidRDefault="00FC0130" w:rsidP="001A3F22">
      <w:r>
        <w:separator/>
      </w:r>
    </w:p>
  </w:footnote>
  <w:footnote w:type="continuationSeparator" w:id="0">
    <w:p w:rsidR="00FC0130" w:rsidRDefault="00FC0130" w:rsidP="001A3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C6D"/>
    <w:multiLevelType w:val="hybridMultilevel"/>
    <w:tmpl w:val="4C105DBE"/>
    <w:lvl w:ilvl="0" w:tplc="508C8A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511D8F"/>
    <w:multiLevelType w:val="hybridMultilevel"/>
    <w:tmpl w:val="91028E82"/>
    <w:lvl w:ilvl="0" w:tplc="9BC09458">
      <w:start w:val="1"/>
      <w:numFmt w:val="japaneseCounting"/>
      <w:lvlText w:val="%1、"/>
      <w:lvlJc w:val="left"/>
      <w:pPr>
        <w:ind w:left="450" w:hanging="45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nsid w:val="2CDE7349"/>
    <w:multiLevelType w:val="hybridMultilevel"/>
    <w:tmpl w:val="A6549154"/>
    <w:lvl w:ilvl="0" w:tplc="D22C8F5E">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
    <w:nsid w:val="5F923705"/>
    <w:multiLevelType w:val="hybridMultilevel"/>
    <w:tmpl w:val="1D34CE90"/>
    <w:lvl w:ilvl="0" w:tplc="5176A93E">
      <w:start w:val="1"/>
      <w:numFmt w:val="japaneseCounting"/>
      <w:lvlText w:val="%1、"/>
      <w:lvlJc w:val="left"/>
      <w:pPr>
        <w:ind w:left="450" w:hanging="45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372"/>
    <w:rsid w:val="0000598B"/>
    <w:rsid w:val="000067F8"/>
    <w:rsid w:val="000256CF"/>
    <w:rsid w:val="0003433D"/>
    <w:rsid w:val="0003522C"/>
    <w:rsid w:val="0005692D"/>
    <w:rsid w:val="000830C8"/>
    <w:rsid w:val="00096B16"/>
    <w:rsid w:val="000A3517"/>
    <w:rsid w:val="000E28B4"/>
    <w:rsid w:val="000E578D"/>
    <w:rsid w:val="000F6987"/>
    <w:rsid w:val="0010334F"/>
    <w:rsid w:val="00115CF9"/>
    <w:rsid w:val="00146578"/>
    <w:rsid w:val="001746B4"/>
    <w:rsid w:val="001A3F22"/>
    <w:rsid w:val="001A6513"/>
    <w:rsid w:val="001E4542"/>
    <w:rsid w:val="00201070"/>
    <w:rsid w:val="00207C55"/>
    <w:rsid w:val="002214EE"/>
    <w:rsid w:val="00226879"/>
    <w:rsid w:val="00241E2F"/>
    <w:rsid w:val="00253CB7"/>
    <w:rsid w:val="00254D1D"/>
    <w:rsid w:val="00265A5A"/>
    <w:rsid w:val="00283F37"/>
    <w:rsid w:val="002905B5"/>
    <w:rsid w:val="002911F7"/>
    <w:rsid w:val="0029605D"/>
    <w:rsid w:val="002B6F53"/>
    <w:rsid w:val="002C5531"/>
    <w:rsid w:val="002D4FA2"/>
    <w:rsid w:val="002D50B5"/>
    <w:rsid w:val="002D72B8"/>
    <w:rsid w:val="002E5845"/>
    <w:rsid w:val="002F47E0"/>
    <w:rsid w:val="00322C5F"/>
    <w:rsid w:val="00331C68"/>
    <w:rsid w:val="00341079"/>
    <w:rsid w:val="00341C00"/>
    <w:rsid w:val="00363147"/>
    <w:rsid w:val="0036780A"/>
    <w:rsid w:val="003722BB"/>
    <w:rsid w:val="00396330"/>
    <w:rsid w:val="003A07DF"/>
    <w:rsid w:val="003A54EA"/>
    <w:rsid w:val="003A581B"/>
    <w:rsid w:val="003C14CF"/>
    <w:rsid w:val="003C60A6"/>
    <w:rsid w:val="003D54CF"/>
    <w:rsid w:val="003E0390"/>
    <w:rsid w:val="003F0151"/>
    <w:rsid w:val="00410DAE"/>
    <w:rsid w:val="00422F01"/>
    <w:rsid w:val="00441F56"/>
    <w:rsid w:val="004444F7"/>
    <w:rsid w:val="00454CD4"/>
    <w:rsid w:val="0046363A"/>
    <w:rsid w:val="00464253"/>
    <w:rsid w:val="00474999"/>
    <w:rsid w:val="0049359F"/>
    <w:rsid w:val="00495B6B"/>
    <w:rsid w:val="004A220A"/>
    <w:rsid w:val="004A4CA2"/>
    <w:rsid w:val="004D4767"/>
    <w:rsid w:val="004F1B71"/>
    <w:rsid w:val="004F6C2A"/>
    <w:rsid w:val="00517EB9"/>
    <w:rsid w:val="00522B39"/>
    <w:rsid w:val="005247E0"/>
    <w:rsid w:val="005271A5"/>
    <w:rsid w:val="00547DD1"/>
    <w:rsid w:val="00575C86"/>
    <w:rsid w:val="00581804"/>
    <w:rsid w:val="00591424"/>
    <w:rsid w:val="005D6BEB"/>
    <w:rsid w:val="006038EC"/>
    <w:rsid w:val="00604C20"/>
    <w:rsid w:val="00611C76"/>
    <w:rsid w:val="006131D3"/>
    <w:rsid w:val="006220DA"/>
    <w:rsid w:val="00626277"/>
    <w:rsid w:val="00656006"/>
    <w:rsid w:val="006569CE"/>
    <w:rsid w:val="00681691"/>
    <w:rsid w:val="006A549A"/>
    <w:rsid w:val="006C19CB"/>
    <w:rsid w:val="006E03DB"/>
    <w:rsid w:val="006F0915"/>
    <w:rsid w:val="006F1111"/>
    <w:rsid w:val="0071156B"/>
    <w:rsid w:val="00724711"/>
    <w:rsid w:val="0072562E"/>
    <w:rsid w:val="0076564A"/>
    <w:rsid w:val="00776891"/>
    <w:rsid w:val="007A160A"/>
    <w:rsid w:val="007A3152"/>
    <w:rsid w:val="007A5B9D"/>
    <w:rsid w:val="007C0884"/>
    <w:rsid w:val="007D0203"/>
    <w:rsid w:val="007D2BDE"/>
    <w:rsid w:val="007D4F28"/>
    <w:rsid w:val="007E30E1"/>
    <w:rsid w:val="00803132"/>
    <w:rsid w:val="0080645A"/>
    <w:rsid w:val="008268F5"/>
    <w:rsid w:val="0083560B"/>
    <w:rsid w:val="00864D13"/>
    <w:rsid w:val="00866583"/>
    <w:rsid w:val="008754C4"/>
    <w:rsid w:val="0087569C"/>
    <w:rsid w:val="00883531"/>
    <w:rsid w:val="008A0031"/>
    <w:rsid w:val="008A4BE3"/>
    <w:rsid w:val="008B6999"/>
    <w:rsid w:val="008B7271"/>
    <w:rsid w:val="008D69FB"/>
    <w:rsid w:val="008F456D"/>
    <w:rsid w:val="008F753B"/>
    <w:rsid w:val="009106A3"/>
    <w:rsid w:val="0092168F"/>
    <w:rsid w:val="00953169"/>
    <w:rsid w:val="00962C6B"/>
    <w:rsid w:val="00972699"/>
    <w:rsid w:val="0097764B"/>
    <w:rsid w:val="009A405E"/>
    <w:rsid w:val="009B6CA5"/>
    <w:rsid w:val="009C1E4C"/>
    <w:rsid w:val="009C4FC6"/>
    <w:rsid w:val="009D6991"/>
    <w:rsid w:val="009E40FA"/>
    <w:rsid w:val="009F0C41"/>
    <w:rsid w:val="00A24F41"/>
    <w:rsid w:val="00A301D7"/>
    <w:rsid w:val="00A82281"/>
    <w:rsid w:val="00A83E58"/>
    <w:rsid w:val="00A87343"/>
    <w:rsid w:val="00A97DC7"/>
    <w:rsid w:val="00AA62AF"/>
    <w:rsid w:val="00AB042C"/>
    <w:rsid w:val="00AC20AC"/>
    <w:rsid w:val="00AD17E7"/>
    <w:rsid w:val="00AF31EF"/>
    <w:rsid w:val="00AF5987"/>
    <w:rsid w:val="00B13AB1"/>
    <w:rsid w:val="00B53044"/>
    <w:rsid w:val="00B54551"/>
    <w:rsid w:val="00B63206"/>
    <w:rsid w:val="00B80B54"/>
    <w:rsid w:val="00B97B5C"/>
    <w:rsid w:val="00B97DA3"/>
    <w:rsid w:val="00BB4813"/>
    <w:rsid w:val="00BD4262"/>
    <w:rsid w:val="00BD639E"/>
    <w:rsid w:val="00C15966"/>
    <w:rsid w:val="00C21878"/>
    <w:rsid w:val="00C2546B"/>
    <w:rsid w:val="00C25697"/>
    <w:rsid w:val="00C40E26"/>
    <w:rsid w:val="00C53F1D"/>
    <w:rsid w:val="00C72BB8"/>
    <w:rsid w:val="00C73DAA"/>
    <w:rsid w:val="00C751BD"/>
    <w:rsid w:val="00CA381C"/>
    <w:rsid w:val="00CD2BD5"/>
    <w:rsid w:val="00CD3CF2"/>
    <w:rsid w:val="00CF71CA"/>
    <w:rsid w:val="00D15A06"/>
    <w:rsid w:val="00D2268F"/>
    <w:rsid w:val="00D335C8"/>
    <w:rsid w:val="00D37064"/>
    <w:rsid w:val="00D43E5C"/>
    <w:rsid w:val="00D44371"/>
    <w:rsid w:val="00D50E88"/>
    <w:rsid w:val="00D6541C"/>
    <w:rsid w:val="00D76529"/>
    <w:rsid w:val="00D872BA"/>
    <w:rsid w:val="00DB0E82"/>
    <w:rsid w:val="00DB2687"/>
    <w:rsid w:val="00DF4B9C"/>
    <w:rsid w:val="00E13FC4"/>
    <w:rsid w:val="00E16A3B"/>
    <w:rsid w:val="00E465F8"/>
    <w:rsid w:val="00E82394"/>
    <w:rsid w:val="00E83FB6"/>
    <w:rsid w:val="00E87677"/>
    <w:rsid w:val="00ED6A5C"/>
    <w:rsid w:val="00EE5514"/>
    <w:rsid w:val="00F005DD"/>
    <w:rsid w:val="00F007AE"/>
    <w:rsid w:val="00F15372"/>
    <w:rsid w:val="00F2083B"/>
    <w:rsid w:val="00F26037"/>
    <w:rsid w:val="00F31E85"/>
    <w:rsid w:val="00F44F1D"/>
    <w:rsid w:val="00F514A0"/>
    <w:rsid w:val="00F76AA0"/>
    <w:rsid w:val="00F92209"/>
    <w:rsid w:val="00F9306B"/>
    <w:rsid w:val="00F967A2"/>
    <w:rsid w:val="00FA1301"/>
    <w:rsid w:val="00FA31BF"/>
    <w:rsid w:val="00FB13C4"/>
    <w:rsid w:val="00FB1FA2"/>
    <w:rsid w:val="00FC0130"/>
    <w:rsid w:val="00FC2CD9"/>
    <w:rsid w:val="00FD0C3B"/>
    <w:rsid w:val="00FE6F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56CF"/>
    <w:rPr>
      <w:color w:val="0000FF"/>
      <w:u w:val="single"/>
    </w:rPr>
  </w:style>
  <w:style w:type="paragraph" w:styleId="a4">
    <w:name w:val="header"/>
    <w:basedOn w:val="a"/>
    <w:link w:val="Char"/>
    <w:rsid w:val="001A3F2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1A3F22"/>
    <w:rPr>
      <w:kern w:val="2"/>
      <w:sz w:val="18"/>
      <w:szCs w:val="18"/>
    </w:rPr>
  </w:style>
  <w:style w:type="paragraph" w:styleId="a5">
    <w:name w:val="footer"/>
    <w:basedOn w:val="a"/>
    <w:link w:val="Char0"/>
    <w:rsid w:val="001A3F22"/>
    <w:pPr>
      <w:tabs>
        <w:tab w:val="center" w:pos="4153"/>
        <w:tab w:val="right" w:pos="8306"/>
      </w:tabs>
      <w:snapToGrid w:val="0"/>
      <w:jc w:val="left"/>
    </w:pPr>
    <w:rPr>
      <w:sz w:val="18"/>
      <w:szCs w:val="18"/>
    </w:rPr>
  </w:style>
  <w:style w:type="character" w:customStyle="1" w:styleId="Char0">
    <w:name w:val="页脚 Char"/>
    <w:link w:val="a5"/>
    <w:rsid w:val="001A3F22"/>
    <w:rPr>
      <w:kern w:val="2"/>
      <w:sz w:val="18"/>
      <w:szCs w:val="18"/>
    </w:rPr>
  </w:style>
  <w:style w:type="character" w:customStyle="1" w:styleId="hui14-x1">
    <w:name w:val="hui14-x1"/>
    <w:rsid w:val="0076564A"/>
    <w:rPr>
      <w:rFonts w:ascii="ˎ̥" w:hAnsi="ˎ̥" w:hint="default"/>
      <w:strike w:val="0"/>
      <w:dstrike w:val="0"/>
      <w:color w:val="333333"/>
      <w:sz w:val="21"/>
      <w:szCs w:val="21"/>
      <w:u w:val="none"/>
      <w:effect w:val="none"/>
    </w:rPr>
  </w:style>
  <w:style w:type="paragraph" w:styleId="a6">
    <w:name w:val="Balloon Text"/>
    <w:basedOn w:val="a"/>
    <w:link w:val="Char1"/>
    <w:rsid w:val="00626277"/>
    <w:rPr>
      <w:sz w:val="18"/>
      <w:szCs w:val="18"/>
    </w:rPr>
  </w:style>
  <w:style w:type="character" w:customStyle="1" w:styleId="Char1">
    <w:name w:val="批注框文本 Char"/>
    <w:link w:val="a6"/>
    <w:rsid w:val="00626277"/>
    <w:rPr>
      <w:kern w:val="2"/>
      <w:sz w:val="18"/>
      <w:szCs w:val="18"/>
    </w:rPr>
  </w:style>
  <w:style w:type="paragraph" w:styleId="a7">
    <w:name w:val="Body Text"/>
    <w:basedOn w:val="a"/>
    <w:link w:val="Char2"/>
    <w:rsid w:val="003C14CF"/>
    <w:rPr>
      <w:rFonts w:eastAsia="仿宋_GB2312"/>
      <w:sz w:val="36"/>
    </w:rPr>
  </w:style>
  <w:style w:type="character" w:customStyle="1" w:styleId="Char2">
    <w:name w:val="正文文本 Char"/>
    <w:basedOn w:val="a0"/>
    <w:link w:val="a7"/>
    <w:rsid w:val="003C14CF"/>
    <w:rPr>
      <w:rFonts w:eastAsia="仿宋_GB2312"/>
      <w:kern w:val="2"/>
      <w:sz w:val="36"/>
      <w:szCs w:val="24"/>
    </w:rPr>
  </w:style>
  <w:style w:type="paragraph" w:customStyle="1" w:styleId="Default">
    <w:name w:val="Default"/>
    <w:rsid w:val="00A24F41"/>
    <w:pPr>
      <w:widowControl w:val="0"/>
      <w:autoSpaceDE w:val="0"/>
      <w:autoSpaceDN w:val="0"/>
      <w:adjustRightInd w:val="0"/>
    </w:pPr>
    <w:rPr>
      <w:rFonts w:ascii="宋体" w:cs="宋体"/>
      <w:color w:val="000000"/>
      <w:sz w:val="24"/>
      <w:szCs w:val="24"/>
    </w:rPr>
  </w:style>
  <w:style w:type="character" w:styleId="a8">
    <w:name w:val="Placeholder Text"/>
    <w:basedOn w:val="a0"/>
    <w:uiPriority w:val="99"/>
    <w:semiHidden/>
    <w:rsid w:val="00A24F41"/>
    <w:rPr>
      <w:color w:val="808080"/>
    </w:rPr>
  </w:style>
  <w:style w:type="paragraph" w:styleId="a9">
    <w:name w:val="Normal (Web)"/>
    <w:basedOn w:val="a"/>
    <w:uiPriority w:val="99"/>
    <w:unhideWhenUsed/>
    <w:rsid w:val="0000598B"/>
    <w:pPr>
      <w:widowControl/>
      <w:spacing w:before="100" w:beforeAutospacing="1" w:after="100" w:afterAutospacing="1"/>
      <w:jc w:val="left"/>
    </w:pPr>
    <w:rPr>
      <w:rFonts w:ascii="宋体" w:hAnsi="宋体" w:cs="宋体"/>
      <w:kern w:val="0"/>
      <w:sz w:val="24"/>
    </w:rPr>
  </w:style>
  <w:style w:type="paragraph" w:styleId="aa">
    <w:name w:val="Document Map"/>
    <w:basedOn w:val="a"/>
    <w:link w:val="Char3"/>
    <w:rsid w:val="00146578"/>
    <w:rPr>
      <w:rFonts w:ascii="宋体"/>
      <w:sz w:val="18"/>
      <w:szCs w:val="18"/>
    </w:rPr>
  </w:style>
  <w:style w:type="character" w:customStyle="1" w:styleId="Char3">
    <w:name w:val="文档结构图 Char"/>
    <w:basedOn w:val="a0"/>
    <w:link w:val="aa"/>
    <w:rsid w:val="00146578"/>
    <w:rPr>
      <w:rFonts w:ascii="宋体"/>
      <w:kern w:val="2"/>
      <w:sz w:val="18"/>
      <w:szCs w:val="18"/>
    </w:rPr>
  </w:style>
  <w:style w:type="paragraph" w:styleId="ab">
    <w:name w:val="List Paragraph"/>
    <w:basedOn w:val="a"/>
    <w:uiPriority w:val="34"/>
    <w:qFormat/>
    <w:rsid w:val="008B6999"/>
    <w:pPr>
      <w:ind w:firstLineChars="200" w:firstLine="420"/>
    </w:pPr>
  </w:style>
  <w:style w:type="character" w:styleId="ac">
    <w:name w:val="annotation reference"/>
    <w:basedOn w:val="a0"/>
    <w:rsid w:val="00341079"/>
    <w:rPr>
      <w:sz w:val="21"/>
      <w:szCs w:val="21"/>
    </w:rPr>
  </w:style>
  <w:style w:type="paragraph" w:styleId="ad">
    <w:name w:val="annotation text"/>
    <w:basedOn w:val="a"/>
    <w:link w:val="Char4"/>
    <w:rsid w:val="00341079"/>
    <w:pPr>
      <w:jc w:val="left"/>
    </w:pPr>
  </w:style>
  <w:style w:type="character" w:customStyle="1" w:styleId="Char4">
    <w:name w:val="批注文字 Char"/>
    <w:basedOn w:val="a0"/>
    <w:link w:val="ad"/>
    <w:rsid w:val="00341079"/>
    <w:rPr>
      <w:kern w:val="2"/>
      <w:sz w:val="21"/>
      <w:szCs w:val="24"/>
    </w:rPr>
  </w:style>
  <w:style w:type="paragraph" w:styleId="ae">
    <w:name w:val="annotation subject"/>
    <w:basedOn w:val="ad"/>
    <w:next w:val="ad"/>
    <w:link w:val="Char5"/>
    <w:rsid w:val="00341079"/>
    <w:rPr>
      <w:b/>
      <w:bCs/>
    </w:rPr>
  </w:style>
  <w:style w:type="character" w:customStyle="1" w:styleId="Char5">
    <w:name w:val="批注主题 Char"/>
    <w:basedOn w:val="Char4"/>
    <w:link w:val="ae"/>
    <w:rsid w:val="00341079"/>
    <w:rPr>
      <w:b/>
      <w:bCs/>
      <w:kern w:val="2"/>
      <w:sz w:val="21"/>
      <w:szCs w:val="24"/>
    </w:rPr>
  </w:style>
  <w:style w:type="table" w:styleId="af">
    <w:name w:val="Table Grid"/>
    <w:basedOn w:val="a1"/>
    <w:rsid w:val="00D6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71156B"/>
    <w:rPr>
      <w:kern w:val="2"/>
      <w:sz w:val="21"/>
      <w:szCs w:val="24"/>
    </w:rPr>
  </w:style>
</w:styles>
</file>

<file path=word/webSettings.xml><?xml version="1.0" encoding="utf-8"?>
<w:webSettings xmlns:r="http://schemas.openxmlformats.org/officeDocument/2006/relationships" xmlns:w="http://schemas.openxmlformats.org/wordprocessingml/2006/main">
  <w:divs>
    <w:div w:id="143737907">
      <w:bodyDiv w:val="1"/>
      <w:marLeft w:val="0"/>
      <w:marRight w:val="0"/>
      <w:marTop w:val="0"/>
      <w:marBottom w:val="0"/>
      <w:divBdr>
        <w:top w:val="none" w:sz="0" w:space="0" w:color="auto"/>
        <w:left w:val="none" w:sz="0" w:space="0" w:color="auto"/>
        <w:bottom w:val="none" w:sz="0" w:space="0" w:color="auto"/>
        <w:right w:val="none" w:sz="0" w:space="0" w:color="auto"/>
      </w:divBdr>
    </w:div>
    <w:div w:id="492455329">
      <w:bodyDiv w:val="1"/>
      <w:marLeft w:val="0"/>
      <w:marRight w:val="0"/>
      <w:marTop w:val="0"/>
      <w:marBottom w:val="0"/>
      <w:divBdr>
        <w:top w:val="none" w:sz="0" w:space="0" w:color="auto"/>
        <w:left w:val="none" w:sz="0" w:space="0" w:color="auto"/>
        <w:bottom w:val="none" w:sz="0" w:space="0" w:color="auto"/>
        <w:right w:val="none" w:sz="0" w:space="0" w:color="auto"/>
      </w:divBdr>
    </w:div>
    <w:div w:id="720902063">
      <w:bodyDiv w:val="1"/>
      <w:marLeft w:val="0"/>
      <w:marRight w:val="0"/>
      <w:marTop w:val="0"/>
      <w:marBottom w:val="0"/>
      <w:divBdr>
        <w:top w:val="none" w:sz="0" w:space="0" w:color="auto"/>
        <w:left w:val="none" w:sz="0" w:space="0" w:color="auto"/>
        <w:bottom w:val="none" w:sz="0" w:space="0" w:color="auto"/>
        <w:right w:val="none" w:sz="0" w:space="0" w:color="auto"/>
      </w:divBdr>
    </w:div>
    <w:div w:id="860243888">
      <w:bodyDiv w:val="1"/>
      <w:marLeft w:val="0"/>
      <w:marRight w:val="0"/>
      <w:marTop w:val="0"/>
      <w:marBottom w:val="0"/>
      <w:divBdr>
        <w:top w:val="none" w:sz="0" w:space="0" w:color="auto"/>
        <w:left w:val="none" w:sz="0" w:space="0" w:color="auto"/>
        <w:bottom w:val="none" w:sz="0" w:space="0" w:color="auto"/>
        <w:right w:val="none" w:sz="0" w:space="0" w:color="auto"/>
      </w:divBdr>
    </w:div>
    <w:div w:id="1003320887">
      <w:bodyDiv w:val="1"/>
      <w:marLeft w:val="0"/>
      <w:marRight w:val="0"/>
      <w:marTop w:val="0"/>
      <w:marBottom w:val="0"/>
      <w:divBdr>
        <w:top w:val="none" w:sz="0" w:space="0" w:color="auto"/>
        <w:left w:val="none" w:sz="0" w:space="0" w:color="auto"/>
        <w:bottom w:val="none" w:sz="0" w:space="0" w:color="auto"/>
        <w:right w:val="none" w:sz="0" w:space="0" w:color="auto"/>
      </w:divBdr>
    </w:div>
    <w:div w:id="1192650395">
      <w:bodyDiv w:val="1"/>
      <w:marLeft w:val="0"/>
      <w:marRight w:val="0"/>
      <w:marTop w:val="0"/>
      <w:marBottom w:val="0"/>
      <w:divBdr>
        <w:top w:val="none" w:sz="0" w:space="0" w:color="auto"/>
        <w:left w:val="none" w:sz="0" w:space="0" w:color="auto"/>
        <w:bottom w:val="none" w:sz="0" w:space="0" w:color="auto"/>
        <w:right w:val="none" w:sz="0" w:space="0" w:color="auto"/>
      </w:divBdr>
    </w:div>
    <w:div w:id="1271208905">
      <w:bodyDiv w:val="1"/>
      <w:marLeft w:val="0"/>
      <w:marRight w:val="0"/>
      <w:marTop w:val="0"/>
      <w:marBottom w:val="0"/>
      <w:divBdr>
        <w:top w:val="none" w:sz="0" w:space="0" w:color="auto"/>
        <w:left w:val="none" w:sz="0" w:space="0" w:color="auto"/>
        <w:bottom w:val="none" w:sz="0" w:space="0" w:color="auto"/>
        <w:right w:val="none" w:sz="0" w:space="0" w:color="auto"/>
      </w:divBdr>
    </w:div>
    <w:div w:id="1838109562">
      <w:bodyDiv w:val="1"/>
      <w:marLeft w:val="0"/>
      <w:marRight w:val="0"/>
      <w:marTop w:val="0"/>
      <w:marBottom w:val="0"/>
      <w:divBdr>
        <w:top w:val="none" w:sz="0" w:space="0" w:color="auto"/>
        <w:left w:val="none" w:sz="0" w:space="0" w:color="auto"/>
        <w:bottom w:val="none" w:sz="0" w:space="0" w:color="auto"/>
        <w:right w:val="none" w:sz="0" w:space="0" w:color="auto"/>
      </w:divBdr>
    </w:div>
    <w:div w:id="20423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30D5-F37C-4406-B257-7EB7E039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4</DocSecurity>
  <Lines>9</Lines>
  <Paragraphs>2</Paragraphs>
  <ScaleCrop>false</ScaleCrop>
  <Company>csjj</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sunjing</dc:creator>
  <cp:lastModifiedBy>ZHONGM</cp:lastModifiedBy>
  <cp:revision>2</cp:revision>
  <cp:lastPrinted>2024-02-21T06:24:00Z</cp:lastPrinted>
  <dcterms:created xsi:type="dcterms:W3CDTF">2024-02-22T16:01:00Z</dcterms:created>
  <dcterms:modified xsi:type="dcterms:W3CDTF">2024-02-22T16:01:00Z</dcterms:modified>
</cp:coreProperties>
</file>