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bookmarkStart w:id="0" w:name="_GoBack"/>
      <w:bookmarkEnd w:id="0"/>
      <w:r w:rsidRPr="005901D5">
        <w:rPr>
          <w:rFonts w:hint="eastAsia"/>
          <w:b/>
          <w:bCs/>
          <w:sz w:val="28"/>
        </w:rPr>
        <w:t>金鹰基金管理有限公司旗下部分基金新增</w:t>
      </w:r>
      <w:r w:rsidR="005C0E53">
        <w:rPr>
          <w:rFonts w:hint="eastAsia"/>
          <w:b/>
          <w:bCs/>
          <w:sz w:val="28"/>
        </w:rPr>
        <w:t>上海华夏财富投资管理有限公司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5C0E53">
        <w:rPr>
          <w:rFonts w:hint="eastAsia"/>
        </w:rPr>
        <w:t>上海华夏财富投资管理有限公司</w:t>
      </w:r>
      <w:r w:rsidR="00163302" w:rsidRPr="00FE28BD">
        <w:rPr>
          <w:rFonts w:hint="eastAsia"/>
        </w:rPr>
        <w:t>（以下简称“</w:t>
      </w:r>
      <w:r w:rsidR="005C0E53">
        <w:rPr>
          <w:rFonts w:hint="eastAsia"/>
        </w:rPr>
        <w:t>华夏财富</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142C3E">
        <w:rPr>
          <w:rFonts w:cs="Calibri"/>
        </w:rPr>
        <w:t>2</w:t>
      </w:r>
      <w:r w:rsidRPr="009877A4">
        <w:rPr>
          <w:rFonts w:cs="Calibri" w:hint="eastAsia"/>
        </w:rPr>
        <w:t>月</w:t>
      </w:r>
      <w:r w:rsidR="00B07FE4">
        <w:rPr>
          <w:rFonts w:cs="Calibri"/>
        </w:rPr>
        <w:t>2</w:t>
      </w:r>
      <w:r w:rsidR="00BF633F">
        <w:rPr>
          <w:rFonts w:cs="Calibri"/>
        </w:rPr>
        <w:t>3</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5C0E53">
        <w:rPr>
          <w:rFonts w:asciiTheme="minorEastAsia" w:hAnsiTheme="minorEastAsia" w:cs="Calibri" w:hint="eastAsia"/>
        </w:rPr>
        <w:t>华夏财富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8359" w:type="dxa"/>
        <w:tblLook w:val="04A0"/>
      </w:tblPr>
      <w:tblGrid>
        <w:gridCol w:w="1526"/>
        <w:gridCol w:w="6833"/>
      </w:tblGrid>
      <w:tr w:rsidR="00CA62D2" w:rsidRPr="004636F5" w:rsidTr="00AB43D3">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833"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015640</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金鹰产业整合灵活配置混合型证券投资基金C类份额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018057</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金鹰行业优势混合型证券投资基金C类份额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018547</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金鹰产业智选一年持有期混合型证券投资基金A类份额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018548</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金鹰产业智选一年持有期混合型证券投资基金C类份额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020217</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金鹰多元策略灵活配置混合型证券投资基金C类份额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015931</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金鹰恒润债券型发起式证券投资基金A类份额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015932</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金鹰恒润债券型发起式证券投资基金C类份额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014761</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金鹰民稳混合型证券投资基金A类份额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014762</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金鹰民稳混合型证券投资基金C类份额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015549</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金鹰品质消费混合型发起式证券投资基金A类份额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015550</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金鹰品质消费混合型发起式证券投资基金C类份额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012905</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金鹰睿选成长六个月持有期混合型证券投资基金A类份额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012906</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金鹰睿选成长六个月持有期混合型证券投资基金C类份额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015293</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金鹰时代领航一年持有期混合型证券投资基金A类份额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015294</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金鹰时代领航一年持有期混合型证券投资基金C类份额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015984</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金鹰碳中和混合型发起式证券投资基金A类份额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015985</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金鹰碳中和混合型发起式证券投资基金C类份额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lastRenderedPageBreak/>
              <w:t>018642</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金鹰添福纯债债券型证券投资基金A类份额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018643</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金鹰添福纯债债券型证券投资基金C类份额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016923</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金鹰添兴一年定期开放债券型发起式证券投资基金</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016088</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金鹰添悦60天滚动持有短债债券型证券投资基金A类份额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016089</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金鹰添悦60天滚动持有短债债券型证券投资基金C类份额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014513</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金鹰远见优选混合型证券投资基金A类份额</w:t>
            </w:r>
          </w:p>
        </w:tc>
      </w:tr>
      <w:tr w:rsidR="00BF633F" w:rsidRPr="004636F5" w:rsidTr="00AB43D3">
        <w:trPr>
          <w:trHeight w:val="330"/>
        </w:trPr>
        <w:tc>
          <w:tcPr>
            <w:tcW w:w="1526" w:type="dxa"/>
            <w:noWrap/>
            <w:vAlign w:val="center"/>
          </w:tcPr>
          <w:p w:rsidR="00BF633F" w:rsidRDefault="00BF633F" w:rsidP="00BF633F">
            <w:pPr>
              <w:pStyle w:val="a7"/>
              <w:spacing w:line="360" w:lineRule="auto"/>
              <w:ind w:firstLine="420"/>
              <w:rPr>
                <w:color w:val="000000"/>
              </w:rPr>
            </w:pPr>
            <w:r>
              <w:rPr>
                <w:rFonts w:hint="eastAsia"/>
                <w:color w:val="000000"/>
              </w:rPr>
              <w:t>014514</w:t>
            </w:r>
          </w:p>
        </w:tc>
        <w:tc>
          <w:tcPr>
            <w:tcW w:w="6833" w:type="dxa"/>
            <w:noWrap/>
            <w:vAlign w:val="center"/>
          </w:tcPr>
          <w:p w:rsidR="00BF633F" w:rsidRDefault="00BF633F" w:rsidP="00BF633F">
            <w:pPr>
              <w:pStyle w:val="a7"/>
              <w:spacing w:line="360" w:lineRule="auto"/>
              <w:ind w:firstLine="420"/>
              <w:rPr>
                <w:color w:val="000000"/>
              </w:rPr>
            </w:pPr>
            <w:r>
              <w:rPr>
                <w:rFonts w:hint="eastAsia"/>
                <w:color w:val="000000"/>
              </w:rPr>
              <w:t>金鹰远见优选混合型证券投资基金C类份额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5C0E53">
        <w:rPr>
          <w:rFonts w:asciiTheme="minorEastAsia" w:eastAsiaTheme="minorEastAsia" w:hAnsiTheme="minorEastAsia" w:cstheme="minorEastAsia" w:hint="eastAsia"/>
          <w:color w:val="000000" w:themeColor="text1"/>
        </w:rPr>
        <w:t>华夏财富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EB3950"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00EB3950" w:rsidRPr="00EB3950">
        <w:rPr>
          <w:rFonts w:asciiTheme="minorEastAsia" w:eastAsiaTheme="minorEastAsia" w:hAnsiTheme="minorEastAsia" w:cstheme="minorEastAsia" w:hint="eastAsia"/>
          <w:color w:val="000000" w:themeColor="text1"/>
        </w:rPr>
        <w:t>目前，金鹰添兴一年定期开放债券型发起式证券投资基金仍处于封闭期，暂不开放申购、赎回、转换等业务，开放申购、赎回、转换等业务的时间另行公告。</w:t>
      </w:r>
    </w:p>
    <w:p w:rsidR="0028120E" w:rsidRDefault="00B60ABB"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B60AB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B60ABB"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、本基金管理人旗下基金在</w:t>
      </w:r>
      <w:r w:rsidR="005C0E53">
        <w:rPr>
          <w:rFonts w:asciiTheme="minorEastAsia" w:eastAsiaTheme="minorEastAsia" w:hAnsiTheme="minorEastAsia" w:cstheme="minorEastAsia" w:hint="eastAsia"/>
          <w:color w:val="000000" w:themeColor="text1"/>
        </w:rPr>
        <w:t>华夏财富</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5C0E53">
        <w:rPr>
          <w:rFonts w:asciiTheme="minorEastAsia" w:eastAsiaTheme="minorEastAsia" w:hAnsiTheme="minorEastAsia" w:cstheme="minorEastAsia" w:hint="eastAsia"/>
          <w:color w:val="000000" w:themeColor="text1"/>
        </w:rPr>
        <w:t>华夏财富</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5C0E53">
        <w:rPr>
          <w:rFonts w:asciiTheme="minorEastAsia" w:eastAsiaTheme="minorEastAsia" w:hAnsiTheme="minorEastAsia" w:cstheme="minorEastAsia" w:hint="eastAsia"/>
          <w:color w:val="000000" w:themeColor="text1"/>
        </w:rPr>
        <w:t>华夏财富</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5C0E53">
        <w:rPr>
          <w:rFonts w:asciiTheme="minorEastAsia" w:eastAsiaTheme="minorEastAsia" w:hAnsiTheme="minorEastAsia" w:cstheme="minorEastAsia" w:hint="eastAsia"/>
          <w:color w:val="000000" w:themeColor="text1"/>
        </w:rPr>
        <w:t>华夏财富</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C56C4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5C0E53">
        <w:rPr>
          <w:rFonts w:hint="eastAsia"/>
        </w:rPr>
        <w:t>华夏财富</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5C0E53">
        <w:rPr>
          <w:rFonts w:cs="Calibri" w:hint="eastAsia"/>
        </w:rPr>
        <w:t>华夏财富</w:t>
      </w:r>
    </w:p>
    <w:p w:rsidR="005C0E53" w:rsidRPr="005C0E53" w:rsidRDefault="005C0E53" w:rsidP="005C0E53">
      <w:pPr>
        <w:pStyle w:val="a7"/>
        <w:shd w:val="clear" w:color="auto" w:fill="FFFFFF"/>
        <w:adjustRightInd w:val="0"/>
        <w:snapToGrid w:val="0"/>
        <w:spacing w:before="0" w:beforeAutospacing="0" w:after="0" w:afterAutospacing="0" w:line="360" w:lineRule="auto"/>
        <w:ind w:firstLine="420"/>
        <w:jc w:val="both"/>
        <w:rPr>
          <w:rFonts w:cs="Calibri"/>
        </w:rPr>
      </w:pPr>
      <w:r w:rsidRPr="005C0E53">
        <w:rPr>
          <w:rFonts w:cs="Calibri" w:hint="eastAsia"/>
        </w:rPr>
        <w:t>客服电话：400-817-5666</w:t>
      </w:r>
    </w:p>
    <w:p w:rsidR="00271319" w:rsidRDefault="005C0E53" w:rsidP="00271319">
      <w:pPr>
        <w:pStyle w:val="a7"/>
        <w:shd w:val="clear" w:color="auto" w:fill="FFFFFF"/>
        <w:adjustRightInd w:val="0"/>
        <w:snapToGrid w:val="0"/>
        <w:spacing w:before="0" w:beforeAutospacing="0" w:after="0" w:afterAutospacing="0" w:line="360" w:lineRule="auto"/>
        <w:ind w:firstLine="420"/>
        <w:jc w:val="both"/>
        <w:rPr>
          <w:rFonts w:cs="Calibri"/>
        </w:rPr>
      </w:pPr>
      <w:r w:rsidRPr="005C0E53">
        <w:rPr>
          <w:rFonts w:cs="Calibri" w:hint="eastAsia"/>
        </w:rPr>
        <w:t>网址：www.amcfortune.com</w:t>
      </w:r>
    </w:p>
    <w:p w:rsidR="00A00AAF" w:rsidRPr="009877A4" w:rsidRDefault="00163302" w:rsidP="00271319">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564204">
        <w:rPr>
          <w:rFonts w:cs="Calibri"/>
        </w:rPr>
        <w:t>2</w:t>
      </w:r>
      <w:r w:rsidR="009877A4" w:rsidRPr="009877A4">
        <w:rPr>
          <w:rFonts w:cs="Calibri" w:hint="eastAsia"/>
        </w:rPr>
        <w:t>月</w:t>
      </w:r>
      <w:r w:rsidR="00A2144F">
        <w:rPr>
          <w:rFonts w:cs="Calibri"/>
        </w:rPr>
        <w:t>2</w:t>
      </w:r>
      <w:r w:rsidR="005C0E53">
        <w:rPr>
          <w:rFonts w:cs="Calibri"/>
        </w:rPr>
        <w:t>3</w:t>
      </w:r>
      <w:r w:rsidR="009877A4" w:rsidRPr="009877A4">
        <w:rPr>
          <w:rFonts w:cs="Calibri" w:hint="eastAsia"/>
        </w:rPr>
        <w:t>日</w:t>
      </w:r>
    </w:p>
    <w:sectPr w:rsidR="00A00AAF" w:rsidRPr="009877A4" w:rsidSect="00047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61" w:rsidRDefault="00C70661" w:rsidP="00E3201D">
      <w:r>
        <w:separator/>
      </w:r>
    </w:p>
  </w:endnote>
  <w:endnote w:type="continuationSeparator" w:id="0">
    <w:p w:rsidR="00C70661" w:rsidRDefault="00C70661"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61" w:rsidRDefault="00C70661" w:rsidP="00E3201D">
      <w:r>
        <w:separator/>
      </w:r>
    </w:p>
  </w:footnote>
  <w:footnote w:type="continuationSeparator" w:id="0">
    <w:p w:rsidR="00C70661" w:rsidRDefault="00C70661"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47F87"/>
    <w:rsid w:val="00050C91"/>
    <w:rsid w:val="0007668C"/>
    <w:rsid w:val="0009331A"/>
    <w:rsid w:val="000B1AB2"/>
    <w:rsid w:val="000B7758"/>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95D45"/>
    <w:rsid w:val="003C4285"/>
    <w:rsid w:val="003C7AEC"/>
    <w:rsid w:val="003D2696"/>
    <w:rsid w:val="003D3C4C"/>
    <w:rsid w:val="003E168F"/>
    <w:rsid w:val="003E32CA"/>
    <w:rsid w:val="003F276E"/>
    <w:rsid w:val="00420793"/>
    <w:rsid w:val="0043356C"/>
    <w:rsid w:val="00445F84"/>
    <w:rsid w:val="00447446"/>
    <w:rsid w:val="004511C4"/>
    <w:rsid w:val="00453E39"/>
    <w:rsid w:val="004840C8"/>
    <w:rsid w:val="004944A3"/>
    <w:rsid w:val="004A05F5"/>
    <w:rsid w:val="004A0E27"/>
    <w:rsid w:val="004A1B5A"/>
    <w:rsid w:val="004A363A"/>
    <w:rsid w:val="004A47C9"/>
    <w:rsid w:val="004B1512"/>
    <w:rsid w:val="004B636A"/>
    <w:rsid w:val="004B6D70"/>
    <w:rsid w:val="004B7B90"/>
    <w:rsid w:val="004C26F2"/>
    <w:rsid w:val="004C5102"/>
    <w:rsid w:val="004D0845"/>
    <w:rsid w:val="004E2142"/>
    <w:rsid w:val="004E32AC"/>
    <w:rsid w:val="004E5B9C"/>
    <w:rsid w:val="00500661"/>
    <w:rsid w:val="00504054"/>
    <w:rsid w:val="00506924"/>
    <w:rsid w:val="00522178"/>
    <w:rsid w:val="00534398"/>
    <w:rsid w:val="00540E09"/>
    <w:rsid w:val="0055048C"/>
    <w:rsid w:val="00564204"/>
    <w:rsid w:val="00566D76"/>
    <w:rsid w:val="005670F1"/>
    <w:rsid w:val="005706A4"/>
    <w:rsid w:val="0059003D"/>
    <w:rsid w:val="005901D5"/>
    <w:rsid w:val="005973D4"/>
    <w:rsid w:val="005A54A0"/>
    <w:rsid w:val="005B1B58"/>
    <w:rsid w:val="005B7934"/>
    <w:rsid w:val="005C0E53"/>
    <w:rsid w:val="005D7D33"/>
    <w:rsid w:val="005E5033"/>
    <w:rsid w:val="005F0540"/>
    <w:rsid w:val="00614DC0"/>
    <w:rsid w:val="00620652"/>
    <w:rsid w:val="00627EE6"/>
    <w:rsid w:val="00631BBC"/>
    <w:rsid w:val="00636821"/>
    <w:rsid w:val="006434F1"/>
    <w:rsid w:val="006447C3"/>
    <w:rsid w:val="00646793"/>
    <w:rsid w:val="006554A2"/>
    <w:rsid w:val="00665EFB"/>
    <w:rsid w:val="00680493"/>
    <w:rsid w:val="0068154F"/>
    <w:rsid w:val="00691BF4"/>
    <w:rsid w:val="006928B4"/>
    <w:rsid w:val="00695769"/>
    <w:rsid w:val="006D717C"/>
    <w:rsid w:val="0070267D"/>
    <w:rsid w:val="00712D07"/>
    <w:rsid w:val="00725991"/>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81E34"/>
    <w:rsid w:val="00AA60FF"/>
    <w:rsid w:val="00AB43D3"/>
    <w:rsid w:val="00AD4BE8"/>
    <w:rsid w:val="00AD6E8D"/>
    <w:rsid w:val="00AF1A2D"/>
    <w:rsid w:val="00AF76F6"/>
    <w:rsid w:val="00B0516D"/>
    <w:rsid w:val="00B07FE4"/>
    <w:rsid w:val="00B24CBF"/>
    <w:rsid w:val="00B336E6"/>
    <w:rsid w:val="00B60ABB"/>
    <w:rsid w:val="00B632AB"/>
    <w:rsid w:val="00B679FB"/>
    <w:rsid w:val="00B80061"/>
    <w:rsid w:val="00B85DD2"/>
    <w:rsid w:val="00B975FE"/>
    <w:rsid w:val="00BB0D06"/>
    <w:rsid w:val="00BB1148"/>
    <w:rsid w:val="00BB477F"/>
    <w:rsid w:val="00BB5BDE"/>
    <w:rsid w:val="00BC2167"/>
    <w:rsid w:val="00BC38F5"/>
    <w:rsid w:val="00BC5516"/>
    <w:rsid w:val="00BC560B"/>
    <w:rsid w:val="00BC7D60"/>
    <w:rsid w:val="00BD01CC"/>
    <w:rsid w:val="00BE1FB8"/>
    <w:rsid w:val="00BE3FA2"/>
    <w:rsid w:val="00BF633F"/>
    <w:rsid w:val="00BF6A07"/>
    <w:rsid w:val="00C06005"/>
    <w:rsid w:val="00C27637"/>
    <w:rsid w:val="00C40AB2"/>
    <w:rsid w:val="00C43622"/>
    <w:rsid w:val="00C51529"/>
    <w:rsid w:val="00C52FB1"/>
    <w:rsid w:val="00C5608E"/>
    <w:rsid w:val="00C56C42"/>
    <w:rsid w:val="00C70661"/>
    <w:rsid w:val="00C873A7"/>
    <w:rsid w:val="00CA1413"/>
    <w:rsid w:val="00CA2869"/>
    <w:rsid w:val="00CA36CF"/>
    <w:rsid w:val="00CA3B8C"/>
    <w:rsid w:val="00CA62D2"/>
    <w:rsid w:val="00CA73E7"/>
    <w:rsid w:val="00CD2771"/>
    <w:rsid w:val="00CD57F0"/>
    <w:rsid w:val="00CE0062"/>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B3950"/>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8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047F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47F87"/>
    <w:pPr>
      <w:jc w:val="left"/>
    </w:pPr>
  </w:style>
  <w:style w:type="paragraph" w:styleId="a4">
    <w:name w:val="Balloon Text"/>
    <w:basedOn w:val="a"/>
    <w:link w:val="Char0"/>
    <w:uiPriority w:val="99"/>
    <w:semiHidden/>
    <w:unhideWhenUsed/>
    <w:qFormat/>
    <w:rsid w:val="00047F87"/>
    <w:rPr>
      <w:sz w:val="18"/>
      <w:szCs w:val="18"/>
    </w:rPr>
  </w:style>
  <w:style w:type="paragraph" w:styleId="a5">
    <w:name w:val="footer"/>
    <w:basedOn w:val="a"/>
    <w:link w:val="Char1"/>
    <w:uiPriority w:val="99"/>
    <w:unhideWhenUsed/>
    <w:qFormat/>
    <w:rsid w:val="00047F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47F8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47F8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47F87"/>
    <w:rPr>
      <w:b/>
      <w:bCs/>
    </w:rPr>
  </w:style>
  <w:style w:type="table" w:styleId="a9">
    <w:name w:val="Table Grid"/>
    <w:basedOn w:val="a1"/>
    <w:uiPriority w:val="59"/>
    <w:qFormat/>
    <w:rsid w:val="0004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047F87"/>
    <w:rPr>
      <w:color w:val="4C4C4C"/>
      <w:u w:val="none"/>
    </w:rPr>
  </w:style>
  <w:style w:type="character" w:styleId="ab">
    <w:name w:val="Emphasis"/>
    <w:basedOn w:val="a0"/>
    <w:uiPriority w:val="20"/>
    <w:qFormat/>
    <w:rsid w:val="00047F87"/>
  </w:style>
  <w:style w:type="character" w:styleId="HTML">
    <w:name w:val="HTML Acronym"/>
    <w:basedOn w:val="a0"/>
    <w:uiPriority w:val="99"/>
    <w:semiHidden/>
    <w:unhideWhenUsed/>
    <w:qFormat/>
    <w:rsid w:val="00047F87"/>
  </w:style>
  <w:style w:type="character" w:styleId="ac">
    <w:name w:val="Hyperlink"/>
    <w:basedOn w:val="a0"/>
    <w:uiPriority w:val="99"/>
    <w:unhideWhenUsed/>
    <w:qFormat/>
    <w:rsid w:val="00047F87"/>
    <w:rPr>
      <w:color w:val="0000FF"/>
      <w:u w:val="single"/>
    </w:rPr>
  </w:style>
  <w:style w:type="character" w:styleId="ad">
    <w:name w:val="annotation reference"/>
    <w:basedOn w:val="a0"/>
    <w:uiPriority w:val="99"/>
    <w:semiHidden/>
    <w:unhideWhenUsed/>
    <w:qFormat/>
    <w:rsid w:val="00047F87"/>
    <w:rPr>
      <w:sz w:val="21"/>
      <w:szCs w:val="21"/>
    </w:rPr>
  </w:style>
  <w:style w:type="character" w:customStyle="1" w:styleId="3Char">
    <w:name w:val="标题 3 Char"/>
    <w:basedOn w:val="a0"/>
    <w:link w:val="3"/>
    <w:uiPriority w:val="9"/>
    <w:qFormat/>
    <w:rsid w:val="00047F87"/>
    <w:rPr>
      <w:rFonts w:ascii="宋体" w:eastAsia="宋体" w:hAnsi="宋体" w:cs="宋体"/>
      <w:b/>
      <w:bCs/>
      <w:kern w:val="0"/>
      <w:sz w:val="27"/>
      <w:szCs w:val="27"/>
    </w:rPr>
  </w:style>
  <w:style w:type="character" w:customStyle="1" w:styleId="span4">
    <w:name w:val="span4"/>
    <w:basedOn w:val="a0"/>
    <w:qFormat/>
    <w:rsid w:val="00047F87"/>
  </w:style>
  <w:style w:type="character" w:customStyle="1" w:styleId="span01">
    <w:name w:val="span01"/>
    <w:basedOn w:val="a0"/>
    <w:qFormat/>
    <w:rsid w:val="00047F87"/>
    <w:rPr>
      <w:sz w:val="24"/>
      <w:szCs w:val="24"/>
    </w:rPr>
  </w:style>
  <w:style w:type="character" w:customStyle="1" w:styleId="icon2">
    <w:name w:val="icon2"/>
    <w:basedOn w:val="a0"/>
    <w:qFormat/>
    <w:rsid w:val="00047F87"/>
  </w:style>
  <w:style w:type="character" w:customStyle="1" w:styleId="fqrsyliswk">
    <w:name w:val="fqrsyl_iswk"/>
    <w:basedOn w:val="a0"/>
    <w:qFormat/>
    <w:rsid w:val="00047F87"/>
  </w:style>
  <w:style w:type="character" w:customStyle="1" w:styleId="span03">
    <w:name w:val="span03"/>
    <w:basedOn w:val="a0"/>
    <w:qFormat/>
    <w:rsid w:val="00047F87"/>
  </w:style>
  <w:style w:type="character" w:customStyle="1" w:styleId="span031">
    <w:name w:val="span031"/>
    <w:basedOn w:val="a0"/>
    <w:qFormat/>
    <w:rsid w:val="00047F87"/>
  </w:style>
  <w:style w:type="character" w:customStyle="1" w:styleId="fmwfsyiswk">
    <w:name w:val="fmwfsy_iswk"/>
    <w:basedOn w:val="a0"/>
    <w:qFormat/>
    <w:rsid w:val="00047F87"/>
  </w:style>
  <w:style w:type="character" w:customStyle="1" w:styleId="span1">
    <w:name w:val="span1"/>
    <w:basedOn w:val="a0"/>
    <w:qFormat/>
    <w:rsid w:val="00047F87"/>
  </w:style>
  <w:style w:type="character" w:customStyle="1" w:styleId="span2">
    <w:name w:val="span2"/>
    <w:basedOn w:val="a0"/>
    <w:qFormat/>
    <w:rsid w:val="00047F87"/>
  </w:style>
  <w:style w:type="character" w:customStyle="1" w:styleId="hover46">
    <w:name w:val="hover46"/>
    <w:basedOn w:val="a0"/>
    <w:qFormat/>
    <w:rsid w:val="00047F87"/>
    <w:rPr>
      <w:shd w:val="clear" w:color="auto" w:fill="FEF2E7"/>
    </w:rPr>
  </w:style>
  <w:style w:type="character" w:customStyle="1" w:styleId="hover47">
    <w:name w:val="hover47"/>
    <w:basedOn w:val="a0"/>
    <w:qFormat/>
    <w:rsid w:val="00047F87"/>
    <w:rPr>
      <w:color w:val="F88413"/>
    </w:rPr>
  </w:style>
  <w:style w:type="character" w:customStyle="1" w:styleId="span02">
    <w:name w:val="span02"/>
    <w:basedOn w:val="a0"/>
    <w:qFormat/>
    <w:rsid w:val="00047F87"/>
    <w:rPr>
      <w:sz w:val="24"/>
      <w:szCs w:val="24"/>
    </w:rPr>
  </w:style>
  <w:style w:type="character" w:customStyle="1" w:styleId="span021">
    <w:name w:val="span021"/>
    <w:basedOn w:val="a0"/>
    <w:qFormat/>
    <w:rsid w:val="00047F87"/>
  </w:style>
  <w:style w:type="character" w:customStyle="1" w:styleId="on26">
    <w:name w:val="on26"/>
    <w:basedOn w:val="a0"/>
    <w:qFormat/>
    <w:rsid w:val="00047F87"/>
    <w:rPr>
      <w:color w:val="F88413"/>
    </w:rPr>
  </w:style>
  <w:style w:type="character" w:customStyle="1" w:styleId="on27">
    <w:name w:val="on27"/>
    <w:basedOn w:val="a0"/>
    <w:qFormat/>
    <w:rsid w:val="00047F87"/>
  </w:style>
  <w:style w:type="character" w:customStyle="1" w:styleId="span3">
    <w:name w:val="span3"/>
    <w:basedOn w:val="a0"/>
    <w:qFormat/>
    <w:rsid w:val="00047F87"/>
  </w:style>
  <w:style w:type="character" w:customStyle="1" w:styleId="span011">
    <w:name w:val="span011"/>
    <w:basedOn w:val="a0"/>
    <w:qFormat/>
    <w:rsid w:val="00047F87"/>
  </w:style>
  <w:style w:type="character" w:customStyle="1" w:styleId="icon">
    <w:name w:val="icon"/>
    <w:basedOn w:val="a0"/>
    <w:qFormat/>
    <w:rsid w:val="00047F87"/>
  </w:style>
  <w:style w:type="character" w:customStyle="1" w:styleId="hover44">
    <w:name w:val="hover44"/>
    <w:basedOn w:val="a0"/>
    <w:qFormat/>
    <w:rsid w:val="00047F87"/>
    <w:rPr>
      <w:shd w:val="clear" w:color="auto" w:fill="FEF2E7"/>
    </w:rPr>
  </w:style>
  <w:style w:type="character" w:customStyle="1" w:styleId="hover45">
    <w:name w:val="hover45"/>
    <w:basedOn w:val="a0"/>
    <w:qFormat/>
    <w:rsid w:val="00047F87"/>
    <w:rPr>
      <w:color w:val="F88413"/>
    </w:rPr>
  </w:style>
  <w:style w:type="character" w:customStyle="1" w:styleId="on">
    <w:name w:val="on"/>
    <w:basedOn w:val="a0"/>
    <w:qFormat/>
    <w:rsid w:val="00047F87"/>
    <w:rPr>
      <w:color w:val="F88413"/>
    </w:rPr>
  </w:style>
  <w:style w:type="character" w:customStyle="1" w:styleId="on1">
    <w:name w:val="on1"/>
    <w:basedOn w:val="a0"/>
    <w:qFormat/>
    <w:rsid w:val="00047F87"/>
  </w:style>
  <w:style w:type="character" w:customStyle="1" w:styleId="Char2">
    <w:name w:val="页眉 Char"/>
    <w:basedOn w:val="a0"/>
    <w:link w:val="a6"/>
    <w:uiPriority w:val="99"/>
    <w:qFormat/>
    <w:rsid w:val="00047F8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047F8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47F8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47F8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047F87"/>
    <w:rPr>
      <w:rFonts w:asciiTheme="minorHAnsi" w:eastAsiaTheme="minorEastAsia" w:hAnsiTheme="minorHAnsi" w:cstheme="minorBidi"/>
      <w:kern w:val="2"/>
      <w:sz w:val="18"/>
      <w:szCs w:val="18"/>
    </w:rPr>
  </w:style>
  <w:style w:type="character" w:customStyle="1" w:styleId="hover43">
    <w:name w:val="hover43"/>
    <w:basedOn w:val="a0"/>
    <w:qFormat/>
    <w:rsid w:val="00047F87"/>
    <w:rPr>
      <w:color w:val="F88413"/>
    </w:rPr>
  </w:style>
  <w:style w:type="paragraph" w:customStyle="1" w:styleId="Default">
    <w:name w:val="Default"/>
    <w:qFormat/>
    <w:rsid w:val="00047F8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047F87"/>
    <w:rPr>
      <w:color w:val="F88413"/>
    </w:rPr>
  </w:style>
  <w:style w:type="character" w:customStyle="1" w:styleId="hover1">
    <w:name w:val="hover1"/>
    <w:basedOn w:val="a0"/>
    <w:qFormat/>
    <w:rsid w:val="00047F87"/>
    <w:rPr>
      <w:shd w:val="clear" w:color="auto" w:fill="FEF2E7"/>
    </w:rPr>
  </w:style>
  <w:style w:type="character" w:customStyle="1" w:styleId="hover42">
    <w:name w:val="hover42"/>
    <w:basedOn w:val="a0"/>
    <w:qFormat/>
    <w:rsid w:val="00047F87"/>
    <w:rPr>
      <w:shd w:val="clear" w:color="auto" w:fill="FEF2E7"/>
    </w:rPr>
  </w:style>
  <w:style w:type="character" w:customStyle="1" w:styleId="on3">
    <w:name w:val="on3"/>
    <w:basedOn w:val="a0"/>
    <w:qFormat/>
    <w:rsid w:val="00047F87"/>
  </w:style>
  <w:style w:type="character" w:customStyle="1" w:styleId="on4">
    <w:name w:val="on4"/>
    <w:basedOn w:val="a0"/>
    <w:qFormat/>
    <w:rsid w:val="00047F8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1E2DC-BC98-47DE-B4D9-0BA7A736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1874</Characters>
  <Application>Microsoft Office Word</Application>
  <DocSecurity>4</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