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7E3FE8" w:rsidP="007E3FE8">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关于易方达商业模式优选混合型证券投资基金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7E3FE8"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商业模式优选混合型证券投资基金基金合同》《易方达商业模式优选混合型证券投资基金更新的招募说明书》的相关规定及港股通非交易日安排，易方达商业模式优选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011847</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011848</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F74A2" w:rsidTr="001C79CD">
        <w:trPr>
          <w:trHeight w:val="213"/>
          <w:jc w:val="center"/>
        </w:trPr>
        <w:tc>
          <w:tcPr>
            <w:tcW w:w="2830" w:type="dxa"/>
            <w:shd w:val="clear" w:color="auto" w:fill="auto"/>
            <w:noWrap/>
            <w:vAlign w:val="center"/>
            <w:hideMark/>
          </w:tcPr>
          <w:p w:rsidR="001C79CD" w:rsidRPr="00A43F85" w:rsidRDefault="007E3FE8"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7E3FE8"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7E3FE8"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7E3FE8"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7E3FE8"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1F74A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A2" w:rsidRDefault="001F74A2" w:rsidP="001F74A2">
      <w:r>
        <w:separator/>
      </w:r>
    </w:p>
  </w:endnote>
  <w:endnote w:type="continuationSeparator" w:id="0">
    <w:p w:rsidR="001F74A2" w:rsidRDefault="001F74A2" w:rsidP="001F7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A2" w:rsidRDefault="001F74A2" w:rsidP="001F74A2">
      <w:r>
        <w:separator/>
      </w:r>
    </w:p>
  </w:footnote>
  <w:footnote w:type="continuationSeparator" w:id="0">
    <w:p w:rsidR="001F74A2" w:rsidRDefault="001F74A2" w:rsidP="001F7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1F74A2"/>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7E3FE8"/>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4</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