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C" w:rsidRDefault="0032088C"/>
    <w:p w:rsidR="0032088C" w:rsidRDefault="00291223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博时纳斯达克</w:t>
      </w:r>
      <w:r>
        <w:rPr>
          <w:rFonts w:ascii="宋体" w:eastAsia="宋体" w:hAnsi="宋体" w:hint="eastAsia"/>
          <w:b/>
          <w:sz w:val="30"/>
        </w:rPr>
        <w:t>100</w:t>
      </w:r>
      <w:r>
        <w:rPr>
          <w:rFonts w:ascii="宋体" w:eastAsia="宋体" w:hAnsi="宋体" w:hint="eastAsia"/>
          <w:b/>
          <w:sz w:val="30"/>
        </w:rPr>
        <w:t>交易型开放式指数证券投资基金发起式联接基金（</w:t>
      </w:r>
      <w:r>
        <w:rPr>
          <w:rFonts w:ascii="宋体" w:eastAsia="宋体" w:hAnsi="宋体" w:hint="eastAsia"/>
          <w:b/>
          <w:sz w:val="30"/>
        </w:rPr>
        <w:t>QDII</w:t>
      </w:r>
      <w:r>
        <w:rPr>
          <w:rFonts w:ascii="宋体" w:eastAsia="宋体" w:hAnsi="宋体" w:hint="eastAsia"/>
          <w:b/>
          <w:sz w:val="30"/>
        </w:rPr>
        <w:t>）暂停申购、转换转入、定期定额投资业务的公告</w:t>
      </w:r>
    </w:p>
    <w:p w:rsidR="0032088C" w:rsidRDefault="00291223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2024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2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22</w:t>
      </w:r>
      <w:r>
        <w:rPr>
          <w:rFonts w:ascii="宋体" w:eastAsia="宋体" w:hAnsi="宋体"/>
          <w:b/>
          <w:sz w:val="24"/>
        </w:rPr>
        <w:t>日</w:t>
      </w:r>
    </w:p>
    <w:p w:rsidR="0032088C" w:rsidRDefault="0032088C">
      <w:pPr>
        <w:jc w:val="center"/>
        <w:rPr>
          <w:rFonts w:ascii="宋体" w:eastAsia="宋体" w:hAnsi="宋体"/>
          <w:b/>
          <w:sz w:val="24"/>
        </w:rPr>
      </w:pPr>
    </w:p>
    <w:p w:rsidR="0032088C" w:rsidRDefault="00291223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2088C">
        <w:tc>
          <w:tcPr>
            <w:tcW w:w="2840" w:type="dxa"/>
            <w:gridSpan w:val="2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5682" w:type="dxa"/>
            <w:gridSpan w:val="4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32088C">
        <w:tc>
          <w:tcPr>
            <w:tcW w:w="2840" w:type="dxa"/>
            <w:gridSpan w:val="2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5682" w:type="dxa"/>
            <w:gridSpan w:val="4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32088C">
        <w:tc>
          <w:tcPr>
            <w:tcW w:w="2840" w:type="dxa"/>
            <w:gridSpan w:val="2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5682" w:type="dxa"/>
            <w:gridSpan w:val="4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</w:tr>
      <w:tr w:rsidR="0032088C">
        <w:tc>
          <w:tcPr>
            <w:tcW w:w="2840" w:type="dxa"/>
            <w:gridSpan w:val="2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5682" w:type="dxa"/>
            <w:gridSpan w:val="4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32088C">
        <w:tc>
          <w:tcPr>
            <w:tcW w:w="2840" w:type="dxa"/>
            <w:gridSpan w:val="2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5682" w:type="dxa"/>
            <w:gridSpan w:val="4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）基金合同》、《博时纳斯达克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）招募说明书》等的规定</w:t>
            </w:r>
          </w:p>
        </w:tc>
      </w:tr>
      <w:tr w:rsidR="0032088C">
        <w:tc>
          <w:tcPr>
            <w:tcW w:w="1420" w:type="dxa"/>
            <w:vMerge w:val="restart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暂停相关业务的起始日及原因说明</w:t>
            </w:r>
          </w:p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暂停申购起始日</w:t>
            </w:r>
          </w:p>
        </w:tc>
        <w:tc>
          <w:tcPr>
            <w:tcW w:w="5682" w:type="dxa"/>
            <w:gridSpan w:val="4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32088C">
        <w:tc>
          <w:tcPr>
            <w:tcW w:w="1420" w:type="dxa"/>
            <w:vMerge/>
            <w:vAlign w:val="center"/>
          </w:tcPr>
          <w:p w:rsidR="0032088C" w:rsidRDefault="0032088C"/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暂停转换转入起始日</w:t>
            </w:r>
          </w:p>
        </w:tc>
        <w:tc>
          <w:tcPr>
            <w:tcW w:w="5682" w:type="dxa"/>
            <w:gridSpan w:val="4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32088C">
        <w:tc>
          <w:tcPr>
            <w:tcW w:w="1420" w:type="dxa"/>
            <w:vMerge/>
            <w:vAlign w:val="center"/>
          </w:tcPr>
          <w:p w:rsidR="0032088C" w:rsidRDefault="0032088C"/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暂停定期定额投资起始日</w:t>
            </w:r>
          </w:p>
        </w:tc>
        <w:tc>
          <w:tcPr>
            <w:tcW w:w="5682" w:type="dxa"/>
            <w:gridSpan w:val="4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32088C">
        <w:tc>
          <w:tcPr>
            <w:tcW w:w="1420" w:type="dxa"/>
            <w:vMerge/>
            <w:vAlign w:val="center"/>
          </w:tcPr>
          <w:p w:rsidR="0032088C" w:rsidRDefault="0032088C"/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暂停申购、转换转入、定期定额投资的原因说明</w:t>
            </w:r>
          </w:p>
        </w:tc>
        <w:tc>
          <w:tcPr>
            <w:tcW w:w="5682" w:type="dxa"/>
            <w:gridSpan w:val="4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32088C">
        <w:tc>
          <w:tcPr>
            <w:tcW w:w="2840" w:type="dxa"/>
            <w:gridSpan w:val="2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  <w:tc>
          <w:tcPr>
            <w:tcW w:w="1421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1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</w:tr>
      <w:tr w:rsidR="0032088C">
        <w:tc>
          <w:tcPr>
            <w:tcW w:w="2840" w:type="dxa"/>
            <w:gridSpan w:val="2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016056</w:t>
            </w:r>
          </w:p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  <w:tc>
          <w:tcPr>
            <w:tcW w:w="1421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016058</w:t>
            </w:r>
          </w:p>
        </w:tc>
        <w:tc>
          <w:tcPr>
            <w:tcW w:w="1421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016057</w:t>
            </w:r>
          </w:p>
        </w:tc>
      </w:tr>
      <w:tr w:rsidR="0032088C">
        <w:tc>
          <w:tcPr>
            <w:tcW w:w="2840" w:type="dxa"/>
            <w:gridSpan w:val="2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该类基金份额是否暂停申购、转换转入、定期定额投资业务</w:t>
            </w:r>
          </w:p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0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32088C" w:rsidRDefault="0029122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32088C" w:rsidRDefault="0032088C"/>
    <w:p w:rsidR="0032088C" w:rsidRDefault="00291223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32088C" w:rsidRDefault="00291223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）为保护基金份额持有人利益，本基金管理人决定于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起</w:t>
      </w:r>
      <w:r>
        <w:rPr>
          <w:rFonts w:hint="eastAsia"/>
        </w:rPr>
        <w:t>暂停</w:t>
      </w:r>
      <w:r>
        <w:rPr>
          <w:rFonts w:hint="eastAsia"/>
        </w:rPr>
        <w:t>本基金的</w:t>
      </w:r>
      <w:r>
        <w:rPr>
          <w:rFonts w:hint="eastAsia"/>
        </w:rPr>
        <w:t>申购、转换转入、定期定额投资业务</w:t>
      </w:r>
      <w:r>
        <w:rPr>
          <w:rFonts w:hint="eastAsia"/>
        </w:rPr>
        <w:t>，其它业务正常办理。</w:t>
      </w:r>
      <w:r>
        <w:rPr>
          <w:rFonts w:hint="eastAsia"/>
        </w:rPr>
        <w:t>本基金恢复办理申购、转换转入、定期定额投资业务的时间将另行公告。</w:t>
      </w:r>
    </w:p>
    <w:p w:rsidR="0032088C" w:rsidRDefault="00291223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  <w:bookmarkStart w:id="0" w:name="_GoBack"/>
      <w:bookmarkEnd w:id="0"/>
    </w:p>
    <w:p w:rsidR="0032088C" w:rsidRDefault="00291223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32088C" w:rsidRDefault="0032088C">
      <w:pPr>
        <w:pStyle w:val="a3"/>
        <w:spacing w:before="0" w:beforeAutospacing="0" w:after="0" w:afterAutospacing="0" w:line="360" w:lineRule="auto"/>
        <w:ind w:firstLine="420"/>
      </w:pPr>
    </w:p>
    <w:p w:rsidR="0032088C" w:rsidRDefault="0032088C">
      <w:pPr>
        <w:pStyle w:val="a3"/>
        <w:spacing w:before="0" w:beforeAutospacing="0" w:after="0" w:afterAutospacing="0" w:line="360" w:lineRule="auto"/>
        <w:ind w:firstLine="420"/>
      </w:pPr>
    </w:p>
    <w:p w:rsidR="0032088C" w:rsidRDefault="0032088C">
      <w:pPr>
        <w:pStyle w:val="a3"/>
        <w:spacing w:before="0" w:beforeAutospacing="0" w:after="0" w:afterAutospacing="0" w:line="360" w:lineRule="auto"/>
        <w:ind w:firstLine="420"/>
      </w:pPr>
    </w:p>
    <w:p w:rsidR="0032088C" w:rsidRDefault="00291223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32088C" w:rsidRDefault="00291223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2024</w:t>
      </w:r>
      <w:r>
        <w:t>年</w:t>
      </w:r>
      <w:r>
        <w:t>2</w:t>
      </w:r>
      <w:r>
        <w:t>月</w:t>
      </w:r>
      <w:r>
        <w:t>22</w:t>
      </w:r>
      <w:r>
        <w:t>日</w:t>
      </w:r>
    </w:p>
    <w:p w:rsidR="0032088C" w:rsidRDefault="0032088C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32088C" w:rsidSect="00320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F217C"/>
    <w:rsid w:val="00291223"/>
    <w:rsid w:val="0032088C"/>
    <w:rsid w:val="00FA0F91"/>
    <w:rsid w:val="00FF217C"/>
    <w:rsid w:val="4A3A393D"/>
    <w:rsid w:val="5FB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08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0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32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32088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4</DocSecurity>
  <Lines>5</Lines>
  <Paragraphs>1</Paragraphs>
  <ScaleCrop>false</ScaleCrop>
  <Company>mycompany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2024-02-21T16:02:00Z</dcterms:created>
  <dcterms:modified xsi:type="dcterms:W3CDTF">2024-02-21T16:02:00Z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293707F002454A8793C22A60E8B15CD1</vt:lpwstr>
  </property>
</Properties>
</file>