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32" w:rsidRDefault="00C07332"/>
    <w:p w:rsidR="00C07332" w:rsidRDefault="008F608C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博时纳斯达克</w:t>
      </w:r>
      <w:r>
        <w:rPr>
          <w:rFonts w:ascii="宋体" w:eastAsia="宋体" w:hAnsi="宋体" w:hint="eastAsia"/>
          <w:b/>
          <w:sz w:val="30"/>
        </w:rPr>
        <w:t>100</w:t>
      </w:r>
      <w:r>
        <w:rPr>
          <w:rFonts w:ascii="宋体" w:eastAsia="宋体" w:hAnsi="宋体" w:hint="eastAsia"/>
          <w:b/>
          <w:sz w:val="30"/>
        </w:rPr>
        <w:t>交易型开放式指数证券投资基金发起式联接基金（</w:t>
      </w:r>
      <w:r>
        <w:rPr>
          <w:rFonts w:ascii="宋体" w:eastAsia="宋体" w:hAnsi="宋体" w:hint="eastAsia"/>
          <w:b/>
          <w:sz w:val="30"/>
        </w:rPr>
        <w:t>QDII</w:t>
      </w:r>
      <w:r>
        <w:rPr>
          <w:rFonts w:ascii="宋体" w:eastAsia="宋体" w:hAnsi="宋体" w:hint="eastAsia"/>
          <w:b/>
          <w:sz w:val="30"/>
        </w:rPr>
        <w:t>）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C07332" w:rsidRDefault="008F608C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 w:hint="eastAsia"/>
          <w:b/>
          <w:sz w:val="24"/>
        </w:rPr>
        <w:t>2024</w:t>
      </w:r>
      <w:r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 w:hint="eastAsia"/>
          <w:b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20</w:t>
      </w:r>
      <w:r>
        <w:rPr>
          <w:rFonts w:ascii="宋体" w:eastAsia="宋体" w:hAnsi="宋体" w:hint="eastAsia"/>
          <w:b/>
          <w:sz w:val="24"/>
        </w:rPr>
        <w:t>日</w:t>
      </w:r>
    </w:p>
    <w:p w:rsidR="00C07332" w:rsidRDefault="00C07332">
      <w:pPr>
        <w:jc w:val="center"/>
        <w:rPr>
          <w:rFonts w:ascii="宋体" w:eastAsia="宋体" w:hAnsi="宋体"/>
          <w:b/>
          <w:sz w:val="24"/>
        </w:rPr>
      </w:pPr>
    </w:p>
    <w:p w:rsidR="00C07332" w:rsidRDefault="008F608C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）基金合同》、《博时纳斯达克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/>
                <w:sz w:val="24"/>
              </w:rPr>
              <w:t>交易型开放式指数证券投资基金发起式联接基金（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）招募说明书》等的规定</w:t>
            </w:r>
          </w:p>
        </w:tc>
      </w:tr>
      <w:tr w:rsidR="00C07332">
        <w:tc>
          <w:tcPr>
            <w:tcW w:w="1420" w:type="dxa"/>
            <w:vMerge w:val="restart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100,000.00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100,000.00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100,000.00</w:t>
            </w:r>
          </w:p>
        </w:tc>
      </w:tr>
      <w:tr w:rsidR="00C07332">
        <w:tc>
          <w:tcPr>
            <w:tcW w:w="1420" w:type="dxa"/>
            <w:vMerge/>
            <w:vAlign w:val="center"/>
          </w:tcPr>
          <w:p w:rsidR="00C07332" w:rsidRDefault="00C07332"/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682" w:type="dxa"/>
            <w:gridSpan w:val="4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下属基金份额的基金简称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美元现汇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博时纳斯达克</w:t>
            </w:r>
            <w:r>
              <w:rPr>
                <w:rFonts w:ascii="宋体" w:eastAsia="宋体" w:hAnsi="宋体"/>
                <w:sz w:val="24"/>
              </w:rPr>
              <w:t>100ETF</w:t>
            </w:r>
            <w:r>
              <w:rPr>
                <w:rFonts w:ascii="宋体" w:eastAsia="宋体" w:hAnsi="宋体"/>
                <w:sz w:val="24"/>
              </w:rPr>
              <w:t>发起式联接（</w:t>
            </w:r>
            <w:r>
              <w:rPr>
                <w:rFonts w:ascii="宋体" w:eastAsia="宋体" w:hAnsi="宋体"/>
                <w:sz w:val="24"/>
              </w:rPr>
              <w:t>QDII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>C</w:t>
            </w:r>
            <w:r>
              <w:rPr>
                <w:rFonts w:ascii="宋体" w:eastAsia="宋体" w:hAnsi="宋体"/>
                <w:sz w:val="24"/>
              </w:rPr>
              <w:t>人民币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016056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016055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016058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016057</w:t>
            </w:r>
          </w:p>
        </w:tc>
      </w:tr>
      <w:tr w:rsidR="00C07332">
        <w:tc>
          <w:tcPr>
            <w:tcW w:w="2840" w:type="dxa"/>
            <w:gridSpan w:val="2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0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C07332" w:rsidRDefault="008F608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C07332" w:rsidRDefault="00C07332"/>
    <w:p w:rsidR="00C07332" w:rsidRDefault="008F608C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起，投资人通过各代销机构申购本基金</w:t>
      </w:r>
      <w:r>
        <w:rPr>
          <w:rFonts w:hint="eastAsia"/>
        </w:rPr>
        <w:t>A</w:t>
      </w:r>
      <w:r>
        <w:rPr>
          <w:rFonts w:hint="eastAsia"/>
        </w:rPr>
        <w:t>类人民币基金份额（代码：</w:t>
      </w:r>
      <w:r>
        <w:rPr>
          <w:rFonts w:hint="eastAsia"/>
        </w:rPr>
        <w:t>016055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50</w:t>
      </w:r>
      <w:r>
        <w:rPr>
          <w:rFonts w:hint="eastAsia"/>
        </w:rPr>
        <w:t>万元人民币，</w:t>
      </w:r>
      <w:r>
        <w:rPr>
          <w:rFonts w:hint="eastAsia"/>
        </w:rPr>
        <w:t>C</w:t>
      </w:r>
      <w:r>
        <w:rPr>
          <w:rFonts w:hint="eastAsia"/>
        </w:rPr>
        <w:t>类人民币基金份额（代码：</w:t>
      </w:r>
      <w:r>
        <w:rPr>
          <w:rFonts w:hint="eastAsia"/>
        </w:rPr>
        <w:t>0</w:t>
      </w:r>
      <w:r>
        <w:rPr>
          <w:rFonts w:hint="eastAsia"/>
        </w:rPr>
        <w:t>16057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10</w:t>
      </w:r>
      <w:r>
        <w:rPr>
          <w:rFonts w:hint="eastAsia"/>
        </w:rPr>
        <w:t>万元人民币；本基金</w:t>
      </w:r>
      <w:r>
        <w:rPr>
          <w:rFonts w:hint="eastAsia"/>
        </w:rPr>
        <w:t>A</w:t>
      </w:r>
      <w:r>
        <w:rPr>
          <w:rFonts w:hint="eastAsia"/>
        </w:rPr>
        <w:t>类美元现汇基金份额（代码：</w:t>
      </w:r>
      <w:r>
        <w:rPr>
          <w:rFonts w:hint="eastAsia"/>
        </w:rPr>
        <w:t>0</w:t>
      </w:r>
      <w:r>
        <w:rPr>
          <w:rFonts w:hint="eastAsia"/>
        </w:rPr>
        <w:t>16056</w:t>
      </w:r>
      <w:r>
        <w:rPr>
          <w:rFonts w:hint="eastAsia"/>
        </w:rPr>
        <w:t>）单日每个基金账户的申购、转换转入及定期定额投资累计金额应不超过</w:t>
      </w:r>
      <w:r>
        <w:rPr>
          <w:rFonts w:hint="eastAsia"/>
        </w:rPr>
        <w:t>7.5</w:t>
      </w:r>
      <w:r>
        <w:rPr>
          <w:rFonts w:hint="eastAsia"/>
        </w:rPr>
        <w:t>万美元，</w:t>
      </w:r>
      <w:r>
        <w:rPr>
          <w:rFonts w:hint="eastAsia"/>
        </w:rPr>
        <w:t>C</w:t>
      </w:r>
      <w:r>
        <w:rPr>
          <w:rFonts w:hint="eastAsia"/>
        </w:rPr>
        <w:t>类美元现汇基金份额（代码：</w:t>
      </w:r>
      <w:r>
        <w:rPr>
          <w:rFonts w:hint="eastAsia"/>
        </w:rPr>
        <w:t>01</w:t>
      </w:r>
      <w:r>
        <w:rPr>
          <w:rFonts w:hint="eastAsia"/>
        </w:rPr>
        <w:t>6058</w:t>
      </w:r>
      <w:r>
        <w:rPr>
          <w:rFonts w:hint="eastAsia"/>
        </w:rPr>
        <w:t>）单日每个基金账户的申购</w:t>
      </w:r>
      <w:r>
        <w:rPr>
          <w:rFonts w:hint="eastAsia"/>
        </w:rPr>
        <w:t>、转换转入及定期定额投资累计金额应不超过</w:t>
      </w:r>
      <w:r>
        <w:rPr>
          <w:rFonts w:hint="eastAsia"/>
        </w:rPr>
        <w:t>1.5</w:t>
      </w:r>
      <w:r>
        <w:rPr>
          <w:rFonts w:hint="eastAsia"/>
        </w:rPr>
        <w:t>万美元。如单日每个基金账户的申购、转换转入及定期定额投资累计金额超过以上情况，本基金管理人有权拒绝。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起，投资人通过本公司直销</w:t>
      </w:r>
      <w:r>
        <w:rPr>
          <w:rFonts w:hint="eastAsia"/>
        </w:rPr>
        <w:t>渠道</w:t>
      </w:r>
      <w:r>
        <w:rPr>
          <w:rFonts w:hint="eastAsia"/>
        </w:rPr>
        <w:t>申购本基金人民币份额单日每个基金账户的申购、转换转入及定期定额投资累计金额应不超过</w:t>
      </w:r>
      <w:r>
        <w:rPr>
          <w:rFonts w:hint="eastAsia"/>
        </w:rPr>
        <w:t>50</w:t>
      </w:r>
      <w:r>
        <w:rPr>
          <w:rFonts w:hint="eastAsia"/>
        </w:rPr>
        <w:t>万元（</w:t>
      </w:r>
      <w:r>
        <w:rPr>
          <w:rFonts w:hint="eastAsia"/>
        </w:rPr>
        <w:t>人民币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份额合并计算</w:t>
      </w:r>
      <w:r>
        <w:rPr>
          <w:rFonts w:hint="eastAsia"/>
        </w:rPr>
        <w:t>）；本基金美元现汇份额单日每个基金账户的申购、转换转入及定期定额投资累计金额应不超过</w:t>
      </w:r>
      <w:r>
        <w:rPr>
          <w:rFonts w:hint="eastAsia"/>
        </w:rPr>
        <w:t>7.5</w:t>
      </w:r>
      <w:r>
        <w:rPr>
          <w:rFonts w:hint="eastAsia"/>
        </w:rPr>
        <w:t>万美元（美元现汇</w:t>
      </w:r>
      <w:r>
        <w:rPr>
          <w:rFonts w:hint="eastAsia"/>
        </w:rPr>
        <w:t>A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份额份额合并计算）。如单日每个基金账户的申购、转换转入及定期定额投资累计金额超过以</w:t>
      </w:r>
      <w:r>
        <w:rPr>
          <w:rFonts w:hint="eastAsia"/>
        </w:rPr>
        <w:t>上情况，本基金管理人有权拒绝。</w:t>
      </w:r>
      <w:r>
        <w:rPr>
          <w:rFonts w:hint="eastAsia"/>
        </w:rPr>
        <w:t xml:space="preserve"> 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lastRenderedPageBreak/>
        <w:t>特此公告。</w:t>
      </w:r>
      <w:r>
        <w:rPr>
          <w:rFonts w:hint="eastAsia"/>
        </w:rPr>
        <w:t xml:space="preserve"> </w:t>
      </w:r>
    </w:p>
    <w:p w:rsidR="00C07332" w:rsidRDefault="00C07332">
      <w:pPr>
        <w:pStyle w:val="a3"/>
        <w:spacing w:before="0" w:beforeAutospacing="0" w:after="0" w:afterAutospacing="0" w:line="360" w:lineRule="auto"/>
        <w:ind w:firstLine="420"/>
      </w:pPr>
    </w:p>
    <w:p w:rsidR="00C07332" w:rsidRDefault="00C07332">
      <w:pPr>
        <w:pStyle w:val="a3"/>
        <w:spacing w:before="0" w:beforeAutospacing="0" w:after="0" w:afterAutospacing="0" w:line="360" w:lineRule="auto"/>
        <w:ind w:firstLine="420"/>
      </w:pPr>
    </w:p>
    <w:p w:rsidR="00C07332" w:rsidRDefault="00C07332">
      <w:pPr>
        <w:pStyle w:val="a3"/>
        <w:spacing w:before="0" w:beforeAutospacing="0" w:after="0" w:afterAutospacing="0" w:line="360" w:lineRule="auto"/>
        <w:ind w:firstLine="420"/>
      </w:pPr>
    </w:p>
    <w:p w:rsidR="00C07332" w:rsidRDefault="008F608C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C07332" w:rsidRDefault="008F608C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日</w:t>
      </w:r>
    </w:p>
    <w:p w:rsidR="00C07332" w:rsidRDefault="00C07332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C07332" w:rsidSect="00C0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2EA"/>
    <w:rsid w:val="00613F93"/>
    <w:rsid w:val="008F608C"/>
    <w:rsid w:val="00B122EA"/>
    <w:rsid w:val="00C07332"/>
    <w:rsid w:val="232B487A"/>
    <w:rsid w:val="38CE5DE8"/>
    <w:rsid w:val="52583768"/>
    <w:rsid w:val="5510517C"/>
    <w:rsid w:val="5920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73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07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0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C0733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1215</Characters>
  <Application>Microsoft Office Word</Application>
  <DocSecurity>4</DocSecurity>
  <Lines>10</Lines>
  <Paragraphs>2</Paragraphs>
  <ScaleCrop>false</ScaleCrop>
  <Company>mycompany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2024-02-19T16:00:00Z</dcterms:created>
  <dcterms:modified xsi:type="dcterms:W3CDTF">2024-02-19T16:00:00Z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3D3DFE0D555B449A8365B396C0C02C78</vt:lpwstr>
  </property>
</Properties>
</file>