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DF" w:rsidRDefault="00374747">
      <w:pPr>
        <w:pStyle w:val="1"/>
        <w:widowControl/>
        <w:spacing w:beforeAutospacing="0" w:after="168" w:afterAutospacing="0"/>
        <w:jc w:val="center"/>
        <w:rPr>
          <w:rFonts w:cs="宋体" w:hint="default"/>
          <w:bCs/>
          <w:color w:val="000000" w:themeColor="text1"/>
          <w:sz w:val="31"/>
          <w:szCs w:val="31"/>
        </w:rPr>
      </w:pPr>
      <w:r>
        <w:rPr>
          <w:rFonts w:cs="宋体"/>
          <w:bCs/>
          <w:color w:val="000000" w:themeColor="text1"/>
          <w:sz w:val="31"/>
          <w:szCs w:val="31"/>
        </w:rPr>
        <w:t>新沃基金管理有限公司</w:t>
      </w:r>
    </w:p>
    <w:p w:rsidR="00DF3DDF" w:rsidRDefault="00374747">
      <w:pPr>
        <w:pStyle w:val="1"/>
        <w:widowControl/>
        <w:spacing w:beforeAutospacing="0" w:after="168" w:afterAutospacing="0"/>
        <w:jc w:val="center"/>
        <w:rPr>
          <w:rFonts w:cs="宋体" w:hint="default"/>
          <w:bCs/>
          <w:color w:val="000000" w:themeColor="text1"/>
          <w:sz w:val="31"/>
          <w:szCs w:val="31"/>
        </w:rPr>
      </w:pPr>
      <w:r>
        <w:rPr>
          <w:rFonts w:cs="宋体"/>
          <w:bCs/>
          <w:color w:val="000000" w:themeColor="text1"/>
          <w:sz w:val="31"/>
          <w:szCs w:val="31"/>
        </w:rPr>
        <w:t xml:space="preserve">关于更新旗下公募基金风险等级的公告 </w:t>
      </w:r>
    </w:p>
    <w:p w:rsidR="00DF3DDF" w:rsidRDefault="00374747">
      <w:pPr>
        <w:pStyle w:val="a6"/>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根据《证券期货投资者适当性管理办法》、《基金募集机构投资者适当性管理实施指引（试行）》等法律规范和新沃基金管理有限公司（以下简称“本公司”）的规定，本公司对旗下公募基金的风险等级进行了年度重新评估。本公司旗下公募基金风险等级按照风险由低到高顺序，依次划分为：低风险-R1、中低风险-R2、中等风险-R3、中高风险-R4、高风险-R5 五个等级。更新后的风险等级自公告日开始执行。敬请广大投资者关注基金产品风险等级的变化以及对投资者决策带来的影响。现将本公司旗下公募基金更新后的风险等级公告如下：</w:t>
      </w:r>
    </w:p>
    <w:p w:rsidR="00DF3DDF" w:rsidRDefault="00374747">
      <w:pPr>
        <w:pStyle w:val="a6"/>
        <w:widowControl/>
        <w:numPr>
          <w:ilvl w:val="0"/>
          <w:numId w:val="1"/>
        </w:numPr>
        <w:spacing w:beforeAutospacing="0" w:afterAutospacing="0" w:line="360" w:lineRule="auto"/>
        <w:ind w:leftChars="200" w:left="420" w:firstLine="0"/>
        <w:rPr>
          <w:rFonts w:ascii="宋体" w:eastAsia="宋体" w:hAnsi="宋体" w:cs="宋体"/>
          <w:color w:val="000000" w:themeColor="text1"/>
          <w:kern w:val="2"/>
        </w:rPr>
      </w:pPr>
      <w:r>
        <w:rPr>
          <w:rFonts w:ascii="宋体" w:eastAsia="宋体" w:hAnsi="宋体" w:cs="宋体"/>
          <w:color w:val="000000" w:themeColor="text1"/>
          <w:kern w:val="2"/>
        </w:rPr>
        <w:t>风险等级一览表</w:t>
      </w:r>
    </w:p>
    <w:tbl>
      <w:tblPr>
        <w:tblStyle w:val="a7"/>
        <w:tblW w:w="5161" w:type="pct"/>
        <w:tblInd w:w="-147" w:type="dxa"/>
        <w:tblLook w:val="04A0"/>
      </w:tblPr>
      <w:tblGrid>
        <w:gridCol w:w="873"/>
        <w:gridCol w:w="1313"/>
        <w:gridCol w:w="4543"/>
        <w:gridCol w:w="2010"/>
      </w:tblGrid>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序号</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基金代码</w:t>
            </w:r>
          </w:p>
        </w:tc>
        <w:tc>
          <w:tcPr>
            <w:tcW w:w="2599"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基金名称</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风险等级</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1</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001916</w:t>
            </w:r>
          </w:p>
        </w:tc>
        <w:tc>
          <w:tcPr>
            <w:tcW w:w="2599"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hAnsi="宋体" w:hint="eastAsia"/>
                <w:color w:val="000000" w:themeColor="text1"/>
                <w:szCs w:val="21"/>
              </w:rPr>
              <w:t>新沃通宝货币市场基金A</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低风险（R1）</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2</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002302</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hint="eastAsia"/>
                <w:color w:val="000000" w:themeColor="text1"/>
                <w:szCs w:val="21"/>
              </w:rPr>
              <w:t>新沃通宝货币市场基金B</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低风险（R1）</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3</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003664</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hint="eastAsia"/>
                <w:color w:val="000000" w:themeColor="text1"/>
                <w:szCs w:val="21"/>
              </w:rPr>
              <w:t>新沃</w:t>
            </w:r>
            <w:r>
              <w:rPr>
                <w:rFonts w:ascii="宋体" w:hAnsi="宋体"/>
                <w:color w:val="000000" w:themeColor="text1"/>
                <w:szCs w:val="21"/>
              </w:rPr>
              <w:t>通利纯债债券型证券投资基金</w:t>
            </w:r>
            <w:r>
              <w:rPr>
                <w:rFonts w:ascii="宋体" w:hAnsi="宋体" w:hint="eastAsia"/>
                <w:color w:val="000000" w:themeColor="text1"/>
                <w:szCs w:val="21"/>
              </w:rPr>
              <w:t>A</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低风险（R1）</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4</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003665</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hint="eastAsia"/>
                <w:color w:val="000000" w:themeColor="text1"/>
                <w:szCs w:val="21"/>
              </w:rPr>
              <w:t>新沃</w:t>
            </w:r>
            <w:r>
              <w:rPr>
                <w:rFonts w:ascii="宋体" w:hAnsi="宋体"/>
                <w:color w:val="000000" w:themeColor="text1"/>
                <w:szCs w:val="21"/>
              </w:rPr>
              <w:t>通利纯债债券型证券投资基金</w:t>
            </w:r>
            <w:r>
              <w:rPr>
                <w:rFonts w:ascii="宋体" w:hAnsi="宋体" w:hint="eastAsia"/>
                <w:color w:val="000000" w:themeColor="text1"/>
                <w:szCs w:val="21"/>
              </w:rPr>
              <w:t>C</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低风险（R1）</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5</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002564</w:t>
            </w:r>
          </w:p>
        </w:tc>
        <w:tc>
          <w:tcPr>
            <w:tcW w:w="2599"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hAnsi="宋体"/>
                <w:color w:val="000000" w:themeColor="text1"/>
                <w:szCs w:val="21"/>
              </w:rPr>
              <w:t>新沃通盈灵活配置混合型证券投资基金</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中等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（R3）</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6</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010570</w:t>
            </w:r>
          </w:p>
        </w:tc>
        <w:tc>
          <w:tcPr>
            <w:tcW w:w="2599"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hAnsi="宋体"/>
                <w:color w:val="000000" w:themeColor="text1"/>
                <w:szCs w:val="21"/>
              </w:rPr>
              <w:t>新沃创新领航混合型证券投资基金</w:t>
            </w:r>
            <w:r>
              <w:rPr>
                <w:rFonts w:ascii="宋体" w:hAnsi="宋体" w:hint="eastAsia"/>
                <w:color w:val="000000" w:themeColor="text1"/>
                <w:szCs w:val="21"/>
              </w:rPr>
              <w:t>A</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中等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（R3）</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7</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010571</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color w:val="000000" w:themeColor="text1"/>
                <w:szCs w:val="21"/>
              </w:rPr>
              <w:t>新沃创新领航混合型证券投资基金</w:t>
            </w:r>
            <w:r>
              <w:rPr>
                <w:rFonts w:ascii="宋体" w:hAnsi="宋体" w:hint="eastAsia"/>
                <w:color w:val="000000" w:themeColor="text1"/>
                <w:szCs w:val="21"/>
              </w:rPr>
              <w:t>C</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中等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（R3）</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8</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010607</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hint="eastAsia"/>
                <w:color w:val="000000" w:themeColor="text1"/>
                <w:szCs w:val="21"/>
              </w:rPr>
              <w:t>新沃安鑫87个月定期开放债券型证券投资基金</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中低风险（R2）</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9</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012143</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hint="eastAsia"/>
                <w:color w:val="000000" w:themeColor="text1"/>
                <w:szCs w:val="21"/>
              </w:rPr>
              <w:t>新沃内需增长混合型证券投资基金A</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中等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（R3）</w:t>
            </w:r>
          </w:p>
        </w:tc>
      </w:tr>
      <w:tr w:rsidR="00DF3DDF" w:rsidTr="00B66E03">
        <w:tc>
          <w:tcPr>
            <w:tcW w:w="50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10</w:t>
            </w:r>
          </w:p>
        </w:tc>
        <w:tc>
          <w:tcPr>
            <w:tcW w:w="751"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012144</w:t>
            </w:r>
          </w:p>
        </w:tc>
        <w:tc>
          <w:tcPr>
            <w:tcW w:w="2599" w:type="pct"/>
            <w:vAlign w:val="center"/>
          </w:tcPr>
          <w:p w:rsidR="00DF3DDF" w:rsidRDefault="00374747" w:rsidP="00DA2904">
            <w:pPr>
              <w:pStyle w:val="a6"/>
              <w:widowControl/>
              <w:spacing w:beforeAutospacing="0" w:afterAutospacing="0"/>
              <w:jc w:val="center"/>
              <w:rPr>
                <w:rFonts w:ascii="宋体" w:hAnsi="宋体"/>
                <w:color w:val="000000" w:themeColor="text1"/>
                <w:szCs w:val="21"/>
              </w:rPr>
            </w:pPr>
            <w:r>
              <w:rPr>
                <w:rFonts w:ascii="宋体" w:hAnsi="宋体" w:hint="eastAsia"/>
                <w:color w:val="000000" w:themeColor="text1"/>
                <w:szCs w:val="21"/>
              </w:rPr>
              <w:t>新沃内需增长混合型证券投资基金C</w:t>
            </w:r>
          </w:p>
        </w:tc>
        <w:tc>
          <w:tcPr>
            <w:tcW w:w="1150" w:type="pct"/>
            <w:vAlign w:val="center"/>
          </w:tcPr>
          <w:p w:rsidR="00DF3DDF" w:rsidRDefault="00374747" w:rsidP="00DA2904">
            <w:pPr>
              <w:pStyle w:val="a6"/>
              <w:widowControl/>
              <w:spacing w:beforeAutospacing="0" w:afterAutospacing="0"/>
              <w:jc w:val="center"/>
              <w:rPr>
                <w:rFonts w:ascii="宋体" w:eastAsia="宋体" w:hAnsi="宋体" w:cs="宋体"/>
                <w:color w:val="000000" w:themeColor="text1"/>
                <w:kern w:val="2"/>
              </w:rPr>
            </w:pPr>
            <w:r>
              <w:rPr>
                <w:rFonts w:ascii="宋体" w:eastAsia="宋体" w:hAnsi="宋体" w:cs="宋体" w:hint="eastAsia"/>
                <w:color w:val="000000" w:themeColor="text1"/>
                <w:kern w:val="2"/>
              </w:rPr>
              <w:t>中等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（R3）</w:t>
            </w:r>
          </w:p>
        </w:tc>
      </w:tr>
    </w:tbl>
    <w:p w:rsidR="00DF3DDF" w:rsidRDefault="00374747">
      <w:pPr>
        <w:pStyle w:val="a6"/>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销售机构（包括基金管理人直销机构和代销机构）根据投资者适当性法律法规对基金进行风险评价，不同的销售机构采用的评价方法不同，因此不同销售机构对基金的风险等级评价结果可能存在不同。</w:t>
      </w:r>
    </w:p>
    <w:p w:rsidR="00DF3DDF" w:rsidRDefault="00374747">
      <w:pPr>
        <w:pStyle w:val="a6"/>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 xml:space="preserve">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 </w:t>
      </w:r>
    </w:p>
    <w:p w:rsidR="00DF3DDF" w:rsidRDefault="00374747">
      <w:pPr>
        <w:pStyle w:val="a6"/>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本公司对旗下公募基金的风险等级享有最终解释权。对于处于募集期的公募基金，投资者可登陆本公司官网（www.sinvofund.com）进行查询，或拨</w:t>
      </w:r>
      <w:r>
        <w:rPr>
          <w:rFonts w:ascii="宋体" w:eastAsia="宋体" w:hAnsi="宋体" w:cs="宋体" w:hint="eastAsia"/>
          <w:color w:val="000000" w:themeColor="text1"/>
          <w:kern w:val="2"/>
        </w:rPr>
        <w:lastRenderedPageBreak/>
        <w:t>打本公司客服热线（</w:t>
      </w:r>
      <w:r>
        <w:rPr>
          <w:rFonts w:ascii="宋体" w:eastAsia="宋体" w:hAnsi="宋体" w:cs="宋体"/>
          <w:color w:val="000000" w:themeColor="text1"/>
        </w:rPr>
        <w:t>400-698-9988</w:t>
      </w:r>
      <w:r>
        <w:rPr>
          <w:rFonts w:ascii="宋体" w:eastAsia="宋体" w:hAnsi="宋体" w:cs="宋体" w:hint="eastAsia"/>
          <w:color w:val="000000" w:themeColor="text1"/>
          <w:kern w:val="2"/>
        </w:rPr>
        <w:t>）咨询详情。各销售机构向投资者推介本公司旗下基金产品时，所依据的基金产品风险等级评价结果不得低于本公司作出的风险等级评价结果。</w:t>
      </w:r>
    </w:p>
    <w:p w:rsidR="00DF3DDF" w:rsidRDefault="00374747">
      <w:pPr>
        <w:pStyle w:val="a6"/>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证券期货投资者适当性管理办法》、《基金募集机构投资者适当性管理实施指引（试行）》与基金合同中原有的“风险收益特征”主要考虑基金投资方向等投资要素不同，作为另一套评价体系，其划分标准涉及的评价要素较广，要求基金产品的销售机构充分考虑流动性、到期时限、杠杆情况、产品的结构复杂性、投资方向和投资范围、同类产品过往业绩等多种要素确定产品所属 R1-R5 的级别。故上表中列示的基金风险等级结果与基金合同中的“风险收益特征”可能有所差异。差异的主要原因为两套评价体系不同，基金既有的风险收益特征并未改变，销售机构在基金销售过程中进行客户销售适当性匹配时应主要参考销售机构最新发布的产品风险等级评估结果。</w:t>
      </w:r>
    </w:p>
    <w:p w:rsidR="00DF3DDF" w:rsidRDefault="00374747">
      <w:pPr>
        <w:pStyle w:val="a6"/>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风险提示：</w:t>
      </w:r>
    </w:p>
    <w:p w:rsidR="00DF3DDF" w:rsidRDefault="00374747">
      <w:pPr>
        <w:pStyle w:val="a6"/>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基金管理人承诺以诚实信用、勤勉尽责的原则管理和运用基金资产，但不保证基金一定盈利，也不保证最低收益。基金的过往业绩并不代表其未来表现。投资有风险，敬请投资者认真阅读基金的相关法律文件，并选择适合自身风险承受能力的投资品种进行投资。</w:t>
      </w:r>
    </w:p>
    <w:p w:rsidR="00DF3DDF" w:rsidRDefault="00374747">
      <w:pPr>
        <w:pStyle w:val="a6"/>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特此公告。</w:t>
      </w:r>
    </w:p>
    <w:p w:rsidR="00DF3DDF" w:rsidRDefault="00DF3DDF">
      <w:pPr>
        <w:spacing w:line="360" w:lineRule="auto"/>
        <w:jc w:val="right"/>
        <w:rPr>
          <w:rFonts w:ascii="宋体" w:eastAsia="宋体" w:hAnsi="宋体" w:cs="宋体"/>
          <w:color w:val="000000" w:themeColor="text1"/>
          <w:sz w:val="24"/>
        </w:rPr>
      </w:pPr>
    </w:p>
    <w:p w:rsidR="00DF3DDF" w:rsidRDefault="00374747">
      <w:pPr>
        <w:spacing w:line="360" w:lineRule="auto"/>
        <w:jc w:val="right"/>
        <w:rPr>
          <w:rFonts w:ascii="宋体" w:eastAsia="宋体" w:hAnsi="宋体" w:cs="宋体"/>
          <w:color w:val="000000" w:themeColor="text1"/>
          <w:sz w:val="24"/>
        </w:rPr>
      </w:pPr>
      <w:r>
        <w:rPr>
          <w:rFonts w:ascii="宋体" w:eastAsia="宋体" w:hAnsi="宋体" w:cs="宋体" w:hint="eastAsia"/>
          <w:color w:val="000000" w:themeColor="text1"/>
          <w:sz w:val="24"/>
        </w:rPr>
        <w:t>新沃</w:t>
      </w:r>
      <w:r>
        <w:rPr>
          <w:rFonts w:ascii="宋体" w:eastAsia="宋体" w:hAnsi="宋体" w:cs="宋体"/>
          <w:color w:val="000000" w:themeColor="text1"/>
          <w:sz w:val="24"/>
        </w:rPr>
        <w:t xml:space="preserve">基金管理有限公司 </w:t>
      </w:r>
    </w:p>
    <w:p w:rsidR="00DF3DDF" w:rsidRDefault="00374747">
      <w:pPr>
        <w:spacing w:line="360" w:lineRule="auto"/>
        <w:jc w:val="right"/>
        <w:rPr>
          <w:color w:val="000000" w:themeColor="text1"/>
        </w:rPr>
      </w:pPr>
      <w:r>
        <w:rPr>
          <w:rFonts w:ascii="宋体" w:eastAsia="宋体" w:hAnsi="宋体" w:cs="宋体"/>
          <w:color w:val="000000" w:themeColor="text1"/>
          <w:sz w:val="24"/>
        </w:rPr>
        <w:t>202</w:t>
      </w:r>
      <w:r>
        <w:rPr>
          <w:rFonts w:ascii="宋体" w:eastAsia="宋体" w:hAnsi="宋体" w:cs="宋体" w:hint="eastAsia"/>
          <w:color w:val="000000" w:themeColor="text1"/>
          <w:sz w:val="24"/>
        </w:rPr>
        <w:t>4</w:t>
      </w:r>
      <w:r>
        <w:rPr>
          <w:rFonts w:ascii="宋体" w:eastAsia="宋体" w:hAnsi="宋体" w:cs="宋体"/>
          <w:color w:val="000000" w:themeColor="text1"/>
          <w:sz w:val="24"/>
        </w:rPr>
        <w:t>年</w:t>
      </w:r>
      <w:r>
        <w:rPr>
          <w:rFonts w:ascii="宋体" w:eastAsia="宋体" w:hAnsi="宋体" w:cs="宋体" w:hint="eastAsia"/>
          <w:color w:val="000000" w:themeColor="text1"/>
          <w:sz w:val="24"/>
        </w:rPr>
        <w:t>2</w:t>
      </w:r>
      <w:r>
        <w:rPr>
          <w:rFonts w:ascii="宋体" w:eastAsia="宋体" w:hAnsi="宋体" w:cs="宋体"/>
          <w:color w:val="000000" w:themeColor="text1"/>
          <w:sz w:val="24"/>
        </w:rPr>
        <w:t>月</w:t>
      </w:r>
      <w:r>
        <w:rPr>
          <w:rFonts w:ascii="宋体" w:eastAsia="宋体" w:hAnsi="宋体" w:cs="宋体" w:hint="eastAsia"/>
          <w:color w:val="000000" w:themeColor="text1"/>
          <w:sz w:val="24"/>
        </w:rPr>
        <w:t>8</w:t>
      </w:r>
      <w:r>
        <w:rPr>
          <w:rFonts w:ascii="宋体" w:eastAsia="宋体" w:hAnsi="宋体" w:cs="宋体"/>
          <w:color w:val="000000" w:themeColor="text1"/>
          <w:sz w:val="24"/>
        </w:rPr>
        <w:t>日</w:t>
      </w:r>
    </w:p>
    <w:sectPr w:rsidR="00DF3DDF" w:rsidSect="008145D5">
      <w:pgSz w:w="11850" w:h="16783"/>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9496E"/>
    <w:multiLevelType w:val="singleLevel"/>
    <w:tmpl w:val="3799496E"/>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DM3NTlkZWQwNGNhMjYwZDAzMTM3NDE0YzE0N2JlMjgifQ=="/>
  </w:docVars>
  <w:rsids>
    <w:rsidRoot w:val="57D32A57"/>
    <w:rsid w:val="00031223"/>
    <w:rsid w:val="000456F6"/>
    <w:rsid w:val="000C32FA"/>
    <w:rsid w:val="000E5FE2"/>
    <w:rsid w:val="00107DA9"/>
    <w:rsid w:val="001154D2"/>
    <w:rsid w:val="001D1331"/>
    <w:rsid w:val="002119B1"/>
    <w:rsid w:val="002B77A2"/>
    <w:rsid w:val="00317E47"/>
    <w:rsid w:val="00374747"/>
    <w:rsid w:val="00472A8E"/>
    <w:rsid w:val="004A637F"/>
    <w:rsid w:val="004C45E8"/>
    <w:rsid w:val="0052573C"/>
    <w:rsid w:val="00575C95"/>
    <w:rsid w:val="005B62D6"/>
    <w:rsid w:val="006A055D"/>
    <w:rsid w:val="008145D5"/>
    <w:rsid w:val="008761A9"/>
    <w:rsid w:val="00884DA7"/>
    <w:rsid w:val="00A51056"/>
    <w:rsid w:val="00AC011D"/>
    <w:rsid w:val="00B20F59"/>
    <w:rsid w:val="00B423BD"/>
    <w:rsid w:val="00B66E03"/>
    <w:rsid w:val="00C73D69"/>
    <w:rsid w:val="00CE0E24"/>
    <w:rsid w:val="00DA2904"/>
    <w:rsid w:val="00DF3DDF"/>
    <w:rsid w:val="00E60837"/>
    <w:rsid w:val="00F36F77"/>
    <w:rsid w:val="00FE75D7"/>
    <w:rsid w:val="03CC366C"/>
    <w:rsid w:val="052B13D5"/>
    <w:rsid w:val="05B94B74"/>
    <w:rsid w:val="081C413D"/>
    <w:rsid w:val="0A1833E3"/>
    <w:rsid w:val="17613ECF"/>
    <w:rsid w:val="1BDF2C69"/>
    <w:rsid w:val="1CB62E11"/>
    <w:rsid w:val="2025712A"/>
    <w:rsid w:val="219859E4"/>
    <w:rsid w:val="2A3D64F1"/>
    <w:rsid w:val="2F5032BC"/>
    <w:rsid w:val="3373565B"/>
    <w:rsid w:val="40F03DC5"/>
    <w:rsid w:val="49817E49"/>
    <w:rsid w:val="53166610"/>
    <w:rsid w:val="57D32A57"/>
    <w:rsid w:val="58375137"/>
    <w:rsid w:val="7BA42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5D5"/>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rsid w:val="008145D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sid w:val="008145D5"/>
    <w:rPr>
      <w:sz w:val="18"/>
      <w:szCs w:val="18"/>
    </w:rPr>
  </w:style>
  <w:style w:type="paragraph" w:styleId="a4">
    <w:name w:val="footer"/>
    <w:basedOn w:val="a"/>
    <w:link w:val="Char0"/>
    <w:autoRedefine/>
    <w:qFormat/>
    <w:rsid w:val="008145D5"/>
    <w:pPr>
      <w:tabs>
        <w:tab w:val="center" w:pos="4153"/>
        <w:tab w:val="right" w:pos="8306"/>
      </w:tabs>
      <w:snapToGrid w:val="0"/>
      <w:jc w:val="left"/>
    </w:pPr>
    <w:rPr>
      <w:sz w:val="18"/>
      <w:szCs w:val="18"/>
    </w:rPr>
  </w:style>
  <w:style w:type="paragraph" w:styleId="a5">
    <w:name w:val="header"/>
    <w:basedOn w:val="a"/>
    <w:link w:val="Char1"/>
    <w:autoRedefine/>
    <w:qFormat/>
    <w:rsid w:val="008145D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qFormat/>
    <w:rsid w:val="0081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autoRedefine/>
    <w:qFormat/>
    <w:rsid w:val="008145D5"/>
    <w:pPr>
      <w:spacing w:beforeAutospacing="1" w:afterAutospacing="1"/>
      <w:jc w:val="left"/>
    </w:pPr>
    <w:rPr>
      <w:rFonts w:cs="Times New Roman"/>
      <w:kern w:val="0"/>
      <w:sz w:val="24"/>
    </w:rPr>
  </w:style>
  <w:style w:type="table" w:styleId="a7">
    <w:name w:val="Table Grid"/>
    <w:basedOn w:val="a1"/>
    <w:autoRedefine/>
    <w:qFormat/>
    <w:rsid w:val="008145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autoRedefine/>
    <w:qFormat/>
    <w:rsid w:val="008145D5"/>
    <w:rPr>
      <w:rFonts w:asciiTheme="minorHAnsi" w:eastAsiaTheme="minorEastAsia" w:hAnsiTheme="minorHAnsi" w:cstheme="minorBidi"/>
      <w:kern w:val="2"/>
      <w:sz w:val="18"/>
      <w:szCs w:val="18"/>
    </w:rPr>
  </w:style>
  <w:style w:type="character" w:customStyle="1" w:styleId="Char0">
    <w:name w:val="页脚 Char"/>
    <w:basedOn w:val="a0"/>
    <w:link w:val="a4"/>
    <w:autoRedefine/>
    <w:qFormat/>
    <w:rsid w:val="008145D5"/>
    <w:rPr>
      <w:rFonts w:asciiTheme="minorHAnsi" w:eastAsiaTheme="minorEastAsia" w:hAnsiTheme="minorHAnsi" w:cstheme="minorBidi"/>
      <w:kern w:val="2"/>
      <w:sz w:val="18"/>
      <w:szCs w:val="18"/>
    </w:rPr>
  </w:style>
  <w:style w:type="character" w:customStyle="1" w:styleId="Char">
    <w:name w:val="批注框文本 Char"/>
    <w:basedOn w:val="a0"/>
    <w:link w:val="a3"/>
    <w:autoRedefine/>
    <w:qFormat/>
    <w:rsid w:val="008145D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4</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徐玲琳</dc:creator>
  <cp:lastModifiedBy>ZHONGM</cp:lastModifiedBy>
  <cp:revision>2</cp:revision>
  <dcterms:created xsi:type="dcterms:W3CDTF">2024-02-07T16:03:00Z</dcterms:created>
  <dcterms:modified xsi:type="dcterms:W3CDTF">2024-02-07T16:03:00Z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E3D70420900A47FA95716D47A376A9B4_12</vt:lpwstr>
  </property>
</Properties>
</file>