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26" w:rsidRDefault="00B47EF1" w:rsidP="009E6483">
      <w:pPr>
        <w:pStyle w:val="a7"/>
        <w:adjustRightInd w:val="0"/>
        <w:snapToGrid w:val="0"/>
        <w:ind w:firstLineChars="0" w:firstLine="0"/>
        <w:jc w:val="center"/>
        <w:rPr>
          <w:rFonts w:hAnsi="宋体"/>
          <w:b/>
          <w:kern w:val="0"/>
          <w:sz w:val="24"/>
        </w:rPr>
      </w:pPr>
      <w:r w:rsidRPr="003970C3">
        <w:rPr>
          <w:rFonts w:hAnsi="宋体" w:hint="eastAsia"/>
          <w:b/>
          <w:kern w:val="0"/>
          <w:sz w:val="24"/>
        </w:rPr>
        <w:t>华夏基金管理有限公司关于</w:t>
      </w:r>
      <w:r w:rsidR="0030505E">
        <w:rPr>
          <w:rFonts w:hAnsi="宋体" w:hint="eastAsia"/>
          <w:b/>
          <w:kern w:val="0"/>
          <w:sz w:val="24"/>
        </w:rPr>
        <w:t>调整</w:t>
      </w:r>
    </w:p>
    <w:p w:rsidR="008B79F8" w:rsidRDefault="00D90C26" w:rsidP="009E6483">
      <w:pPr>
        <w:pStyle w:val="a7"/>
        <w:adjustRightInd w:val="0"/>
        <w:snapToGrid w:val="0"/>
        <w:ind w:firstLineChars="0" w:firstLine="0"/>
        <w:jc w:val="center"/>
        <w:rPr>
          <w:rFonts w:hAnsi="宋体"/>
          <w:b/>
          <w:kern w:val="0"/>
          <w:sz w:val="24"/>
        </w:rPr>
      </w:pPr>
      <w:r>
        <w:rPr>
          <w:rFonts w:hAnsi="宋体" w:hint="eastAsia"/>
          <w:b/>
          <w:kern w:val="0"/>
          <w:sz w:val="24"/>
        </w:rPr>
        <w:t>华夏大中华信用精选债券型证券投资基金（</w:t>
      </w:r>
      <w:r>
        <w:rPr>
          <w:rFonts w:hAnsi="宋体" w:hint="eastAsia"/>
          <w:b/>
          <w:kern w:val="0"/>
          <w:sz w:val="24"/>
        </w:rPr>
        <w:t>QDII</w:t>
      </w:r>
      <w:r>
        <w:rPr>
          <w:rFonts w:hAnsi="宋体" w:hint="eastAsia"/>
          <w:b/>
          <w:kern w:val="0"/>
          <w:sz w:val="24"/>
        </w:rPr>
        <w:t>）</w:t>
      </w:r>
    </w:p>
    <w:p w:rsidR="00B47EF1" w:rsidRPr="003970C3" w:rsidRDefault="00B47EF1" w:rsidP="009E6483">
      <w:pPr>
        <w:pStyle w:val="a7"/>
        <w:adjustRightInd w:val="0"/>
        <w:snapToGrid w:val="0"/>
        <w:ind w:firstLineChars="0" w:firstLine="0"/>
        <w:jc w:val="center"/>
        <w:rPr>
          <w:rFonts w:hAnsi="宋体"/>
          <w:b/>
          <w:kern w:val="0"/>
          <w:sz w:val="24"/>
        </w:rPr>
      </w:pPr>
      <w:bookmarkStart w:id="0" w:name="_Hlk158119719"/>
      <w:r w:rsidRPr="003970C3">
        <w:rPr>
          <w:rFonts w:hAnsi="宋体" w:hint="eastAsia"/>
          <w:b/>
          <w:kern w:val="0"/>
          <w:sz w:val="24"/>
        </w:rPr>
        <w:t>业绩比较</w:t>
      </w:r>
      <w:r w:rsidRPr="003970C3">
        <w:rPr>
          <w:rFonts w:hAnsi="宋体"/>
          <w:b/>
          <w:kern w:val="0"/>
          <w:sz w:val="24"/>
        </w:rPr>
        <w:t>基准</w:t>
      </w:r>
      <w:r w:rsidR="00336053">
        <w:rPr>
          <w:rFonts w:hAnsi="宋体" w:hint="eastAsia"/>
          <w:b/>
          <w:kern w:val="0"/>
          <w:sz w:val="24"/>
        </w:rPr>
        <w:t>并修订基金合同</w:t>
      </w:r>
      <w:r w:rsidRPr="003970C3">
        <w:rPr>
          <w:rFonts w:hAnsi="宋体" w:hint="eastAsia"/>
          <w:b/>
          <w:kern w:val="0"/>
          <w:sz w:val="24"/>
        </w:rPr>
        <w:t>的公告</w:t>
      </w:r>
      <w:bookmarkEnd w:id="0"/>
    </w:p>
    <w:p w:rsidR="00B47EF1" w:rsidRDefault="00B47EF1" w:rsidP="009E6483">
      <w:pPr>
        <w:spacing w:line="360" w:lineRule="auto"/>
      </w:pPr>
    </w:p>
    <w:p w:rsidR="00D90C26" w:rsidRDefault="0030505E" w:rsidP="006F7443">
      <w:pPr>
        <w:autoSpaceDE w:val="0"/>
        <w:autoSpaceDN w:val="0"/>
        <w:adjustRightInd w:val="0"/>
        <w:spacing w:line="360" w:lineRule="auto"/>
        <w:ind w:firstLineChars="200" w:firstLine="480"/>
        <w:rPr>
          <w:rFonts w:hAnsi="宋体"/>
          <w:sz w:val="24"/>
        </w:rPr>
      </w:pPr>
      <w:r w:rsidRPr="000324B6">
        <w:rPr>
          <w:rFonts w:hAnsi="宋体" w:hint="eastAsia"/>
          <w:sz w:val="24"/>
        </w:rPr>
        <w:t>华夏基金管理有限公司（以下简称“本公司”）旗下</w:t>
      </w:r>
      <w:r>
        <w:rPr>
          <w:rFonts w:hAnsi="宋体" w:hint="eastAsia"/>
          <w:sz w:val="24"/>
        </w:rPr>
        <w:t>华夏大中华信用精选债券型证券投资基金（</w:t>
      </w:r>
      <w:r>
        <w:rPr>
          <w:rFonts w:hAnsi="宋体" w:hint="eastAsia"/>
          <w:sz w:val="24"/>
        </w:rPr>
        <w:t>QDII</w:t>
      </w:r>
      <w:r>
        <w:rPr>
          <w:rFonts w:hAnsi="宋体" w:hint="eastAsia"/>
          <w:sz w:val="24"/>
        </w:rPr>
        <w:t>）</w:t>
      </w:r>
      <w:r w:rsidRPr="000324B6">
        <w:rPr>
          <w:rFonts w:hAnsi="宋体" w:hint="eastAsia"/>
          <w:sz w:val="24"/>
        </w:rPr>
        <w:t>（</w:t>
      </w:r>
      <w:r>
        <w:rPr>
          <w:rFonts w:hAnsi="宋体" w:hint="eastAsia"/>
          <w:sz w:val="24"/>
        </w:rPr>
        <w:t>基金简称：</w:t>
      </w:r>
      <w:r w:rsidRPr="00D90C26">
        <w:rPr>
          <w:rFonts w:hAnsi="宋体" w:hint="eastAsia"/>
          <w:sz w:val="24"/>
        </w:rPr>
        <w:t>华夏大中华信用债券（</w:t>
      </w:r>
      <w:r w:rsidRPr="00D90C26">
        <w:rPr>
          <w:rFonts w:hAnsi="宋体" w:hint="eastAsia"/>
          <w:sz w:val="24"/>
        </w:rPr>
        <w:t>QDII</w:t>
      </w:r>
      <w:r w:rsidRPr="00D90C26">
        <w:rPr>
          <w:rFonts w:hAnsi="宋体" w:hint="eastAsia"/>
          <w:sz w:val="24"/>
        </w:rPr>
        <w:t>）</w:t>
      </w:r>
      <w:r>
        <w:rPr>
          <w:rFonts w:hAnsi="宋体" w:hint="eastAsia"/>
          <w:sz w:val="24"/>
        </w:rPr>
        <w:t>，基金主代码：</w:t>
      </w:r>
      <w:r w:rsidRPr="00D90C26">
        <w:rPr>
          <w:rFonts w:hAnsi="宋体"/>
          <w:sz w:val="24"/>
        </w:rPr>
        <w:t>002877</w:t>
      </w:r>
      <w:r>
        <w:rPr>
          <w:rFonts w:hAnsi="宋体" w:hint="eastAsia"/>
          <w:sz w:val="24"/>
        </w:rPr>
        <w:t>，</w:t>
      </w:r>
      <w:r w:rsidRPr="000324B6">
        <w:rPr>
          <w:rFonts w:hAnsi="宋体" w:hint="eastAsia"/>
          <w:sz w:val="24"/>
        </w:rPr>
        <w:t>以下简称“本基金”）的业绩比较基准</w:t>
      </w:r>
      <w:r>
        <w:rPr>
          <w:rFonts w:hAnsi="宋体" w:hint="eastAsia"/>
          <w:sz w:val="24"/>
        </w:rPr>
        <w:t>目前为“</w:t>
      </w:r>
      <w:r w:rsidRPr="00F8129A">
        <w:rPr>
          <w:rFonts w:hAnsi="宋体"/>
          <w:sz w:val="24"/>
        </w:rPr>
        <w:t>50%*</w:t>
      </w:r>
      <w:r w:rsidRPr="00F8129A">
        <w:rPr>
          <w:rFonts w:hAnsi="宋体" w:hint="eastAsia"/>
          <w:sz w:val="24"/>
        </w:rPr>
        <w:t>中债综合指数</w:t>
      </w:r>
      <w:r w:rsidRPr="00F8129A">
        <w:rPr>
          <w:rFonts w:hAnsi="宋体"/>
          <w:sz w:val="24"/>
        </w:rPr>
        <w:t>+50%*</w:t>
      </w:r>
      <w:r w:rsidRPr="00F8129A">
        <w:rPr>
          <w:rFonts w:hAnsi="宋体" w:hint="eastAsia"/>
          <w:sz w:val="24"/>
        </w:rPr>
        <w:t>摩根大通亚洲信用债指数中国子指数（</w:t>
      </w:r>
      <w:r w:rsidRPr="00F8129A">
        <w:rPr>
          <w:rFonts w:hAnsi="宋体"/>
          <w:sz w:val="24"/>
        </w:rPr>
        <w:t>J.P. Morgan Asia Credit Index China</w:t>
      </w:r>
      <w:r w:rsidRPr="00F8129A">
        <w:rPr>
          <w:rFonts w:hAnsi="宋体" w:hint="eastAsia"/>
          <w:sz w:val="24"/>
        </w:rPr>
        <w:t>）</w:t>
      </w:r>
      <w:r>
        <w:rPr>
          <w:rFonts w:hAnsi="宋体" w:hint="eastAsia"/>
          <w:sz w:val="24"/>
        </w:rPr>
        <w:t>”。</w:t>
      </w:r>
      <w:r w:rsidRPr="000324B6">
        <w:rPr>
          <w:rFonts w:hAnsi="宋体" w:hint="eastAsia"/>
          <w:sz w:val="24"/>
        </w:rPr>
        <w:t>根据本基金基金合同、招募说明书及其更新的规定，本着维护基金份额持有人利益</w:t>
      </w:r>
      <w:r>
        <w:rPr>
          <w:rFonts w:hAnsi="宋体" w:hint="eastAsia"/>
          <w:sz w:val="24"/>
        </w:rPr>
        <w:t>和更好服务投资者</w:t>
      </w:r>
      <w:r w:rsidRPr="000324B6">
        <w:rPr>
          <w:rFonts w:hAnsi="宋体" w:hint="eastAsia"/>
          <w:sz w:val="24"/>
        </w:rPr>
        <w:t>的原则，</w:t>
      </w:r>
      <w:r w:rsidRPr="000324B6">
        <w:rPr>
          <w:rFonts w:hAnsi="宋体"/>
          <w:sz w:val="24"/>
        </w:rPr>
        <w:t>经过</w:t>
      </w:r>
      <w:r>
        <w:rPr>
          <w:rFonts w:hAnsi="宋体" w:hint="eastAsia"/>
          <w:sz w:val="24"/>
        </w:rPr>
        <w:t>本公司</w:t>
      </w:r>
      <w:r w:rsidRPr="000324B6">
        <w:rPr>
          <w:rFonts w:hAnsi="宋体"/>
          <w:sz w:val="24"/>
        </w:rPr>
        <w:t>审慎评估，并与基金托管人协商一致，</w:t>
      </w:r>
      <w:r>
        <w:rPr>
          <w:rFonts w:hAnsi="宋体" w:hint="eastAsia"/>
          <w:sz w:val="24"/>
        </w:rPr>
        <w:t>认为</w:t>
      </w:r>
      <w:r w:rsidRPr="00D90C26">
        <w:rPr>
          <w:rFonts w:hAnsi="宋体" w:hint="eastAsia"/>
          <w:sz w:val="24"/>
        </w:rPr>
        <w:t>彭博中资美元债指数（</w:t>
      </w:r>
      <w:r w:rsidRPr="00D90C26">
        <w:rPr>
          <w:rFonts w:hAnsi="宋体" w:hint="eastAsia"/>
          <w:sz w:val="24"/>
        </w:rPr>
        <w:t>Bloomberg Asia Ex-Japan USD Credit China Index</w:t>
      </w:r>
      <w:r w:rsidRPr="00D90C26">
        <w:rPr>
          <w:rFonts w:hAnsi="宋体" w:hint="eastAsia"/>
          <w:sz w:val="24"/>
        </w:rPr>
        <w:t>）</w:t>
      </w:r>
      <w:r>
        <w:rPr>
          <w:rFonts w:hAnsi="宋体" w:hint="eastAsia"/>
          <w:sz w:val="24"/>
        </w:rPr>
        <w:t>在</w:t>
      </w:r>
      <w:r w:rsidRPr="00F8129A">
        <w:rPr>
          <w:rFonts w:hAnsi="宋体" w:hint="eastAsia"/>
          <w:sz w:val="24"/>
        </w:rPr>
        <w:t>使用群体的广度和对市场跟踪的精度上更具优势，</w:t>
      </w:r>
      <w:r>
        <w:rPr>
          <w:rFonts w:hAnsi="宋体" w:hint="eastAsia"/>
          <w:sz w:val="24"/>
        </w:rPr>
        <w:t>更</w:t>
      </w:r>
      <w:r w:rsidRPr="00882AC8">
        <w:rPr>
          <w:rFonts w:hAnsi="宋体" w:hint="eastAsia"/>
          <w:sz w:val="24"/>
        </w:rPr>
        <w:t>适合作为本基金的业绩</w:t>
      </w:r>
      <w:r>
        <w:rPr>
          <w:rFonts w:hAnsi="宋体" w:hint="eastAsia"/>
          <w:sz w:val="24"/>
        </w:rPr>
        <w:t>比较</w:t>
      </w:r>
      <w:r w:rsidRPr="00882AC8">
        <w:rPr>
          <w:rFonts w:hAnsi="宋体" w:hint="eastAsia"/>
          <w:sz w:val="24"/>
        </w:rPr>
        <w:t>基准。</w:t>
      </w:r>
      <w:r w:rsidR="00C461D2">
        <w:rPr>
          <w:rFonts w:hAnsi="宋体" w:hint="eastAsia"/>
          <w:sz w:val="24"/>
        </w:rPr>
        <w:t>本公司</w:t>
      </w:r>
      <w:r w:rsidR="00D90C26" w:rsidRPr="00D90C26">
        <w:rPr>
          <w:rFonts w:hAnsi="宋体" w:hint="eastAsia"/>
          <w:sz w:val="24"/>
        </w:rPr>
        <w:t>决定自</w:t>
      </w:r>
      <w:r w:rsidR="00D90C26">
        <w:rPr>
          <w:rFonts w:hAnsi="宋体" w:hint="eastAsia"/>
          <w:sz w:val="24"/>
        </w:rPr>
        <w:t>20</w:t>
      </w:r>
      <w:r w:rsidR="00D90C26">
        <w:rPr>
          <w:rFonts w:hAnsi="宋体"/>
          <w:sz w:val="24"/>
        </w:rPr>
        <w:t>24</w:t>
      </w:r>
      <w:r w:rsidR="00D90C26" w:rsidRPr="00A85DD0">
        <w:rPr>
          <w:rFonts w:hAnsi="宋体" w:hint="eastAsia"/>
          <w:sz w:val="24"/>
        </w:rPr>
        <w:t>年</w:t>
      </w:r>
      <w:r w:rsidR="00D90C26">
        <w:rPr>
          <w:rFonts w:hAnsi="宋体"/>
          <w:sz w:val="24"/>
        </w:rPr>
        <w:t>2</w:t>
      </w:r>
      <w:r w:rsidR="00D90C26" w:rsidRPr="00A85DD0">
        <w:rPr>
          <w:rFonts w:hAnsi="宋体" w:hint="eastAsia"/>
          <w:sz w:val="24"/>
        </w:rPr>
        <w:t>月</w:t>
      </w:r>
      <w:r w:rsidR="00D90C26">
        <w:rPr>
          <w:rFonts w:hAnsi="宋体"/>
          <w:sz w:val="24"/>
        </w:rPr>
        <w:t>20</w:t>
      </w:r>
      <w:r w:rsidR="00D90C26" w:rsidRPr="00A85DD0">
        <w:rPr>
          <w:rFonts w:hAnsi="宋体" w:hint="eastAsia"/>
          <w:sz w:val="24"/>
        </w:rPr>
        <w:t>日</w:t>
      </w:r>
      <w:r w:rsidR="00D90C26" w:rsidRPr="00D90C26">
        <w:rPr>
          <w:rFonts w:hAnsi="宋体" w:hint="eastAsia"/>
          <w:sz w:val="24"/>
        </w:rPr>
        <w:t>起</w:t>
      </w:r>
      <w:r w:rsidR="00E0687C">
        <w:rPr>
          <w:rFonts w:hAnsi="宋体" w:hint="eastAsia"/>
          <w:sz w:val="24"/>
        </w:rPr>
        <w:t>调整</w:t>
      </w:r>
      <w:r w:rsidR="00D90C26" w:rsidRPr="00D90C26">
        <w:rPr>
          <w:rFonts w:hAnsi="宋体" w:hint="eastAsia"/>
          <w:sz w:val="24"/>
        </w:rPr>
        <w:t>本基金的业绩比较基准</w:t>
      </w:r>
      <w:r w:rsidR="006A61FA">
        <w:rPr>
          <w:rFonts w:hAnsi="宋体" w:hint="eastAsia"/>
          <w:sz w:val="24"/>
        </w:rPr>
        <w:t>并相应修订本基金基金合同</w:t>
      </w:r>
      <w:r w:rsidR="00D90C26" w:rsidRPr="00D90C26">
        <w:rPr>
          <w:rFonts w:hAnsi="宋体" w:hint="eastAsia"/>
          <w:sz w:val="24"/>
        </w:rPr>
        <w:t>。具体</w:t>
      </w:r>
      <w:r w:rsidR="00D70C24">
        <w:rPr>
          <w:rFonts w:hAnsi="宋体" w:hint="eastAsia"/>
          <w:sz w:val="24"/>
        </w:rPr>
        <w:t>情况</w:t>
      </w:r>
      <w:r w:rsidR="00D90C26" w:rsidRPr="00D90C26">
        <w:rPr>
          <w:rFonts w:hAnsi="宋体" w:hint="eastAsia"/>
          <w:sz w:val="24"/>
        </w:rPr>
        <w:t>如下：</w:t>
      </w:r>
    </w:p>
    <w:p w:rsidR="00087DFE" w:rsidRPr="00087DFE" w:rsidRDefault="00642255" w:rsidP="009E6483">
      <w:pPr>
        <w:autoSpaceDE w:val="0"/>
        <w:autoSpaceDN w:val="0"/>
        <w:adjustRightInd w:val="0"/>
        <w:spacing w:line="360" w:lineRule="auto"/>
        <w:ind w:firstLineChars="200" w:firstLine="480"/>
        <w:rPr>
          <w:rFonts w:hAnsi="宋体"/>
          <w:kern w:val="0"/>
          <w:sz w:val="24"/>
        </w:rPr>
      </w:pPr>
      <w:r>
        <w:rPr>
          <w:rFonts w:hAnsi="宋体" w:hint="eastAsia"/>
          <w:kern w:val="0"/>
          <w:sz w:val="24"/>
        </w:rPr>
        <w:t>一、调整业绩比较基准</w:t>
      </w:r>
    </w:p>
    <w:p w:rsidR="002137E6" w:rsidRDefault="00A258AF" w:rsidP="009E6483">
      <w:pPr>
        <w:autoSpaceDE w:val="0"/>
        <w:autoSpaceDN w:val="0"/>
        <w:adjustRightInd w:val="0"/>
        <w:spacing w:line="360" w:lineRule="auto"/>
        <w:ind w:firstLineChars="200" w:firstLine="480"/>
        <w:rPr>
          <w:rFonts w:hAnsi="宋体"/>
          <w:sz w:val="24"/>
        </w:rPr>
      </w:pPr>
      <w:r w:rsidRPr="00A85DD0">
        <w:rPr>
          <w:rFonts w:hAnsi="宋体" w:hint="eastAsia"/>
          <w:sz w:val="24"/>
        </w:rPr>
        <w:t>自</w:t>
      </w:r>
      <w:r w:rsidR="00D90C26">
        <w:rPr>
          <w:rFonts w:hAnsi="宋体" w:hint="eastAsia"/>
          <w:sz w:val="24"/>
        </w:rPr>
        <w:t>20</w:t>
      </w:r>
      <w:r w:rsidR="00D90C26">
        <w:rPr>
          <w:rFonts w:hAnsi="宋体"/>
          <w:sz w:val="24"/>
        </w:rPr>
        <w:t>24</w:t>
      </w:r>
      <w:r w:rsidRPr="00A85DD0">
        <w:rPr>
          <w:rFonts w:hAnsi="宋体" w:hint="eastAsia"/>
          <w:sz w:val="24"/>
        </w:rPr>
        <w:t>年</w:t>
      </w:r>
      <w:r w:rsidR="00D90C26">
        <w:rPr>
          <w:rFonts w:hAnsi="宋体"/>
          <w:sz w:val="24"/>
        </w:rPr>
        <w:t>2</w:t>
      </w:r>
      <w:r w:rsidRPr="00A85DD0">
        <w:rPr>
          <w:rFonts w:hAnsi="宋体" w:hint="eastAsia"/>
          <w:sz w:val="24"/>
        </w:rPr>
        <w:t>月</w:t>
      </w:r>
      <w:r w:rsidR="00D90C26">
        <w:rPr>
          <w:rFonts w:hAnsi="宋体"/>
          <w:sz w:val="24"/>
        </w:rPr>
        <w:t>20</w:t>
      </w:r>
      <w:r w:rsidRPr="00A85DD0">
        <w:rPr>
          <w:rFonts w:hAnsi="宋体" w:hint="eastAsia"/>
          <w:sz w:val="24"/>
        </w:rPr>
        <w:t>日</w:t>
      </w:r>
      <w:r w:rsidRPr="00A85DD0">
        <w:rPr>
          <w:rFonts w:hAnsi="宋体"/>
          <w:sz w:val="24"/>
        </w:rPr>
        <w:t>起，</w:t>
      </w:r>
      <w:r w:rsidRPr="00A85DD0">
        <w:rPr>
          <w:rFonts w:hAnsi="宋体" w:hint="eastAsia"/>
          <w:sz w:val="24"/>
        </w:rPr>
        <w:t>将</w:t>
      </w:r>
      <w:r w:rsidR="00833EC9">
        <w:rPr>
          <w:rFonts w:hAnsi="宋体" w:hint="eastAsia"/>
          <w:kern w:val="0"/>
          <w:sz w:val="24"/>
        </w:rPr>
        <w:t>本基金</w:t>
      </w:r>
      <w:r w:rsidRPr="00A85DD0">
        <w:rPr>
          <w:rFonts w:hAnsi="宋体" w:hint="eastAsia"/>
          <w:sz w:val="24"/>
        </w:rPr>
        <w:t>的</w:t>
      </w:r>
      <w:r w:rsidRPr="00A85DD0">
        <w:rPr>
          <w:rFonts w:hAnsi="宋体"/>
          <w:sz w:val="24"/>
        </w:rPr>
        <w:t>业绩比较基准</w:t>
      </w:r>
      <w:r w:rsidRPr="00A85DD0">
        <w:rPr>
          <w:rFonts w:hAnsi="宋体" w:hint="eastAsia"/>
          <w:sz w:val="24"/>
        </w:rPr>
        <w:t>调整</w:t>
      </w:r>
      <w:r w:rsidRPr="00A85DD0">
        <w:rPr>
          <w:rFonts w:hAnsi="宋体"/>
          <w:sz w:val="24"/>
        </w:rPr>
        <w:t>为“</w:t>
      </w:r>
      <w:r w:rsidR="00D90C26" w:rsidRPr="00D90C26">
        <w:rPr>
          <w:rFonts w:hAnsi="宋体" w:hint="eastAsia"/>
          <w:sz w:val="24"/>
        </w:rPr>
        <w:t>50%*</w:t>
      </w:r>
      <w:r w:rsidR="00D90C26" w:rsidRPr="00D90C26">
        <w:rPr>
          <w:rFonts w:hAnsi="宋体" w:hint="eastAsia"/>
          <w:sz w:val="24"/>
        </w:rPr>
        <w:t>中债综合指数</w:t>
      </w:r>
      <w:r w:rsidR="00D90C26" w:rsidRPr="00D90C26">
        <w:rPr>
          <w:rFonts w:hAnsi="宋体" w:hint="eastAsia"/>
          <w:sz w:val="24"/>
        </w:rPr>
        <w:t>+50%*</w:t>
      </w:r>
      <w:r w:rsidR="00D90C26" w:rsidRPr="00D90C26">
        <w:rPr>
          <w:rFonts w:hAnsi="宋体" w:hint="eastAsia"/>
          <w:sz w:val="24"/>
        </w:rPr>
        <w:t>彭博中资美元债指数（</w:t>
      </w:r>
      <w:r w:rsidR="00D90C26" w:rsidRPr="00D90C26">
        <w:rPr>
          <w:rFonts w:hAnsi="宋体" w:hint="eastAsia"/>
          <w:sz w:val="24"/>
        </w:rPr>
        <w:t>Bloomberg Asia Ex-Japan USD Credit China Index</w:t>
      </w:r>
      <w:r w:rsidR="00D90C26" w:rsidRPr="00D90C26">
        <w:rPr>
          <w:rFonts w:hAnsi="宋体" w:hint="eastAsia"/>
          <w:sz w:val="24"/>
        </w:rPr>
        <w:t>）</w:t>
      </w:r>
      <w:r w:rsidRPr="00A85DD0">
        <w:rPr>
          <w:rFonts w:hAnsi="宋体"/>
          <w:sz w:val="24"/>
        </w:rPr>
        <w:t>”</w:t>
      </w:r>
      <w:r w:rsidR="00CF2FD8">
        <w:rPr>
          <w:rFonts w:hAnsi="宋体" w:hint="eastAsia"/>
          <w:sz w:val="24"/>
        </w:rPr>
        <w:t>。</w:t>
      </w:r>
    </w:p>
    <w:p w:rsidR="00642255" w:rsidRDefault="00642255" w:rsidP="009E6483">
      <w:pPr>
        <w:autoSpaceDE w:val="0"/>
        <w:autoSpaceDN w:val="0"/>
        <w:adjustRightInd w:val="0"/>
        <w:spacing w:line="360" w:lineRule="auto"/>
        <w:ind w:firstLineChars="200" w:firstLine="480"/>
        <w:rPr>
          <w:rFonts w:hAnsi="宋体"/>
          <w:sz w:val="24"/>
        </w:rPr>
      </w:pPr>
      <w:r>
        <w:rPr>
          <w:rFonts w:hAnsi="宋体" w:hint="eastAsia"/>
          <w:sz w:val="24"/>
        </w:rPr>
        <w:t>二、基金合同</w:t>
      </w:r>
      <w:r w:rsidR="00AA7225">
        <w:rPr>
          <w:rFonts w:hAnsi="宋体" w:hint="eastAsia"/>
          <w:sz w:val="24"/>
        </w:rPr>
        <w:t>修订</w:t>
      </w:r>
    </w:p>
    <w:tbl>
      <w:tblPr>
        <w:tblW w:w="9883"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1078"/>
        <w:gridCol w:w="4172"/>
        <w:gridCol w:w="3639"/>
      </w:tblGrid>
      <w:tr w:rsidR="00A258AF" w:rsidRPr="00446044" w:rsidTr="00526FD7">
        <w:tc>
          <w:tcPr>
            <w:tcW w:w="994" w:type="dxa"/>
          </w:tcPr>
          <w:p w:rsidR="00A258AF" w:rsidRPr="00446044" w:rsidDel="00823979" w:rsidRDefault="00A258AF" w:rsidP="009E6483">
            <w:pPr>
              <w:spacing w:line="360" w:lineRule="auto"/>
              <w:jc w:val="center"/>
              <w:rPr>
                <w:szCs w:val="21"/>
              </w:rPr>
            </w:pPr>
            <w:r w:rsidRPr="00446044">
              <w:rPr>
                <w:szCs w:val="21"/>
              </w:rPr>
              <w:t>章节</w:t>
            </w:r>
          </w:p>
        </w:tc>
        <w:tc>
          <w:tcPr>
            <w:tcW w:w="1078" w:type="dxa"/>
          </w:tcPr>
          <w:p w:rsidR="00A258AF" w:rsidRPr="00446044" w:rsidRDefault="00A258AF" w:rsidP="009E6483">
            <w:pPr>
              <w:spacing w:line="360" w:lineRule="auto"/>
              <w:jc w:val="center"/>
              <w:rPr>
                <w:szCs w:val="21"/>
              </w:rPr>
            </w:pPr>
            <w:r w:rsidRPr="00446044">
              <w:rPr>
                <w:szCs w:val="21"/>
              </w:rPr>
              <w:t>段落</w:t>
            </w:r>
          </w:p>
        </w:tc>
        <w:tc>
          <w:tcPr>
            <w:tcW w:w="4172" w:type="dxa"/>
          </w:tcPr>
          <w:p w:rsidR="00A258AF" w:rsidRPr="00446044" w:rsidDel="00823979" w:rsidRDefault="00A258AF" w:rsidP="009E6483">
            <w:pPr>
              <w:spacing w:line="360" w:lineRule="auto"/>
              <w:jc w:val="center"/>
              <w:rPr>
                <w:szCs w:val="21"/>
              </w:rPr>
            </w:pPr>
            <w:r w:rsidRPr="00446044">
              <w:rPr>
                <w:szCs w:val="21"/>
              </w:rPr>
              <w:t>修订前</w:t>
            </w:r>
          </w:p>
        </w:tc>
        <w:tc>
          <w:tcPr>
            <w:tcW w:w="3639" w:type="dxa"/>
          </w:tcPr>
          <w:p w:rsidR="00A258AF" w:rsidRPr="00446044" w:rsidRDefault="00A258AF" w:rsidP="009E6483">
            <w:pPr>
              <w:spacing w:line="360" w:lineRule="auto"/>
              <w:jc w:val="center"/>
              <w:rPr>
                <w:szCs w:val="21"/>
              </w:rPr>
            </w:pPr>
            <w:r w:rsidRPr="00446044">
              <w:rPr>
                <w:szCs w:val="21"/>
              </w:rPr>
              <w:t>修订后</w:t>
            </w:r>
          </w:p>
        </w:tc>
      </w:tr>
      <w:tr w:rsidR="00D31E1B" w:rsidRPr="00446044" w:rsidTr="00526FD7">
        <w:tc>
          <w:tcPr>
            <w:tcW w:w="994" w:type="dxa"/>
          </w:tcPr>
          <w:p w:rsidR="00D31E1B" w:rsidRPr="00D31E1B" w:rsidRDefault="00D31E1B" w:rsidP="009E6483">
            <w:pPr>
              <w:spacing w:line="360" w:lineRule="auto"/>
              <w:jc w:val="center"/>
              <w:rPr>
                <w:szCs w:val="21"/>
              </w:rPr>
            </w:pPr>
            <w:r w:rsidRPr="00446044">
              <w:rPr>
                <w:kern w:val="0"/>
                <w:szCs w:val="21"/>
              </w:rPr>
              <w:t>第</w:t>
            </w:r>
            <w:r>
              <w:rPr>
                <w:rFonts w:hint="eastAsia"/>
                <w:kern w:val="0"/>
                <w:szCs w:val="21"/>
              </w:rPr>
              <w:t>七</w:t>
            </w:r>
            <w:r w:rsidRPr="00446044">
              <w:rPr>
                <w:kern w:val="0"/>
                <w:szCs w:val="21"/>
              </w:rPr>
              <w:t>部分</w:t>
            </w:r>
            <w:r w:rsidRPr="00446044">
              <w:rPr>
                <w:kern w:val="0"/>
                <w:szCs w:val="21"/>
              </w:rPr>
              <w:t xml:space="preserve"> </w:t>
            </w:r>
            <w:r w:rsidRPr="00446044">
              <w:rPr>
                <w:kern w:val="0"/>
                <w:szCs w:val="21"/>
              </w:rPr>
              <w:t>基金</w:t>
            </w:r>
            <w:r>
              <w:rPr>
                <w:rFonts w:hint="eastAsia"/>
                <w:kern w:val="0"/>
                <w:szCs w:val="21"/>
              </w:rPr>
              <w:t>合同当事人及权利义务</w:t>
            </w:r>
          </w:p>
        </w:tc>
        <w:tc>
          <w:tcPr>
            <w:tcW w:w="1078" w:type="dxa"/>
          </w:tcPr>
          <w:p w:rsidR="00D31E1B" w:rsidRPr="00446044" w:rsidRDefault="00D31E1B" w:rsidP="00AE182E">
            <w:pPr>
              <w:spacing w:line="360" w:lineRule="auto"/>
              <w:rPr>
                <w:szCs w:val="21"/>
              </w:rPr>
            </w:pPr>
            <w:r>
              <w:rPr>
                <w:rFonts w:hint="eastAsia"/>
                <w:szCs w:val="21"/>
              </w:rPr>
              <w:t>一、基金管理人</w:t>
            </w:r>
          </w:p>
        </w:tc>
        <w:tc>
          <w:tcPr>
            <w:tcW w:w="4172" w:type="dxa"/>
          </w:tcPr>
          <w:p w:rsidR="00D31E1B" w:rsidRPr="00A63C46" w:rsidRDefault="00D31E1B" w:rsidP="00AE182E">
            <w:pPr>
              <w:spacing w:line="360" w:lineRule="auto"/>
              <w:rPr>
                <w:color w:val="000000" w:themeColor="text1"/>
              </w:rPr>
            </w:pPr>
            <w:bookmarkStart w:id="1" w:name="_Toc15118235"/>
            <w:r w:rsidRPr="00A63C46">
              <w:rPr>
                <w:rFonts w:hAnsi="宋体" w:hint="eastAsia"/>
                <w:color w:val="000000" w:themeColor="text1"/>
              </w:rPr>
              <w:t>（一）基金管理人简况</w:t>
            </w:r>
            <w:bookmarkEnd w:id="1"/>
          </w:p>
          <w:p w:rsidR="00D31E1B" w:rsidRPr="00A63C46" w:rsidRDefault="00D31E1B" w:rsidP="00AE182E">
            <w:pPr>
              <w:spacing w:line="360" w:lineRule="auto"/>
              <w:rPr>
                <w:color w:val="000000" w:themeColor="text1"/>
              </w:rPr>
            </w:pPr>
            <w:bookmarkStart w:id="2" w:name="_Toc15118236"/>
            <w:r w:rsidRPr="00A63C46">
              <w:rPr>
                <w:rFonts w:hAnsi="宋体" w:hint="eastAsia"/>
                <w:color w:val="000000" w:themeColor="text1"/>
              </w:rPr>
              <w:t>名称：</w:t>
            </w:r>
            <w:bookmarkEnd w:id="2"/>
            <w:r w:rsidRPr="00A63C46">
              <w:rPr>
                <w:rFonts w:hAnsi="宋体" w:hint="eastAsia"/>
                <w:bCs/>
                <w:color w:val="000000" w:themeColor="text1"/>
                <w:szCs w:val="21"/>
              </w:rPr>
              <w:t>华夏基金管理有限公司</w:t>
            </w:r>
          </w:p>
          <w:p w:rsidR="00D31E1B" w:rsidRPr="00A63C46" w:rsidRDefault="00D31E1B" w:rsidP="00AE182E">
            <w:pPr>
              <w:spacing w:line="360" w:lineRule="auto"/>
              <w:rPr>
                <w:color w:val="000000" w:themeColor="text1"/>
              </w:rPr>
            </w:pPr>
            <w:r w:rsidRPr="00A63C46">
              <w:rPr>
                <w:rFonts w:hAnsi="宋体" w:hint="eastAsia"/>
                <w:color w:val="000000" w:themeColor="text1"/>
              </w:rPr>
              <w:t>住所：</w:t>
            </w:r>
            <w:r w:rsidRPr="00A63C46">
              <w:rPr>
                <w:rFonts w:hAnsi="宋体" w:hint="eastAsia"/>
                <w:bCs/>
                <w:color w:val="000000" w:themeColor="text1"/>
                <w:szCs w:val="21"/>
              </w:rPr>
              <w:t>北京市顺义区</w:t>
            </w:r>
            <w:r w:rsidRPr="00E11744">
              <w:rPr>
                <w:rFonts w:hAnsi="宋体" w:hint="eastAsia"/>
                <w:bCs/>
                <w:color w:val="000000" w:themeColor="text1"/>
                <w:szCs w:val="21"/>
              </w:rPr>
              <w:t>安庆大街甲</w:t>
            </w:r>
            <w:r w:rsidRPr="00E11744">
              <w:rPr>
                <w:rFonts w:hAnsi="宋体" w:hint="eastAsia"/>
                <w:bCs/>
                <w:color w:val="000000" w:themeColor="text1"/>
                <w:szCs w:val="21"/>
              </w:rPr>
              <w:t>3</w:t>
            </w:r>
            <w:r w:rsidRPr="00E11744">
              <w:rPr>
                <w:rFonts w:hAnsi="宋体" w:hint="eastAsia"/>
                <w:bCs/>
                <w:color w:val="000000" w:themeColor="text1"/>
                <w:szCs w:val="21"/>
              </w:rPr>
              <w:t>号院</w:t>
            </w:r>
          </w:p>
          <w:p w:rsidR="00D31E1B" w:rsidRPr="00AE182E" w:rsidRDefault="00D31E1B" w:rsidP="00AE182E">
            <w:pPr>
              <w:spacing w:line="360" w:lineRule="auto"/>
              <w:rPr>
                <w:b/>
                <w:i/>
                <w:color w:val="000000" w:themeColor="text1"/>
              </w:rPr>
            </w:pPr>
            <w:r w:rsidRPr="00A63C46">
              <w:rPr>
                <w:rFonts w:hAnsi="宋体" w:hint="eastAsia"/>
                <w:color w:val="000000" w:themeColor="text1"/>
              </w:rPr>
              <w:t>法定代表人：</w:t>
            </w:r>
            <w:r w:rsidRPr="00AE182E">
              <w:rPr>
                <w:rFonts w:hAnsi="宋体" w:hint="eastAsia"/>
                <w:b/>
                <w:bCs/>
                <w:i/>
                <w:color w:val="000000" w:themeColor="text1"/>
                <w:szCs w:val="21"/>
              </w:rPr>
              <w:t>杨明辉</w:t>
            </w:r>
          </w:p>
          <w:p w:rsidR="00D31E1B" w:rsidRPr="00D31E1B" w:rsidRDefault="00D31E1B" w:rsidP="00AE182E">
            <w:pPr>
              <w:spacing w:line="360" w:lineRule="auto"/>
              <w:rPr>
                <w:szCs w:val="21"/>
              </w:rPr>
            </w:pPr>
            <w:r>
              <w:rPr>
                <w:rFonts w:hint="eastAsia"/>
                <w:szCs w:val="21"/>
              </w:rPr>
              <w:t>……</w:t>
            </w:r>
          </w:p>
        </w:tc>
        <w:tc>
          <w:tcPr>
            <w:tcW w:w="3639" w:type="dxa"/>
          </w:tcPr>
          <w:p w:rsidR="00D31E1B" w:rsidRPr="00A63C46" w:rsidRDefault="00D31E1B" w:rsidP="00AE182E">
            <w:pPr>
              <w:spacing w:line="360" w:lineRule="auto"/>
              <w:rPr>
                <w:color w:val="000000" w:themeColor="text1"/>
              </w:rPr>
            </w:pPr>
            <w:r w:rsidRPr="00A63C46">
              <w:rPr>
                <w:rFonts w:hAnsi="宋体" w:hint="eastAsia"/>
                <w:color w:val="000000" w:themeColor="text1"/>
              </w:rPr>
              <w:t>（一）基金管理人简况</w:t>
            </w:r>
          </w:p>
          <w:p w:rsidR="00D31E1B" w:rsidRPr="00A63C46" w:rsidRDefault="00D31E1B" w:rsidP="00AE182E">
            <w:pPr>
              <w:spacing w:line="360" w:lineRule="auto"/>
              <w:rPr>
                <w:color w:val="000000" w:themeColor="text1"/>
              </w:rPr>
            </w:pPr>
            <w:r w:rsidRPr="00A63C46">
              <w:rPr>
                <w:rFonts w:hAnsi="宋体" w:hint="eastAsia"/>
                <w:color w:val="000000" w:themeColor="text1"/>
              </w:rPr>
              <w:t>名称：</w:t>
            </w:r>
            <w:r w:rsidRPr="00A63C46">
              <w:rPr>
                <w:rFonts w:hAnsi="宋体" w:hint="eastAsia"/>
                <w:bCs/>
                <w:color w:val="000000" w:themeColor="text1"/>
                <w:szCs w:val="21"/>
              </w:rPr>
              <w:t>华夏基金管理有限公司</w:t>
            </w:r>
          </w:p>
          <w:p w:rsidR="00D31E1B" w:rsidRPr="00A63C46" w:rsidRDefault="00D31E1B" w:rsidP="00AE182E">
            <w:pPr>
              <w:spacing w:line="360" w:lineRule="auto"/>
              <w:rPr>
                <w:color w:val="000000" w:themeColor="text1"/>
              </w:rPr>
            </w:pPr>
            <w:r w:rsidRPr="00A63C46">
              <w:rPr>
                <w:rFonts w:hAnsi="宋体" w:hint="eastAsia"/>
                <w:color w:val="000000" w:themeColor="text1"/>
              </w:rPr>
              <w:t>住所：</w:t>
            </w:r>
            <w:r w:rsidRPr="00A63C46">
              <w:rPr>
                <w:rFonts w:hAnsi="宋体" w:hint="eastAsia"/>
                <w:bCs/>
                <w:color w:val="000000" w:themeColor="text1"/>
                <w:szCs w:val="21"/>
              </w:rPr>
              <w:t>北京市顺义区</w:t>
            </w:r>
            <w:r w:rsidRPr="00E11744">
              <w:rPr>
                <w:rFonts w:hAnsi="宋体" w:hint="eastAsia"/>
                <w:bCs/>
                <w:color w:val="000000" w:themeColor="text1"/>
                <w:szCs w:val="21"/>
              </w:rPr>
              <w:t>安庆大街甲</w:t>
            </w:r>
            <w:r w:rsidRPr="00E11744">
              <w:rPr>
                <w:rFonts w:hAnsi="宋体" w:hint="eastAsia"/>
                <w:bCs/>
                <w:color w:val="000000" w:themeColor="text1"/>
                <w:szCs w:val="21"/>
              </w:rPr>
              <w:t>3</w:t>
            </w:r>
            <w:r w:rsidRPr="00E11744">
              <w:rPr>
                <w:rFonts w:hAnsi="宋体" w:hint="eastAsia"/>
                <w:bCs/>
                <w:color w:val="000000" w:themeColor="text1"/>
                <w:szCs w:val="21"/>
              </w:rPr>
              <w:t>号院</w:t>
            </w:r>
          </w:p>
          <w:p w:rsidR="00D31E1B" w:rsidRPr="00A63C46" w:rsidRDefault="00D31E1B" w:rsidP="00AE182E">
            <w:pPr>
              <w:spacing w:line="360" w:lineRule="auto"/>
              <w:rPr>
                <w:color w:val="000000" w:themeColor="text1"/>
              </w:rPr>
            </w:pPr>
            <w:r w:rsidRPr="00A63C46">
              <w:rPr>
                <w:rFonts w:hAnsi="宋体" w:hint="eastAsia"/>
                <w:color w:val="000000" w:themeColor="text1"/>
              </w:rPr>
              <w:t>法定代表人：</w:t>
            </w:r>
            <w:r w:rsidRPr="00AE182E">
              <w:rPr>
                <w:rFonts w:hAnsi="宋体" w:hint="eastAsia"/>
                <w:b/>
                <w:i/>
                <w:iCs/>
                <w:color w:val="000000" w:themeColor="text1"/>
                <w:szCs w:val="21"/>
              </w:rPr>
              <w:t>张佑君</w:t>
            </w:r>
          </w:p>
          <w:p w:rsidR="00D31E1B" w:rsidRPr="00D31E1B" w:rsidRDefault="00D31E1B" w:rsidP="00AE182E">
            <w:pPr>
              <w:spacing w:line="360" w:lineRule="auto"/>
              <w:rPr>
                <w:szCs w:val="21"/>
              </w:rPr>
            </w:pPr>
            <w:r>
              <w:rPr>
                <w:rFonts w:hint="eastAsia"/>
                <w:szCs w:val="21"/>
              </w:rPr>
              <w:t>……</w:t>
            </w:r>
          </w:p>
        </w:tc>
      </w:tr>
      <w:tr w:rsidR="00A258AF" w:rsidRPr="00446044" w:rsidTr="00526FD7">
        <w:trPr>
          <w:trHeight w:val="1902"/>
        </w:trPr>
        <w:tc>
          <w:tcPr>
            <w:tcW w:w="994" w:type="dxa"/>
          </w:tcPr>
          <w:p w:rsidR="00A258AF" w:rsidRPr="00446044" w:rsidDel="00823979" w:rsidRDefault="00A258AF" w:rsidP="009E6483">
            <w:pPr>
              <w:spacing w:line="360" w:lineRule="auto"/>
              <w:rPr>
                <w:kern w:val="0"/>
                <w:szCs w:val="21"/>
              </w:rPr>
            </w:pPr>
            <w:r w:rsidRPr="00446044">
              <w:rPr>
                <w:kern w:val="0"/>
                <w:szCs w:val="21"/>
              </w:rPr>
              <w:t>第十二部分</w:t>
            </w:r>
            <w:r w:rsidRPr="00446044">
              <w:rPr>
                <w:kern w:val="0"/>
                <w:szCs w:val="21"/>
              </w:rPr>
              <w:t xml:space="preserve"> </w:t>
            </w:r>
            <w:r w:rsidRPr="00446044">
              <w:rPr>
                <w:kern w:val="0"/>
                <w:szCs w:val="21"/>
              </w:rPr>
              <w:t>基金的投资</w:t>
            </w:r>
          </w:p>
        </w:tc>
        <w:tc>
          <w:tcPr>
            <w:tcW w:w="1078" w:type="dxa"/>
          </w:tcPr>
          <w:p w:rsidR="00A258AF" w:rsidRPr="00446044" w:rsidRDefault="00A258AF" w:rsidP="009E6483">
            <w:pPr>
              <w:spacing w:line="360" w:lineRule="auto"/>
              <w:rPr>
                <w:szCs w:val="21"/>
              </w:rPr>
            </w:pPr>
            <w:r w:rsidRPr="00446044">
              <w:rPr>
                <w:bCs/>
                <w:szCs w:val="21"/>
              </w:rPr>
              <w:t>五、业绩比较基准</w:t>
            </w:r>
          </w:p>
        </w:tc>
        <w:tc>
          <w:tcPr>
            <w:tcW w:w="4172" w:type="dxa"/>
          </w:tcPr>
          <w:p w:rsidR="00D90C26" w:rsidRPr="00C747D4" w:rsidRDefault="00D90C26" w:rsidP="00D90C26">
            <w:pPr>
              <w:spacing w:line="360" w:lineRule="auto"/>
              <w:ind w:firstLineChars="200" w:firstLine="420"/>
              <w:rPr>
                <w:bCs/>
                <w:szCs w:val="21"/>
              </w:rPr>
            </w:pPr>
            <w:r w:rsidRPr="00C747D4">
              <w:rPr>
                <w:bCs/>
                <w:szCs w:val="21"/>
              </w:rPr>
              <w:t>50%*</w:t>
            </w:r>
            <w:r w:rsidRPr="00C747D4">
              <w:rPr>
                <w:rFonts w:hint="eastAsia"/>
                <w:bCs/>
                <w:szCs w:val="21"/>
              </w:rPr>
              <w:t>中债综合指数</w:t>
            </w:r>
            <w:r w:rsidRPr="00C747D4">
              <w:rPr>
                <w:bCs/>
                <w:szCs w:val="21"/>
              </w:rPr>
              <w:t>+50%*</w:t>
            </w:r>
            <w:r w:rsidRPr="004F1142">
              <w:rPr>
                <w:rFonts w:hint="eastAsia"/>
                <w:b/>
                <w:i/>
                <w:iCs/>
                <w:szCs w:val="21"/>
              </w:rPr>
              <w:t>摩根大通亚洲信用债指数中国子指数（</w:t>
            </w:r>
            <w:r w:rsidRPr="004F1142">
              <w:rPr>
                <w:b/>
                <w:i/>
                <w:iCs/>
                <w:szCs w:val="21"/>
              </w:rPr>
              <w:t>J.P. Morgan Asia Credit Index China</w:t>
            </w:r>
            <w:r w:rsidRPr="004F1142">
              <w:rPr>
                <w:rFonts w:hint="eastAsia"/>
                <w:b/>
                <w:i/>
                <w:iCs/>
                <w:szCs w:val="21"/>
              </w:rPr>
              <w:t>）</w:t>
            </w:r>
            <w:r w:rsidRPr="00C747D4">
              <w:rPr>
                <w:rFonts w:hint="eastAsia"/>
                <w:bCs/>
                <w:szCs w:val="21"/>
              </w:rPr>
              <w:t>。</w:t>
            </w:r>
          </w:p>
          <w:p w:rsidR="00D90C26" w:rsidRPr="00C747D4" w:rsidRDefault="00D90C26" w:rsidP="00D90C26">
            <w:pPr>
              <w:spacing w:line="360" w:lineRule="auto"/>
              <w:ind w:firstLineChars="200" w:firstLine="420"/>
              <w:rPr>
                <w:bCs/>
                <w:szCs w:val="21"/>
              </w:rPr>
            </w:pPr>
            <w:r w:rsidRPr="00C747D4">
              <w:rPr>
                <w:rFonts w:hint="eastAsia"/>
                <w:bCs/>
                <w:szCs w:val="21"/>
              </w:rPr>
              <w:t>中债综合指数由中央国债登记结算有</w:t>
            </w:r>
            <w:r w:rsidRPr="00C747D4">
              <w:rPr>
                <w:rFonts w:hint="eastAsia"/>
                <w:bCs/>
                <w:szCs w:val="21"/>
              </w:rPr>
              <w:lastRenderedPageBreak/>
              <w:t>限公司编制，该指数旨在综合反映债券全市场整体价格和投资回报情况。指数涵盖了银行间市场和交易所市场，具有广泛的市场代表性，适合作为本基金境内投资部分的业绩比较基准。</w:t>
            </w:r>
            <w:r w:rsidRPr="004F1142">
              <w:rPr>
                <w:rFonts w:hint="eastAsia"/>
                <w:b/>
                <w:i/>
                <w:iCs/>
                <w:szCs w:val="21"/>
              </w:rPr>
              <w:t>摩根大通亚洲信用债指数中国子指数由摩根大通集团编制，包括摩根大通亚洲信用债券指数系列中中国主体发行的美元信用债券，成份券的选取充分考虑可投资性和流动性，适合作为本基金境外投资部分的业绩比较基准。</w:t>
            </w:r>
          </w:p>
          <w:p w:rsidR="00A258AF" w:rsidRPr="00AE182E" w:rsidDel="00823979" w:rsidRDefault="00D90C26" w:rsidP="009E6483">
            <w:pPr>
              <w:spacing w:line="360" w:lineRule="auto"/>
              <w:ind w:firstLineChars="200" w:firstLine="420"/>
              <w:rPr>
                <w:bCs/>
                <w:i/>
                <w:iCs/>
                <w:szCs w:val="21"/>
              </w:rPr>
            </w:pPr>
            <w:r w:rsidRPr="00C747D4">
              <w:rPr>
                <w:rFonts w:hint="eastAsia"/>
                <w:bCs/>
                <w:szCs w:val="21"/>
              </w:rPr>
              <w:t>未来，如基金变更投资范围，或市场有其他更适合本基金的基准时，或原指数供应商变更或停止原指数的编制及发布，本基金管理人可根据具体情况，依据维护基金份额持有人合法权益的原则，取得基金托管人同意后，对业绩比较基准进行相应调整，不需召开持有人大会。</w:t>
            </w:r>
          </w:p>
        </w:tc>
        <w:tc>
          <w:tcPr>
            <w:tcW w:w="3639" w:type="dxa"/>
          </w:tcPr>
          <w:p w:rsidR="00D90C26" w:rsidRPr="00C747D4" w:rsidRDefault="00D90C26" w:rsidP="00D90C26">
            <w:pPr>
              <w:spacing w:line="360" w:lineRule="auto"/>
              <w:ind w:firstLineChars="200" w:firstLine="420"/>
              <w:rPr>
                <w:bCs/>
                <w:szCs w:val="21"/>
              </w:rPr>
            </w:pPr>
            <w:bookmarkStart w:id="3" w:name="_Hlk158044257"/>
            <w:r w:rsidRPr="00C747D4">
              <w:rPr>
                <w:bCs/>
                <w:szCs w:val="21"/>
              </w:rPr>
              <w:lastRenderedPageBreak/>
              <w:t>50%*</w:t>
            </w:r>
            <w:r w:rsidRPr="00C747D4">
              <w:rPr>
                <w:rFonts w:hint="eastAsia"/>
                <w:bCs/>
                <w:szCs w:val="21"/>
              </w:rPr>
              <w:t>中债综合指数</w:t>
            </w:r>
            <w:r w:rsidRPr="00C747D4">
              <w:rPr>
                <w:bCs/>
                <w:szCs w:val="21"/>
              </w:rPr>
              <w:t>+50%*</w:t>
            </w:r>
            <w:r w:rsidRPr="00CB3C86">
              <w:rPr>
                <w:rFonts w:hint="eastAsia"/>
                <w:b/>
                <w:i/>
                <w:szCs w:val="21"/>
              </w:rPr>
              <w:t>彭博中资美元债指数（</w:t>
            </w:r>
            <w:r w:rsidRPr="00CB3C86">
              <w:rPr>
                <w:b/>
                <w:i/>
                <w:szCs w:val="21"/>
              </w:rPr>
              <w:t>Bloomberg Asia Ex-Japan USD Credit China Index</w:t>
            </w:r>
            <w:r w:rsidRPr="00CB3C86">
              <w:rPr>
                <w:rFonts w:hint="eastAsia"/>
                <w:b/>
                <w:i/>
                <w:szCs w:val="21"/>
              </w:rPr>
              <w:t>）</w:t>
            </w:r>
            <w:bookmarkEnd w:id="3"/>
            <w:r w:rsidRPr="00C747D4">
              <w:rPr>
                <w:rFonts w:hint="eastAsia"/>
                <w:bCs/>
                <w:szCs w:val="21"/>
              </w:rPr>
              <w:t>。</w:t>
            </w:r>
          </w:p>
          <w:p w:rsidR="00D90C26" w:rsidRDefault="00D90C26" w:rsidP="00D90C26">
            <w:pPr>
              <w:spacing w:line="360" w:lineRule="auto"/>
              <w:ind w:firstLineChars="200" w:firstLine="420"/>
              <w:rPr>
                <w:bCs/>
                <w:szCs w:val="21"/>
              </w:rPr>
            </w:pPr>
            <w:r w:rsidRPr="00C747D4">
              <w:rPr>
                <w:rFonts w:hint="eastAsia"/>
                <w:bCs/>
                <w:szCs w:val="21"/>
              </w:rPr>
              <w:t>中债综合指数由中央国债登记结</w:t>
            </w:r>
            <w:r w:rsidRPr="00C747D4">
              <w:rPr>
                <w:rFonts w:hint="eastAsia"/>
                <w:bCs/>
                <w:szCs w:val="21"/>
              </w:rPr>
              <w:lastRenderedPageBreak/>
              <w:t>算有限公司编制，该指数旨在综合反映债券全市场整体价格和投资回报情况。指数涵盖了银行间市场和交易所市场，具有广泛的市场代表性，适合作为本基金境内投资部分的业绩比较基准。</w:t>
            </w:r>
          </w:p>
          <w:p w:rsidR="00D90C26" w:rsidRPr="00CB3C86" w:rsidRDefault="00D90C26" w:rsidP="00D90C26">
            <w:pPr>
              <w:spacing w:line="360" w:lineRule="auto"/>
              <w:ind w:firstLineChars="200" w:firstLine="422"/>
              <w:rPr>
                <w:b/>
                <w:i/>
                <w:szCs w:val="21"/>
              </w:rPr>
            </w:pPr>
            <w:r w:rsidRPr="00CB3C86">
              <w:rPr>
                <w:rFonts w:hint="eastAsia"/>
                <w:b/>
                <w:i/>
                <w:szCs w:val="21"/>
              </w:rPr>
              <w:t>彭博中资美元债指数旨在反映中国政府相关机构及中国企业发行的以美元计价的固定利率债券整体表现，具有较好的市场代表性，适合作为本基金境外投资部分的业绩比较基准。</w:t>
            </w:r>
          </w:p>
          <w:p w:rsidR="00A258AF" w:rsidRPr="00446044" w:rsidRDefault="00D90C26" w:rsidP="00AE182E">
            <w:pPr>
              <w:spacing w:line="360" w:lineRule="auto"/>
              <w:ind w:firstLineChars="200" w:firstLine="420"/>
              <w:rPr>
                <w:szCs w:val="21"/>
              </w:rPr>
            </w:pPr>
            <w:r w:rsidRPr="00C747D4">
              <w:rPr>
                <w:rFonts w:hint="eastAsia"/>
                <w:bCs/>
                <w:szCs w:val="21"/>
              </w:rPr>
              <w:t>未来，如基金变更投资范围，或市场有其他更适合本基金的基准时，或原指数供应商变更或停止原指数的编制及发布，本基金管理人可根据具体情况，依据维护基金份额持有人合法权益的原则，取得基金托管人同意后，对业绩比较基准进行相应调整，不需召开持有人大会。</w:t>
            </w:r>
          </w:p>
        </w:tc>
      </w:tr>
    </w:tbl>
    <w:p w:rsidR="00750F7E" w:rsidRDefault="009062B0" w:rsidP="009E6483">
      <w:pPr>
        <w:spacing w:line="360" w:lineRule="auto"/>
        <w:ind w:firstLineChars="200" w:firstLine="480"/>
        <w:jc w:val="left"/>
        <w:rPr>
          <w:sz w:val="24"/>
        </w:rPr>
      </w:pPr>
      <w:r>
        <w:rPr>
          <w:rFonts w:hint="eastAsia"/>
          <w:sz w:val="24"/>
        </w:rPr>
        <w:lastRenderedPageBreak/>
        <w:t>本公司</w:t>
      </w:r>
      <w:r w:rsidR="0051049A">
        <w:rPr>
          <w:rFonts w:hint="eastAsia"/>
          <w:sz w:val="24"/>
        </w:rPr>
        <w:t>将</w:t>
      </w:r>
      <w:r w:rsidR="00750F7E">
        <w:rPr>
          <w:sz w:val="24"/>
        </w:rPr>
        <w:t>根据修订的基金合同相应修订本基金的招募说明书</w:t>
      </w:r>
      <w:r w:rsidR="00750F7E">
        <w:rPr>
          <w:rFonts w:hint="eastAsia"/>
          <w:sz w:val="24"/>
        </w:rPr>
        <w:t>（更新）、基金</w:t>
      </w:r>
      <w:r w:rsidR="00750F7E">
        <w:rPr>
          <w:sz w:val="24"/>
        </w:rPr>
        <w:t>产品资料概要</w:t>
      </w:r>
      <w:r w:rsidR="00750F7E">
        <w:rPr>
          <w:rFonts w:hint="eastAsia"/>
          <w:sz w:val="24"/>
        </w:rPr>
        <w:t>等</w:t>
      </w:r>
      <w:r w:rsidR="00750F7E">
        <w:rPr>
          <w:sz w:val="24"/>
        </w:rPr>
        <w:t>法律文件。</w:t>
      </w:r>
      <w:r w:rsidR="00114C34">
        <w:rPr>
          <w:rFonts w:hAnsi="宋体" w:hint="eastAsia"/>
          <w:sz w:val="24"/>
        </w:rPr>
        <w:t>本次</w:t>
      </w:r>
      <w:r w:rsidR="00750F7E" w:rsidRPr="00C65D53">
        <w:rPr>
          <w:rFonts w:hAnsi="宋体" w:hint="eastAsia"/>
          <w:sz w:val="24"/>
        </w:rPr>
        <w:t>修订</w:t>
      </w:r>
      <w:r w:rsidR="00750F7E" w:rsidRPr="00C65D53">
        <w:rPr>
          <w:rFonts w:hAnsi="宋体"/>
          <w:sz w:val="24"/>
        </w:rPr>
        <w:t>已履行了规定的程序，符合</w:t>
      </w:r>
      <w:r w:rsidR="00750F7E" w:rsidRPr="00C65D53">
        <w:rPr>
          <w:rFonts w:hAnsi="宋体" w:hint="eastAsia"/>
          <w:sz w:val="24"/>
        </w:rPr>
        <w:t>法律</w:t>
      </w:r>
      <w:r w:rsidR="00750F7E" w:rsidRPr="00C65D53">
        <w:rPr>
          <w:rFonts w:hAnsi="宋体"/>
          <w:sz w:val="24"/>
        </w:rPr>
        <w:t>法规</w:t>
      </w:r>
      <w:r w:rsidR="00750F7E" w:rsidRPr="00C65D53">
        <w:rPr>
          <w:rFonts w:hAnsi="宋体" w:hint="eastAsia"/>
          <w:sz w:val="24"/>
        </w:rPr>
        <w:t>及</w:t>
      </w:r>
      <w:r w:rsidR="00750F7E" w:rsidRPr="00C65D53">
        <w:rPr>
          <w:rFonts w:hAnsi="宋体"/>
          <w:sz w:val="24"/>
        </w:rPr>
        <w:t>基金合同</w:t>
      </w:r>
      <w:r w:rsidR="00750F7E" w:rsidRPr="00C65D53">
        <w:rPr>
          <w:rFonts w:hAnsi="宋体" w:hint="eastAsia"/>
          <w:sz w:val="24"/>
        </w:rPr>
        <w:t>的</w:t>
      </w:r>
      <w:r w:rsidR="00750F7E" w:rsidRPr="00C65D53">
        <w:rPr>
          <w:rFonts w:hAnsi="宋体"/>
          <w:sz w:val="24"/>
        </w:rPr>
        <w:t>规定</w:t>
      </w:r>
      <w:r w:rsidR="00750F7E">
        <w:rPr>
          <w:rFonts w:hAnsi="宋体" w:hint="eastAsia"/>
          <w:sz w:val="24"/>
        </w:rPr>
        <w:t>，</w:t>
      </w:r>
      <w:r w:rsidR="00750F7E" w:rsidRPr="00C65D53">
        <w:rPr>
          <w:rFonts w:hAnsi="宋体" w:hint="eastAsia"/>
          <w:sz w:val="24"/>
        </w:rPr>
        <w:t>修订</w:t>
      </w:r>
      <w:r w:rsidR="00750F7E">
        <w:rPr>
          <w:rFonts w:hAnsi="宋体" w:hint="eastAsia"/>
          <w:sz w:val="24"/>
        </w:rPr>
        <w:t>内容将</w:t>
      </w:r>
      <w:r w:rsidR="00750F7E" w:rsidRPr="00C65D53">
        <w:rPr>
          <w:rFonts w:hAnsi="宋体" w:hint="eastAsia"/>
          <w:sz w:val="24"/>
        </w:rPr>
        <w:t>自</w:t>
      </w:r>
      <w:r w:rsidR="00D90C26">
        <w:rPr>
          <w:rFonts w:hAnsi="宋体" w:hint="eastAsia"/>
          <w:sz w:val="24"/>
        </w:rPr>
        <w:t>20</w:t>
      </w:r>
      <w:r w:rsidR="00D90C26">
        <w:rPr>
          <w:rFonts w:hAnsi="宋体"/>
          <w:sz w:val="24"/>
        </w:rPr>
        <w:t>24</w:t>
      </w:r>
      <w:r w:rsidR="00D90C26" w:rsidRPr="00A85DD0">
        <w:rPr>
          <w:rFonts w:hAnsi="宋体" w:hint="eastAsia"/>
          <w:sz w:val="24"/>
        </w:rPr>
        <w:t>年</w:t>
      </w:r>
      <w:r w:rsidR="00D90C26">
        <w:rPr>
          <w:rFonts w:hAnsi="宋体"/>
          <w:sz w:val="24"/>
        </w:rPr>
        <w:t>2</w:t>
      </w:r>
      <w:r w:rsidR="00D90C26" w:rsidRPr="00A85DD0">
        <w:rPr>
          <w:rFonts w:hAnsi="宋体" w:hint="eastAsia"/>
          <w:sz w:val="24"/>
        </w:rPr>
        <w:t>月</w:t>
      </w:r>
      <w:r w:rsidR="00D90C26">
        <w:rPr>
          <w:rFonts w:hAnsi="宋体"/>
          <w:sz w:val="24"/>
        </w:rPr>
        <w:t>20</w:t>
      </w:r>
      <w:r w:rsidR="00D90C26" w:rsidRPr="00A85DD0">
        <w:rPr>
          <w:rFonts w:hAnsi="宋体" w:hint="eastAsia"/>
          <w:sz w:val="24"/>
        </w:rPr>
        <w:t>日</w:t>
      </w:r>
      <w:r w:rsidR="00750F7E">
        <w:rPr>
          <w:rFonts w:hAnsi="宋体" w:hint="eastAsia"/>
          <w:sz w:val="24"/>
        </w:rPr>
        <w:t>起生效，修订后的法律文件将在</w:t>
      </w:r>
      <w:r>
        <w:rPr>
          <w:rFonts w:hint="eastAsia"/>
          <w:sz w:val="24"/>
        </w:rPr>
        <w:t>本公司</w:t>
      </w:r>
      <w:r w:rsidR="00750F7E" w:rsidRPr="00C65D53">
        <w:rPr>
          <w:rFonts w:hAnsi="宋体"/>
          <w:color w:val="000000"/>
          <w:sz w:val="24"/>
        </w:rPr>
        <w:t>网站（</w:t>
      </w:r>
      <w:r w:rsidR="00750F7E" w:rsidRPr="00C65D53">
        <w:rPr>
          <w:color w:val="000000"/>
          <w:sz w:val="24"/>
        </w:rPr>
        <w:t>www.ChinaAMC.com</w:t>
      </w:r>
      <w:r w:rsidR="00750F7E" w:rsidRPr="00C65D53">
        <w:rPr>
          <w:rFonts w:hAnsi="宋体"/>
          <w:color w:val="000000"/>
          <w:sz w:val="24"/>
        </w:rPr>
        <w:t>）</w:t>
      </w:r>
      <w:r w:rsidR="00750F7E">
        <w:rPr>
          <w:rFonts w:hAnsi="宋体" w:hint="eastAsia"/>
          <w:bCs/>
          <w:sz w:val="24"/>
        </w:rPr>
        <w:t>和</w:t>
      </w:r>
      <w:r w:rsidR="00750F7E" w:rsidRPr="00947C49">
        <w:rPr>
          <w:sz w:val="24"/>
        </w:rPr>
        <w:t>中国证监会基金电子披露网站（</w:t>
      </w:r>
      <w:hyperlink r:id="rId7" w:history="1">
        <w:r w:rsidR="00750F7E" w:rsidRPr="00947C49">
          <w:rPr>
            <w:sz w:val="24"/>
          </w:rPr>
          <w:t>http://eid.csrc.gov.cn/fund</w:t>
        </w:r>
      </w:hyperlink>
      <w:r w:rsidR="00750F7E" w:rsidRPr="00947C49">
        <w:rPr>
          <w:sz w:val="24"/>
        </w:rPr>
        <w:t>）</w:t>
      </w:r>
      <w:r w:rsidR="00750F7E">
        <w:rPr>
          <w:rFonts w:hint="eastAsia"/>
          <w:sz w:val="24"/>
        </w:rPr>
        <w:t>发布</w:t>
      </w:r>
      <w:r w:rsidR="00750F7E">
        <w:rPr>
          <w:rFonts w:hAnsi="宋体" w:hint="eastAsia"/>
          <w:sz w:val="24"/>
        </w:rPr>
        <w:t>，</w:t>
      </w:r>
      <w:r w:rsidR="00750F7E">
        <w:rPr>
          <w:rFonts w:hint="eastAsia"/>
          <w:sz w:val="24"/>
        </w:rPr>
        <w:t>投资者可登录查阅。</w:t>
      </w:r>
    </w:p>
    <w:p w:rsidR="00750F7E" w:rsidRDefault="00750F7E" w:rsidP="009E6483">
      <w:pPr>
        <w:spacing w:line="360" w:lineRule="auto"/>
        <w:ind w:firstLineChars="200" w:firstLine="480"/>
        <w:rPr>
          <w:rFonts w:hAnsi="宋体"/>
          <w:kern w:val="0"/>
          <w:sz w:val="24"/>
        </w:rPr>
      </w:pPr>
      <w:r>
        <w:rPr>
          <w:rFonts w:hint="eastAsia"/>
          <w:sz w:val="24"/>
        </w:rPr>
        <w:t>如有疑问，投资者</w:t>
      </w:r>
      <w:r>
        <w:rPr>
          <w:rFonts w:hAnsi="宋体" w:hint="eastAsia"/>
          <w:color w:val="000000"/>
          <w:sz w:val="24"/>
        </w:rPr>
        <w:t>可</w:t>
      </w:r>
      <w:r w:rsidRPr="00C65D53">
        <w:rPr>
          <w:rFonts w:hAnsi="宋体"/>
          <w:color w:val="000000"/>
          <w:sz w:val="24"/>
        </w:rPr>
        <w:t>登录</w:t>
      </w:r>
      <w:r w:rsidR="009062B0">
        <w:rPr>
          <w:rFonts w:hint="eastAsia"/>
          <w:sz w:val="24"/>
        </w:rPr>
        <w:t>本公司</w:t>
      </w:r>
      <w:r w:rsidRPr="00C65D53">
        <w:rPr>
          <w:rFonts w:hAnsi="宋体"/>
          <w:color w:val="000000"/>
          <w:sz w:val="24"/>
        </w:rPr>
        <w:t>网站</w:t>
      </w:r>
      <w:r>
        <w:rPr>
          <w:rFonts w:hAnsi="宋体" w:hint="eastAsia"/>
          <w:color w:val="000000"/>
          <w:sz w:val="24"/>
        </w:rPr>
        <w:t>或</w:t>
      </w:r>
      <w:r w:rsidRPr="00C65D53">
        <w:rPr>
          <w:rFonts w:hAnsi="宋体"/>
          <w:color w:val="000000"/>
          <w:sz w:val="24"/>
        </w:rPr>
        <w:t>拨打</w:t>
      </w:r>
      <w:r w:rsidR="009062B0">
        <w:rPr>
          <w:rFonts w:hint="eastAsia"/>
          <w:sz w:val="24"/>
        </w:rPr>
        <w:t>本公司</w:t>
      </w:r>
      <w:r w:rsidRPr="00C65D53">
        <w:rPr>
          <w:rFonts w:hAnsi="宋体"/>
          <w:color w:val="000000"/>
          <w:sz w:val="24"/>
        </w:rPr>
        <w:t>客户服务电话（</w:t>
      </w:r>
      <w:r w:rsidRPr="00C65D53">
        <w:rPr>
          <w:color w:val="000000"/>
          <w:sz w:val="24"/>
        </w:rPr>
        <w:t>400-818-6666</w:t>
      </w:r>
      <w:r w:rsidRPr="00C65D53">
        <w:rPr>
          <w:rFonts w:hAnsi="宋体"/>
          <w:color w:val="000000"/>
          <w:sz w:val="24"/>
        </w:rPr>
        <w:t>）了解</w:t>
      </w:r>
      <w:r w:rsidRPr="00C65D53">
        <w:rPr>
          <w:rFonts w:hAnsi="宋体" w:hint="eastAsia"/>
          <w:color w:val="000000"/>
          <w:sz w:val="24"/>
        </w:rPr>
        <w:t>相关事宜</w:t>
      </w:r>
      <w:r w:rsidRPr="00C65D53">
        <w:rPr>
          <w:rFonts w:hAnsi="宋体" w:hint="eastAsia"/>
          <w:sz w:val="24"/>
        </w:rPr>
        <w:t>。</w:t>
      </w:r>
    </w:p>
    <w:p w:rsidR="00DF57D2" w:rsidRDefault="00A77C7D" w:rsidP="009E6483">
      <w:pPr>
        <w:autoSpaceDE w:val="0"/>
        <w:autoSpaceDN w:val="0"/>
        <w:adjustRightInd w:val="0"/>
        <w:spacing w:line="360" w:lineRule="auto"/>
        <w:ind w:firstLineChars="200" w:firstLine="480"/>
        <w:rPr>
          <w:rFonts w:hAnsi="宋体"/>
          <w:kern w:val="0"/>
          <w:sz w:val="24"/>
        </w:rPr>
      </w:pPr>
      <w:r>
        <w:rPr>
          <w:rFonts w:hAnsi="宋体" w:hint="eastAsia"/>
          <w:kern w:val="0"/>
          <w:sz w:val="24"/>
        </w:rPr>
        <w:t>特此公告</w:t>
      </w:r>
    </w:p>
    <w:p w:rsidR="00DF57D2" w:rsidRDefault="00DF57D2" w:rsidP="009E6483">
      <w:pPr>
        <w:tabs>
          <w:tab w:val="left" w:pos="10440"/>
        </w:tabs>
        <w:snapToGrid w:val="0"/>
        <w:spacing w:line="360" w:lineRule="auto"/>
        <w:jc w:val="right"/>
        <w:rPr>
          <w:color w:val="000000"/>
          <w:sz w:val="24"/>
          <w:szCs w:val="22"/>
        </w:rPr>
      </w:pPr>
      <w:r>
        <w:rPr>
          <w:rFonts w:hAnsi="宋体" w:hint="eastAsia"/>
          <w:color w:val="000000"/>
          <w:sz w:val="24"/>
        </w:rPr>
        <w:t>华夏基金管理有限公司</w:t>
      </w:r>
    </w:p>
    <w:p w:rsidR="00DF57D2" w:rsidRPr="00DF57D2" w:rsidRDefault="00DF57D2" w:rsidP="00F8129A">
      <w:pPr>
        <w:ind w:firstLine="480"/>
        <w:jc w:val="right"/>
        <w:rPr>
          <w:rFonts w:hAnsi="宋体"/>
          <w:kern w:val="0"/>
          <w:sz w:val="24"/>
        </w:rPr>
      </w:pPr>
      <w:r>
        <w:rPr>
          <w:rFonts w:ascii="宋体" w:hAnsi="宋体" w:hint="eastAsia"/>
          <w:color w:val="000000"/>
          <w:sz w:val="24"/>
        </w:rPr>
        <w:t>二○</w:t>
      </w:r>
      <w:r w:rsidR="00B41930">
        <w:rPr>
          <w:rFonts w:ascii="宋体" w:hAnsi="宋体" w:hint="eastAsia"/>
          <w:color w:val="000000"/>
          <w:sz w:val="24"/>
        </w:rPr>
        <w:t>二</w:t>
      </w:r>
      <w:r w:rsidR="00D90C26">
        <w:rPr>
          <w:rFonts w:ascii="宋体" w:hAnsi="宋体" w:hint="eastAsia"/>
          <w:color w:val="000000"/>
          <w:sz w:val="24"/>
        </w:rPr>
        <w:t>四</w:t>
      </w:r>
      <w:r w:rsidR="001B6F12">
        <w:rPr>
          <w:rFonts w:hAnsi="宋体" w:hint="eastAsia"/>
          <w:color w:val="000000"/>
          <w:sz w:val="24"/>
        </w:rPr>
        <w:t>年</w:t>
      </w:r>
      <w:r w:rsidR="00030DEC">
        <w:rPr>
          <w:rFonts w:hAnsi="宋体" w:hint="eastAsia"/>
          <w:color w:val="000000"/>
          <w:sz w:val="24"/>
        </w:rPr>
        <w:t>二</w:t>
      </w:r>
      <w:r>
        <w:rPr>
          <w:rFonts w:hAnsi="宋体" w:hint="eastAsia"/>
          <w:color w:val="000000"/>
          <w:sz w:val="24"/>
        </w:rPr>
        <w:t>月</w:t>
      </w:r>
      <w:r w:rsidR="00D90C26">
        <w:rPr>
          <w:rFonts w:hAnsi="宋体" w:hint="eastAsia"/>
          <w:color w:val="000000"/>
          <w:sz w:val="24"/>
        </w:rPr>
        <w:t>八</w:t>
      </w:r>
      <w:r>
        <w:rPr>
          <w:rFonts w:hAnsi="宋体" w:hint="eastAsia"/>
          <w:color w:val="000000"/>
          <w:sz w:val="24"/>
        </w:rPr>
        <w:t>日</w:t>
      </w:r>
    </w:p>
    <w:sectPr w:rsidR="00DF57D2" w:rsidRPr="00DF57D2" w:rsidSect="009E6483">
      <w:headerReference w:type="even" r:id="rId8"/>
      <w:headerReference w:type="default" r:id="rId9"/>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12" w:rsidRDefault="00695812" w:rsidP="00B47EF1">
      <w:r>
        <w:separator/>
      </w:r>
    </w:p>
  </w:endnote>
  <w:endnote w:type="continuationSeparator" w:id="0">
    <w:p w:rsidR="00695812" w:rsidRDefault="00695812" w:rsidP="00B47EF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12" w:rsidRDefault="00695812" w:rsidP="00B47EF1">
      <w:r>
        <w:separator/>
      </w:r>
    </w:p>
  </w:footnote>
  <w:footnote w:type="continuationSeparator" w:id="0">
    <w:p w:rsidR="00695812" w:rsidRDefault="00695812" w:rsidP="00B4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B0" w:rsidRDefault="00FF0BB0" w:rsidP="009E648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F1" w:rsidRDefault="00B47EF1" w:rsidP="009E648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7EF1"/>
    <w:rsid w:val="00014A1C"/>
    <w:rsid w:val="00016D03"/>
    <w:rsid w:val="000204F1"/>
    <w:rsid w:val="00026628"/>
    <w:rsid w:val="00030DEC"/>
    <w:rsid w:val="000324B6"/>
    <w:rsid w:val="00050FCA"/>
    <w:rsid w:val="00054BC9"/>
    <w:rsid w:val="00067631"/>
    <w:rsid w:val="000819E6"/>
    <w:rsid w:val="00087DFE"/>
    <w:rsid w:val="000B05A8"/>
    <w:rsid w:val="000B06DF"/>
    <w:rsid w:val="000B5D5C"/>
    <w:rsid w:val="000B613A"/>
    <w:rsid w:val="000D2322"/>
    <w:rsid w:val="000D2BEB"/>
    <w:rsid w:val="000E1B0B"/>
    <w:rsid w:val="000E4BDC"/>
    <w:rsid w:val="001008BB"/>
    <w:rsid w:val="00101ABC"/>
    <w:rsid w:val="00102140"/>
    <w:rsid w:val="00114C34"/>
    <w:rsid w:val="001311D1"/>
    <w:rsid w:val="00156EB1"/>
    <w:rsid w:val="00161172"/>
    <w:rsid w:val="00176307"/>
    <w:rsid w:val="001B6F12"/>
    <w:rsid w:val="001D7653"/>
    <w:rsid w:val="001E784C"/>
    <w:rsid w:val="001F53E6"/>
    <w:rsid w:val="00212E85"/>
    <w:rsid w:val="002137E6"/>
    <w:rsid w:val="00240CF8"/>
    <w:rsid w:val="002423FB"/>
    <w:rsid w:val="00244408"/>
    <w:rsid w:val="00256815"/>
    <w:rsid w:val="002577AF"/>
    <w:rsid w:val="00262E45"/>
    <w:rsid w:val="00267E0C"/>
    <w:rsid w:val="002709BA"/>
    <w:rsid w:val="00281D1B"/>
    <w:rsid w:val="0028547D"/>
    <w:rsid w:val="00295800"/>
    <w:rsid w:val="002A4923"/>
    <w:rsid w:val="002B0CBF"/>
    <w:rsid w:val="002C0C1F"/>
    <w:rsid w:val="002C4960"/>
    <w:rsid w:val="002E3541"/>
    <w:rsid w:val="0030505E"/>
    <w:rsid w:val="00312C76"/>
    <w:rsid w:val="00313265"/>
    <w:rsid w:val="00336053"/>
    <w:rsid w:val="0034627F"/>
    <w:rsid w:val="00372087"/>
    <w:rsid w:val="00374134"/>
    <w:rsid w:val="003744F4"/>
    <w:rsid w:val="003924F4"/>
    <w:rsid w:val="003970C3"/>
    <w:rsid w:val="00397D1A"/>
    <w:rsid w:val="003B31E2"/>
    <w:rsid w:val="003B37DB"/>
    <w:rsid w:val="003B5B4F"/>
    <w:rsid w:val="003E4D00"/>
    <w:rsid w:val="003F1C0D"/>
    <w:rsid w:val="003F2358"/>
    <w:rsid w:val="003F4CFF"/>
    <w:rsid w:val="00400CAA"/>
    <w:rsid w:val="004103BF"/>
    <w:rsid w:val="0042428C"/>
    <w:rsid w:val="00446254"/>
    <w:rsid w:val="00446D88"/>
    <w:rsid w:val="00447802"/>
    <w:rsid w:val="00462532"/>
    <w:rsid w:val="00466307"/>
    <w:rsid w:val="00477C6F"/>
    <w:rsid w:val="004810AE"/>
    <w:rsid w:val="0048639D"/>
    <w:rsid w:val="004869DE"/>
    <w:rsid w:val="00493499"/>
    <w:rsid w:val="004A2832"/>
    <w:rsid w:val="004B158E"/>
    <w:rsid w:val="004C0621"/>
    <w:rsid w:val="004D5799"/>
    <w:rsid w:val="004F1142"/>
    <w:rsid w:val="004F3DAC"/>
    <w:rsid w:val="005028D8"/>
    <w:rsid w:val="00504415"/>
    <w:rsid w:val="0050753D"/>
    <w:rsid w:val="0051049A"/>
    <w:rsid w:val="00517FB2"/>
    <w:rsid w:val="00522DB6"/>
    <w:rsid w:val="00524BC3"/>
    <w:rsid w:val="0053127A"/>
    <w:rsid w:val="005521CA"/>
    <w:rsid w:val="00552722"/>
    <w:rsid w:val="005645FA"/>
    <w:rsid w:val="00565CA0"/>
    <w:rsid w:val="005661DD"/>
    <w:rsid w:val="005A72F4"/>
    <w:rsid w:val="005A7BB3"/>
    <w:rsid w:val="005B240C"/>
    <w:rsid w:val="005C287F"/>
    <w:rsid w:val="005C65E4"/>
    <w:rsid w:val="005D600B"/>
    <w:rsid w:val="005E75AD"/>
    <w:rsid w:val="005F4005"/>
    <w:rsid w:val="0060416A"/>
    <w:rsid w:val="00616160"/>
    <w:rsid w:val="00617F86"/>
    <w:rsid w:val="0062242D"/>
    <w:rsid w:val="006330AD"/>
    <w:rsid w:val="00642255"/>
    <w:rsid w:val="00660CC7"/>
    <w:rsid w:val="00663C31"/>
    <w:rsid w:val="006823BA"/>
    <w:rsid w:val="00685AA4"/>
    <w:rsid w:val="006920A9"/>
    <w:rsid w:val="00695812"/>
    <w:rsid w:val="006A43CE"/>
    <w:rsid w:val="006A61FA"/>
    <w:rsid w:val="006B3CB4"/>
    <w:rsid w:val="006F15E6"/>
    <w:rsid w:val="006F5A47"/>
    <w:rsid w:val="006F5BB5"/>
    <w:rsid w:val="006F7443"/>
    <w:rsid w:val="007177B6"/>
    <w:rsid w:val="007326A9"/>
    <w:rsid w:val="00742F6A"/>
    <w:rsid w:val="00750F7E"/>
    <w:rsid w:val="00754B69"/>
    <w:rsid w:val="007750BA"/>
    <w:rsid w:val="007A28AA"/>
    <w:rsid w:val="007B05BF"/>
    <w:rsid w:val="007B4771"/>
    <w:rsid w:val="007B765E"/>
    <w:rsid w:val="007D0E63"/>
    <w:rsid w:val="007D3D9A"/>
    <w:rsid w:val="007E0FB0"/>
    <w:rsid w:val="007E191D"/>
    <w:rsid w:val="007E26D0"/>
    <w:rsid w:val="007F176C"/>
    <w:rsid w:val="00800249"/>
    <w:rsid w:val="0081746A"/>
    <w:rsid w:val="0082495F"/>
    <w:rsid w:val="00833EC9"/>
    <w:rsid w:val="00862796"/>
    <w:rsid w:val="0089344A"/>
    <w:rsid w:val="008B79F8"/>
    <w:rsid w:val="00905393"/>
    <w:rsid w:val="009062B0"/>
    <w:rsid w:val="00947654"/>
    <w:rsid w:val="0095283D"/>
    <w:rsid w:val="0095426A"/>
    <w:rsid w:val="0097191A"/>
    <w:rsid w:val="009B3791"/>
    <w:rsid w:val="009B672E"/>
    <w:rsid w:val="009D173B"/>
    <w:rsid w:val="009E6483"/>
    <w:rsid w:val="00A0579E"/>
    <w:rsid w:val="00A107AC"/>
    <w:rsid w:val="00A258AF"/>
    <w:rsid w:val="00A27321"/>
    <w:rsid w:val="00A33EB8"/>
    <w:rsid w:val="00A41927"/>
    <w:rsid w:val="00A47B22"/>
    <w:rsid w:val="00A52504"/>
    <w:rsid w:val="00A6388C"/>
    <w:rsid w:val="00A7092B"/>
    <w:rsid w:val="00A7150D"/>
    <w:rsid w:val="00A72832"/>
    <w:rsid w:val="00A77C7D"/>
    <w:rsid w:val="00A8470E"/>
    <w:rsid w:val="00A90502"/>
    <w:rsid w:val="00AA21AB"/>
    <w:rsid w:val="00AA253F"/>
    <w:rsid w:val="00AA7225"/>
    <w:rsid w:val="00AB22C8"/>
    <w:rsid w:val="00AB3551"/>
    <w:rsid w:val="00AC57B1"/>
    <w:rsid w:val="00AD1061"/>
    <w:rsid w:val="00AD48A8"/>
    <w:rsid w:val="00AE114B"/>
    <w:rsid w:val="00AE182E"/>
    <w:rsid w:val="00AE25C4"/>
    <w:rsid w:val="00AE2D91"/>
    <w:rsid w:val="00AE3A9E"/>
    <w:rsid w:val="00B137F8"/>
    <w:rsid w:val="00B3715F"/>
    <w:rsid w:val="00B41930"/>
    <w:rsid w:val="00B450B8"/>
    <w:rsid w:val="00B47EF1"/>
    <w:rsid w:val="00B54974"/>
    <w:rsid w:val="00B569F9"/>
    <w:rsid w:val="00B8267A"/>
    <w:rsid w:val="00B83BCE"/>
    <w:rsid w:val="00B84D3F"/>
    <w:rsid w:val="00BB1858"/>
    <w:rsid w:val="00BC056C"/>
    <w:rsid w:val="00BC38AF"/>
    <w:rsid w:val="00BD4238"/>
    <w:rsid w:val="00BD4C6F"/>
    <w:rsid w:val="00BE60B2"/>
    <w:rsid w:val="00BE6355"/>
    <w:rsid w:val="00C02B6D"/>
    <w:rsid w:val="00C05B45"/>
    <w:rsid w:val="00C215C5"/>
    <w:rsid w:val="00C461D2"/>
    <w:rsid w:val="00C53226"/>
    <w:rsid w:val="00C60066"/>
    <w:rsid w:val="00C93DCE"/>
    <w:rsid w:val="00C94894"/>
    <w:rsid w:val="00C9543E"/>
    <w:rsid w:val="00C97FBC"/>
    <w:rsid w:val="00CB32DB"/>
    <w:rsid w:val="00CB3C86"/>
    <w:rsid w:val="00CD6167"/>
    <w:rsid w:val="00CF2FD8"/>
    <w:rsid w:val="00D166FB"/>
    <w:rsid w:val="00D31E1B"/>
    <w:rsid w:val="00D346F9"/>
    <w:rsid w:val="00D51587"/>
    <w:rsid w:val="00D5748D"/>
    <w:rsid w:val="00D6273D"/>
    <w:rsid w:val="00D65264"/>
    <w:rsid w:val="00D70C24"/>
    <w:rsid w:val="00D90C26"/>
    <w:rsid w:val="00D94595"/>
    <w:rsid w:val="00DA2D69"/>
    <w:rsid w:val="00DA680E"/>
    <w:rsid w:val="00DA78C1"/>
    <w:rsid w:val="00DB7833"/>
    <w:rsid w:val="00DC4BE1"/>
    <w:rsid w:val="00DD5D12"/>
    <w:rsid w:val="00DE7F7B"/>
    <w:rsid w:val="00DF57D2"/>
    <w:rsid w:val="00DF586C"/>
    <w:rsid w:val="00E0687C"/>
    <w:rsid w:val="00E35278"/>
    <w:rsid w:val="00E5564A"/>
    <w:rsid w:val="00E57209"/>
    <w:rsid w:val="00E63A1E"/>
    <w:rsid w:val="00E767F0"/>
    <w:rsid w:val="00E81F2D"/>
    <w:rsid w:val="00E83B14"/>
    <w:rsid w:val="00E955E1"/>
    <w:rsid w:val="00E969DF"/>
    <w:rsid w:val="00EC07B6"/>
    <w:rsid w:val="00EE09CB"/>
    <w:rsid w:val="00F07311"/>
    <w:rsid w:val="00F10D47"/>
    <w:rsid w:val="00F131FB"/>
    <w:rsid w:val="00F17918"/>
    <w:rsid w:val="00F22F5B"/>
    <w:rsid w:val="00F47F78"/>
    <w:rsid w:val="00F613FF"/>
    <w:rsid w:val="00F61D58"/>
    <w:rsid w:val="00F748BC"/>
    <w:rsid w:val="00F8129A"/>
    <w:rsid w:val="00F83858"/>
    <w:rsid w:val="00F9430A"/>
    <w:rsid w:val="00FA0710"/>
    <w:rsid w:val="00FA2BF0"/>
    <w:rsid w:val="00FA332A"/>
    <w:rsid w:val="00FA3475"/>
    <w:rsid w:val="00FB3C55"/>
    <w:rsid w:val="00FC75AC"/>
    <w:rsid w:val="00FE5584"/>
    <w:rsid w:val="00FE7A57"/>
    <w:rsid w:val="00FF093A"/>
    <w:rsid w:val="00FF0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7E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7EF1"/>
    <w:rPr>
      <w:sz w:val="18"/>
      <w:szCs w:val="18"/>
    </w:rPr>
  </w:style>
  <w:style w:type="paragraph" w:styleId="a4">
    <w:name w:val="footer"/>
    <w:basedOn w:val="a"/>
    <w:link w:val="Char0"/>
    <w:uiPriority w:val="99"/>
    <w:unhideWhenUsed/>
    <w:rsid w:val="00B47E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7EF1"/>
    <w:rPr>
      <w:sz w:val="18"/>
      <w:szCs w:val="18"/>
    </w:rPr>
  </w:style>
  <w:style w:type="paragraph" w:styleId="a5">
    <w:name w:val="Plain Text"/>
    <w:basedOn w:val="a"/>
    <w:link w:val="Char1"/>
    <w:rsid w:val="00B47EF1"/>
    <w:rPr>
      <w:rFonts w:ascii="宋体" w:hAnsi="Courier New"/>
      <w:szCs w:val="21"/>
    </w:rPr>
  </w:style>
  <w:style w:type="character" w:customStyle="1" w:styleId="a6">
    <w:name w:val="纯文本 字符"/>
    <w:basedOn w:val="a0"/>
    <w:uiPriority w:val="99"/>
    <w:semiHidden/>
    <w:rsid w:val="00B47EF1"/>
    <w:rPr>
      <w:rFonts w:asciiTheme="minorEastAsia" w:hAnsi="Courier New" w:cs="Courier New"/>
      <w:szCs w:val="24"/>
    </w:rPr>
  </w:style>
  <w:style w:type="paragraph" w:customStyle="1" w:styleId="a7">
    <w:name w:val="正文所"/>
    <w:basedOn w:val="a"/>
    <w:rsid w:val="00B47EF1"/>
    <w:pPr>
      <w:spacing w:line="360" w:lineRule="auto"/>
      <w:ind w:firstLineChars="200" w:firstLine="420"/>
    </w:pPr>
  </w:style>
  <w:style w:type="character" w:customStyle="1" w:styleId="Char1">
    <w:name w:val="纯文本 Char"/>
    <w:link w:val="a5"/>
    <w:rsid w:val="00B47EF1"/>
    <w:rPr>
      <w:rFonts w:ascii="宋体" w:eastAsia="宋体" w:hAnsi="Courier New" w:cs="Times New Roman"/>
      <w:szCs w:val="21"/>
    </w:rPr>
  </w:style>
  <w:style w:type="paragraph" w:styleId="a8">
    <w:name w:val="Balloon Text"/>
    <w:basedOn w:val="a"/>
    <w:link w:val="Char2"/>
    <w:uiPriority w:val="99"/>
    <w:semiHidden/>
    <w:unhideWhenUsed/>
    <w:rsid w:val="00087DFE"/>
    <w:rPr>
      <w:sz w:val="18"/>
      <w:szCs w:val="18"/>
    </w:rPr>
  </w:style>
  <w:style w:type="character" w:customStyle="1" w:styleId="Char2">
    <w:name w:val="批注框文本 Char"/>
    <w:basedOn w:val="a0"/>
    <w:link w:val="a8"/>
    <w:uiPriority w:val="99"/>
    <w:semiHidden/>
    <w:rsid w:val="00087DFE"/>
    <w:rPr>
      <w:rFonts w:ascii="Times New Roman" w:eastAsia="宋体" w:hAnsi="Times New Roman" w:cs="Times New Roman"/>
      <w:sz w:val="18"/>
      <w:szCs w:val="18"/>
    </w:rPr>
  </w:style>
  <w:style w:type="character" w:customStyle="1" w:styleId="c1">
    <w:name w:val="c1"/>
    <w:rsid w:val="009D173B"/>
    <w:rPr>
      <w:color w:val="000000"/>
      <w:sz w:val="18"/>
      <w:szCs w:val="18"/>
    </w:rPr>
  </w:style>
  <w:style w:type="paragraph" w:styleId="a9">
    <w:name w:val="Revision"/>
    <w:hidden/>
    <w:uiPriority w:val="99"/>
    <w:semiHidden/>
    <w:rsid w:val="00A47B22"/>
    <w:rPr>
      <w:rFonts w:ascii="Times New Roman" w:eastAsia="宋体" w:hAnsi="Times New Roman" w:cs="Times New Roman"/>
      <w:szCs w:val="24"/>
    </w:rPr>
  </w:style>
  <w:style w:type="character" w:styleId="aa">
    <w:name w:val="annotation reference"/>
    <w:basedOn w:val="a0"/>
    <w:uiPriority w:val="99"/>
    <w:semiHidden/>
    <w:unhideWhenUsed/>
    <w:rsid w:val="003744F4"/>
    <w:rPr>
      <w:sz w:val="21"/>
      <w:szCs w:val="21"/>
    </w:rPr>
  </w:style>
  <w:style w:type="paragraph" w:styleId="ab">
    <w:name w:val="annotation text"/>
    <w:basedOn w:val="a"/>
    <w:link w:val="Char3"/>
    <w:uiPriority w:val="99"/>
    <w:semiHidden/>
    <w:unhideWhenUsed/>
    <w:rsid w:val="003744F4"/>
    <w:pPr>
      <w:jc w:val="left"/>
    </w:pPr>
  </w:style>
  <w:style w:type="character" w:customStyle="1" w:styleId="Char3">
    <w:name w:val="批注文字 Char"/>
    <w:basedOn w:val="a0"/>
    <w:link w:val="ab"/>
    <w:uiPriority w:val="99"/>
    <w:semiHidden/>
    <w:rsid w:val="003744F4"/>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3744F4"/>
    <w:rPr>
      <w:b/>
      <w:bCs/>
    </w:rPr>
  </w:style>
  <w:style w:type="character" w:customStyle="1" w:styleId="Char4">
    <w:name w:val="批注主题 Char"/>
    <w:basedOn w:val="Char3"/>
    <w:link w:val="ac"/>
    <w:uiPriority w:val="99"/>
    <w:semiHidden/>
    <w:rsid w:val="003744F4"/>
    <w:rPr>
      <w:rFonts w:ascii="Times New Roman" w:eastAsia="宋体" w:hAnsi="Times New Roman" w:cs="Times New Roman"/>
      <w:b/>
      <w:bCs/>
      <w:szCs w:val="24"/>
    </w:rPr>
  </w:style>
  <w:style w:type="paragraph" w:styleId="ad">
    <w:name w:val="Normal (Web)"/>
    <w:basedOn w:val="a"/>
    <w:uiPriority w:val="99"/>
    <w:semiHidden/>
    <w:unhideWhenUsed/>
    <w:rsid w:val="006F744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4200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1538</Characters>
  <Application>Microsoft Office Word</Application>
  <DocSecurity>4</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合规部-邱曦</dc:creator>
  <cp:keywords/>
  <dc:description/>
  <cp:lastModifiedBy>ZHONGM</cp:lastModifiedBy>
  <cp:revision>2</cp:revision>
  <cp:lastPrinted>2023-07-17T07:49:00Z</cp:lastPrinted>
  <dcterms:created xsi:type="dcterms:W3CDTF">2024-02-07T16:03:00Z</dcterms:created>
  <dcterms:modified xsi:type="dcterms:W3CDTF">2024-02-07T16:03:00Z</dcterms:modified>
</cp:coreProperties>
</file>