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A1048" w:rsidRDefault="00EA1048">
      <w:pPr>
        <w:pStyle w:val="XBRL2"/>
        <w:spacing w:before="156"/>
        <w:rPr>
          <w:lang w:eastAsia="zh-CN"/>
        </w:rPr>
      </w:pPr>
      <w:bookmarkStart w:id="0" w:name="_Toc510201001"/>
      <w:bookmarkEnd w:id="0"/>
      <w:r>
        <w:rPr>
          <w:lang w:eastAsia="zh-CN"/>
        </w:rPr>
        <w:t xml:space="preserve">　</w:t>
      </w:r>
      <w:r>
        <w:rPr>
          <w:lang w:eastAsia="zh-CN"/>
        </w:rPr>
        <w:t xml:space="preserve"> </w:t>
      </w:r>
    </w:p>
    <w:p w:rsidR="00EA1048" w:rsidRDefault="00EA1048">
      <w:pPr>
        <w:jc w:val="center"/>
      </w:pPr>
      <w:r>
        <w:rPr>
          <w:rFonts w:cs="Times New Roman" w:hint="eastAsia"/>
          <w:b/>
          <w:sz w:val="48"/>
          <w:szCs w:val="48"/>
        </w:rPr>
        <w:t>宏利恒利债券型证券投资基金恢复大额申购、大额转换转入</w:t>
      </w:r>
      <w:r w:rsidR="00B51C47" w:rsidRPr="00B51C47">
        <w:rPr>
          <w:rFonts w:cs="Times New Roman" w:hint="eastAsia"/>
          <w:b/>
          <w:sz w:val="48"/>
          <w:szCs w:val="48"/>
        </w:rPr>
        <w:t>及大额定期定额投资业务</w:t>
      </w:r>
      <w:r w:rsidR="00B51C47">
        <w:rPr>
          <w:rFonts w:cs="Times New Roman" w:hint="eastAsia"/>
          <w:b/>
          <w:sz w:val="48"/>
          <w:szCs w:val="48"/>
        </w:rPr>
        <w:t>的</w:t>
      </w:r>
      <w:r>
        <w:rPr>
          <w:rFonts w:cs="Times New Roman" w:hint="eastAsia"/>
          <w:b/>
          <w:sz w:val="48"/>
          <w:szCs w:val="48"/>
        </w:rPr>
        <w:t>公告</w:t>
      </w:r>
    </w:p>
    <w:p w:rsidR="00EA1048" w:rsidRDefault="00EA1048">
      <w:pPr>
        <w:spacing w:line="560" w:lineRule="exact"/>
        <w:jc w:val="center"/>
        <w:rPr>
          <w:rFonts w:hint="eastAsia"/>
          <w:color w:val="000000"/>
          <w:kern w:val="0"/>
          <w:sz w:val="18"/>
        </w:rPr>
      </w:pPr>
      <w:r>
        <w:rPr>
          <w:rFonts w:hint="eastAsia"/>
          <w:color w:val="000000"/>
          <w:kern w:val="0"/>
          <w:sz w:val="18"/>
        </w:rPr>
        <w:t xml:space="preserve">　 </w:t>
      </w:r>
    </w:p>
    <w:p w:rsidR="00EA1048" w:rsidRDefault="00EA1048">
      <w:pPr>
        <w:spacing w:line="560" w:lineRule="exact"/>
        <w:jc w:val="center"/>
        <w:rPr>
          <w:rFonts w:hint="eastAsia"/>
          <w:color w:val="000000"/>
          <w:kern w:val="0"/>
          <w:sz w:val="18"/>
        </w:rPr>
      </w:pPr>
      <w:r>
        <w:rPr>
          <w:rFonts w:hint="eastAsia"/>
          <w:color w:val="000000"/>
          <w:kern w:val="0"/>
          <w:sz w:val="18"/>
        </w:rPr>
        <w:t xml:space="preserve">　 </w:t>
      </w:r>
    </w:p>
    <w:p w:rsidR="00EA1048" w:rsidRDefault="00EA1048">
      <w:pPr>
        <w:spacing w:line="560" w:lineRule="exact"/>
        <w:jc w:val="center"/>
        <w:rPr>
          <w:rFonts w:hint="eastAsia"/>
          <w:color w:val="000000"/>
          <w:kern w:val="0"/>
          <w:sz w:val="18"/>
        </w:rPr>
      </w:pPr>
      <w:r>
        <w:rPr>
          <w:rFonts w:hint="eastAsia"/>
          <w:color w:val="000000"/>
          <w:kern w:val="0"/>
          <w:sz w:val="18"/>
        </w:rPr>
        <w:t xml:space="preserve">　 </w:t>
      </w:r>
    </w:p>
    <w:p w:rsidR="00EA1048" w:rsidRDefault="00EA1048">
      <w:pPr>
        <w:spacing w:line="560" w:lineRule="exact"/>
        <w:jc w:val="center"/>
        <w:rPr>
          <w:rFonts w:hint="eastAsia"/>
          <w:color w:val="000000"/>
          <w:kern w:val="0"/>
          <w:sz w:val="18"/>
        </w:rPr>
      </w:pPr>
      <w:r>
        <w:rPr>
          <w:rFonts w:hint="eastAsia"/>
          <w:color w:val="000000"/>
          <w:kern w:val="0"/>
          <w:sz w:val="18"/>
        </w:rPr>
        <w:t xml:space="preserve">　 </w:t>
      </w:r>
    </w:p>
    <w:p w:rsidR="00EA1048" w:rsidRDefault="00EA1048">
      <w:pPr>
        <w:spacing w:line="560" w:lineRule="exact"/>
        <w:jc w:val="center"/>
        <w:rPr>
          <w:rFonts w:hint="eastAsia"/>
          <w:color w:val="000000"/>
          <w:kern w:val="0"/>
          <w:sz w:val="18"/>
        </w:rPr>
      </w:pPr>
      <w:r>
        <w:rPr>
          <w:rFonts w:hint="eastAsia"/>
          <w:color w:val="000000"/>
          <w:kern w:val="0"/>
          <w:sz w:val="18"/>
        </w:rPr>
        <w:t xml:space="preserve">　 </w:t>
      </w:r>
    </w:p>
    <w:p w:rsidR="00EA1048" w:rsidRDefault="00EA1048">
      <w:pPr>
        <w:spacing w:line="560" w:lineRule="exact"/>
        <w:jc w:val="center"/>
        <w:rPr>
          <w:rFonts w:hint="eastAsia"/>
          <w:color w:val="000000"/>
          <w:kern w:val="0"/>
          <w:sz w:val="18"/>
        </w:rPr>
      </w:pPr>
      <w:r>
        <w:rPr>
          <w:rFonts w:hint="eastAsia"/>
          <w:color w:val="000000"/>
          <w:kern w:val="0"/>
          <w:sz w:val="18"/>
        </w:rPr>
        <w:t xml:space="preserve">　 </w:t>
      </w:r>
    </w:p>
    <w:p w:rsidR="00EA1048" w:rsidRDefault="00EA1048">
      <w:pPr>
        <w:spacing w:line="560" w:lineRule="exact"/>
        <w:jc w:val="center"/>
        <w:rPr>
          <w:rFonts w:hint="eastAsia"/>
          <w:color w:val="000000"/>
          <w:kern w:val="0"/>
          <w:sz w:val="18"/>
        </w:rPr>
      </w:pPr>
      <w:r>
        <w:rPr>
          <w:rFonts w:hint="eastAsia"/>
          <w:color w:val="000000"/>
          <w:kern w:val="0"/>
          <w:sz w:val="18"/>
        </w:rPr>
        <w:t xml:space="preserve">　 </w:t>
      </w:r>
    </w:p>
    <w:p w:rsidR="00EA1048" w:rsidRDefault="00EA1048">
      <w:pPr>
        <w:spacing w:line="560" w:lineRule="exact"/>
        <w:jc w:val="center"/>
        <w:rPr>
          <w:rFonts w:hint="eastAsia"/>
          <w:color w:val="000000"/>
          <w:kern w:val="0"/>
          <w:sz w:val="18"/>
        </w:rPr>
      </w:pPr>
      <w:r>
        <w:rPr>
          <w:rFonts w:hint="eastAsia"/>
          <w:color w:val="000000"/>
          <w:kern w:val="0"/>
          <w:sz w:val="18"/>
        </w:rPr>
        <w:t xml:space="preserve">　 </w:t>
      </w:r>
    </w:p>
    <w:p w:rsidR="00EA1048" w:rsidRDefault="00EA1048">
      <w:pPr>
        <w:spacing w:line="560" w:lineRule="exact"/>
        <w:jc w:val="center"/>
        <w:rPr>
          <w:rFonts w:hint="eastAsia"/>
          <w:color w:val="000000"/>
          <w:kern w:val="0"/>
          <w:sz w:val="18"/>
        </w:rPr>
      </w:pPr>
      <w:r>
        <w:rPr>
          <w:rFonts w:hint="eastAsia"/>
          <w:color w:val="000000"/>
          <w:kern w:val="0"/>
          <w:sz w:val="18"/>
        </w:rPr>
        <w:t xml:space="preserve">　 </w:t>
      </w:r>
    </w:p>
    <w:p w:rsidR="00EA1048" w:rsidRDefault="00EA1048">
      <w:pPr>
        <w:spacing w:line="560" w:lineRule="exact"/>
        <w:jc w:val="center"/>
        <w:rPr>
          <w:rFonts w:hint="eastAsia"/>
          <w:color w:val="000000"/>
          <w:kern w:val="0"/>
          <w:sz w:val="18"/>
        </w:rPr>
      </w:pPr>
      <w:r>
        <w:rPr>
          <w:rFonts w:hint="eastAsia"/>
          <w:color w:val="000000"/>
          <w:kern w:val="0"/>
          <w:sz w:val="18"/>
        </w:rPr>
        <w:t xml:space="preserve">　 </w:t>
      </w:r>
    </w:p>
    <w:p w:rsidR="00EA1048" w:rsidRDefault="00EA1048">
      <w:pPr>
        <w:spacing w:line="560" w:lineRule="exact"/>
        <w:jc w:val="center"/>
        <w:rPr>
          <w:rFonts w:hint="eastAsia"/>
          <w:color w:val="000000"/>
          <w:kern w:val="0"/>
          <w:sz w:val="18"/>
        </w:rPr>
      </w:pPr>
      <w:r>
        <w:rPr>
          <w:rFonts w:hint="eastAsia"/>
          <w:color w:val="000000"/>
          <w:kern w:val="0"/>
          <w:sz w:val="18"/>
        </w:rPr>
        <w:t xml:space="preserve">　 </w:t>
      </w:r>
    </w:p>
    <w:p w:rsidR="00EA1048" w:rsidRDefault="00EA1048">
      <w:pPr>
        <w:spacing w:line="560" w:lineRule="exact"/>
        <w:jc w:val="center"/>
        <w:rPr>
          <w:rFonts w:hint="eastAsia"/>
          <w:color w:val="000000"/>
          <w:kern w:val="0"/>
          <w:sz w:val="18"/>
        </w:rPr>
      </w:pPr>
      <w:r>
        <w:rPr>
          <w:rFonts w:hint="eastAsia"/>
          <w:color w:val="000000"/>
          <w:kern w:val="0"/>
          <w:sz w:val="18"/>
        </w:rPr>
        <w:t xml:space="preserve">　 </w:t>
      </w:r>
    </w:p>
    <w:p w:rsidR="00EA1048" w:rsidRDefault="00EA1048">
      <w:pPr>
        <w:spacing w:line="560" w:lineRule="exact"/>
        <w:jc w:val="center"/>
        <w:rPr>
          <w:rFonts w:hint="eastAsia"/>
          <w:color w:val="000000"/>
          <w:kern w:val="0"/>
          <w:sz w:val="18"/>
        </w:rPr>
      </w:pPr>
      <w:r>
        <w:rPr>
          <w:rFonts w:hint="eastAsia"/>
          <w:color w:val="000000"/>
          <w:kern w:val="0"/>
          <w:sz w:val="18"/>
        </w:rPr>
        <w:t xml:space="preserve">　 </w:t>
      </w:r>
    </w:p>
    <w:p w:rsidR="00EA1048" w:rsidRDefault="00EA1048">
      <w:pPr>
        <w:spacing w:line="360" w:lineRule="auto"/>
        <w:jc w:val="center"/>
        <w:rPr>
          <w:rFonts w:hint="eastAsia"/>
        </w:rPr>
      </w:pPr>
      <w:r>
        <w:rPr>
          <w:rFonts w:hint="eastAsia"/>
          <w:b/>
          <w:bCs/>
          <w:sz w:val="24"/>
          <w:szCs w:val="30"/>
        </w:rPr>
        <w:t>公告送出日期：</w:t>
      </w:r>
      <w:r w:rsidR="001E17AB">
        <w:rPr>
          <w:rFonts w:hint="eastAsia"/>
          <w:b/>
          <w:bCs/>
          <w:sz w:val="24"/>
          <w:szCs w:val="30"/>
        </w:rPr>
        <w:t>202</w:t>
      </w:r>
      <w:r w:rsidR="001E17AB">
        <w:rPr>
          <w:b/>
          <w:bCs/>
          <w:sz w:val="24"/>
          <w:szCs w:val="30"/>
        </w:rPr>
        <w:t>4</w:t>
      </w:r>
      <w:r>
        <w:rPr>
          <w:rFonts w:hint="eastAsia"/>
          <w:b/>
          <w:bCs/>
          <w:sz w:val="24"/>
          <w:szCs w:val="30"/>
        </w:rPr>
        <w:t>年</w:t>
      </w:r>
      <w:r w:rsidR="001E17AB">
        <w:rPr>
          <w:b/>
          <w:bCs/>
          <w:sz w:val="24"/>
          <w:szCs w:val="30"/>
        </w:rPr>
        <w:t>2</w:t>
      </w:r>
      <w:r>
        <w:rPr>
          <w:rFonts w:hint="eastAsia"/>
          <w:b/>
          <w:bCs/>
          <w:sz w:val="24"/>
          <w:szCs w:val="30"/>
        </w:rPr>
        <w:t>月</w:t>
      </w:r>
      <w:r w:rsidR="00BD492A">
        <w:rPr>
          <w:b/>
          <w:bCs/>
          <w:sz w:val="24"/>
          <w:szCs w:val="30"/>
        </w:rPr>
        <w:t>8</w:t>
      </w:r>
      <w:r>
        <w:rPr>
          <w:rFonts w:hint="eastAsia"/>
          <w:b/>
          <w:bCs/>
          <w:sz w:val="24"/>
          <w:szCs w:val="30"/>
        </w:rPr>
        <w:t>日</w:t>
      </w:r>
    </w:p>
    <w:p w:rsidR="00EA1048" w:rsidRDefault="00EA1048">
      <w:pPr>
        <w:pStyle w:val="XBRLTitle1"/>
        <w:spacing w:before="156"/>
        <w:ind w:left="425"/>
        <w:jc w:val="left"/>
        <w:rPr>
          <w:rFonts w:hint="eastAsia"/>
        </w:rPr>
      </w:pPr>
      <w:r>
        <w:rPr>
          <w:rFonts w:hint="eastAsia"/>
          <w:color w:val="404040"/>
          <w:kern w:val="0"/>
        </w:rPr>
        <w:br w:type="page"/>
      </w:r>
      <w:bookmarkStart w:id="1" w:name="_Toc17898178"/>
      <w:bookmarkStart w:id="2" w:name="_Toc17897936"/>
      <w:bookmarkStart w:id="3" w:name="_Toc512519480"/>
      <w:bookmarkStart w:id="4" w:name="_Toc481075046"/>
      <w:bookmarkStart w:id="5" w:name="_Toc438646451"/>
      <w:bookmarkStart w:id="6" w:name="_Toc490050000"/>
      <w:bookmarkStart w:id="7" w:name="_Toc513295846"/>
      <w:bookmarkStart w:id="8" w:name="_Toc513295892"/>
      <w:bookmarkStart w:id="9" w:name="_Toc34322059"/>
      <w:bookmarkStart w:id="10" w:name="m101"/>
      <w:bookmarkStart w:id="11" w:name="m01_01"/>
      <w:bookmarkStart w:id="12" w:name="_Toc194311890"/>
      <w:r>
        <w:rPr>
          <w:rFonts w:hint="eastAsia"/>
          <w:szCs w:val="24"/>
        </w:rPr>
        <w:lastRenderedPageBreak/>
        <w:t>公告基本信息</w:t>
      </w:r>
      <w:bookmarkEnd w:id="1"/>
      <w:bookmarkEnd w:id="2"/>
      <w:bookmarkEnd w:id="3"/>
      <w:bookmarkEnd w:id="4"/>
      <w:bookmarkEnd w:id="5"/>
      <w:bookmarkEnd w:id="6"/>
      <w:bookmarkEnd w:id="7"/>
      <w:bookmarkEnd w:id="8"/>
      <w:bookmarkEnd w:id="9"/>
      <w:r>
        <w:rPr>
          <w:rFonts w:hint="eastAsia"/>
          <w:szCs w:val="24"/>
        </w:rPr>
        <w:t xml:space="preserve"> </w:t>
      </w:r>
      <w:bookmarkEnd w:id="10"/>
      <w:bookmarkEnd w:id="11"/>
      <w:bookmarkEnd w:id="12"/>
    </w:p>
    <w:tbl>
      <w:tblPr>
        <w:tblW w:w="8475"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tblPr>
      <w:tblGrid>
        <w:gridCol w:w="1349"/>
        <w:gridCol w:w="1196"/>
        <w:gridCol w:w="2965"/>
        <w:gridCol w:w="2965"/>
      </w:tblGrid>
      <w:tr w:rsidR="00EA1048" w:rsidTr="005E1118">
        <w:tc>
          <w:tcPr>
            <w:tcW w:w="37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1048" w:rsidRDefault="00EA1048">
            <w:pPr>
              <w:rPr>
                <w:rFonts w:hint="eastAsia"/>
              </w:rPr>
            </w:pPr>
            <w:r w:rsidRPr="005E1118">
              <w:rPr>
                <w:rFonts w:ascii="Calibri" w:hAnsi="Calibri" w:hint="eastAsia"/>
              </w:rPr>
              <w:t>基金名称</w:t>
            </w:r>
          </w:p>
        </w:tc>
        <w:tc>
          <w:tcPr>
            <w:tcW w:w="46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1048" w:rsidRDefault="00EA1048">
            <w:pPr>
              <w:rPr>
                <w:rFonts w:hint="eastAsia"/>
              </w:rPr>
            </w:pPr>
            <w:r w:rsidRPr="005E1118">
              <w:rPr>
                <w:rFonts w:hint="eastAsia"/>
              </w:rPr>
              <w:t>宏利恒利债券型证券投资基金</w:t>
            </w:r>
          </w:p>
        </w:tc>
      </w:tr>
      <w:tr w:rsidR="00EA1048" w:rsidTr="005E1118">
        <w:tc>
          <w:tcPr>
            <w:tcW w:w="37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1048" w:rsidRDefault="00EA1048">
            <w:pPr>
              <w:rPr>
                <w:rFonts w:hint="eastAsia"/>
              </w:rPr>
            </w:pPr>
            <w:r w:rsidRPr="005E1118">
              <w:rPr>
                <w:rFonts w:hint="eastAsia"/>
              </w:rPr>
              <w:t xml:space="preserve">基金简称 </w:t>
            </w:r>
          </w:p>
        </w:tc>
        <w:tc>
          <w:tcPr>
            <w:tcW w:w="46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1048" w:rsidRDefault="00EA1048">
            <w:pPr>
              <w:rPr>
                <w:rFonts w:hint="eastAsia"/>
              </w:rPr>
            </w:pPr>
            <w:r w:rsidRPr="005E1118">
              <w:rPr>
                <w:rFonts w:hint="eastAsia"/>
              </w:rPr>
              <w:t>宏利恒利债券</w:t>
            </w:r>
          </w:p>
        </w:tc>
      </w:tr>
      <w:tr w:rsidR="00EA1048" w:rsidTr="005E1118">
        <w:tc>
          <w:tcPr>
            <w:tcW w:w="37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1048" w:rsidRDefault="00EA1048">
            <w:pPr>
              <w:rPr>
                <w:rFonts w:hint="eastAsia"/>
              </w:rPr>
            </w:pPr>
            <w:r w:rsidRPr="005E1118">
              <w:rPr>
                <w:rFonts w:hint="eastAsia"/>
              </w:rPr>
              <w:t xml:space="preserve">基金主代码 </w:t>
            </w:r>
          </w:p>
        </w:tc>
        <w:tc>
          <w:tcPr>
            <w:tcW w:w="46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1048" w:rsidRDefault="00EA1048">
            <w:pPr>
              <w:rPr>
                <w:rFonts w:hint="eastAsia"/>
              </w:rPr>
            </w:pPr>
            <w:r w:rsidRPr="005E1118">
              <w:rPr>
                <w:rFonts w:hint="eastAsia"/>
              </w:rPr>
              <w:t>004001</w:t>
            </w:r>
          </w:p>
        </w:tc>
      </w:tr>
      <w:tr w:rsidR="00EA1048" w:rsidTr="005E1118">
        <w:tc>
          <w:tcPr>
            <w:tcW w:w="37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1048" w:rsidRDefault="00EA1048">
            <w:pPr>
              <w:rPr>
                <w:rFonts w:hint="eastAsia"/>
              </w:rPr>
            </w:pPr>
            <w:r w:rsidRPr="005E1118">
              <w:rPr>
                <w:rFonts w:ascii="Calibri" w:hAnsi="Calibri" w:hint="eastAsia"/>
              </w:rPr>
              <w:t>基金管理人名称</w:t>
            </w:r>
          </w:p>
        </w:tc>
        <w:tc>
          <w:tcPr>
            <w:tcW w:w="46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1048" w:rsidRDefault="00EA1048">
            <w:pPr>
              <w:rPr>
                <w:rFonts w:hint="eastAsia"/>
              </w:rPr>
            </w:pPr>
            <w:r w:rsidRPr="005E1118">
              <w:rPr>
                <w:rFonts w:hint="eastAsia"/>
              </w:rPr>
              <w:t>宏利基金管理有限公司</w:t>
            </w:r>
          </w:p>
        </w:tc>
      </w:tr>
      <w:tr w:rsidR="00EA1048" w:rsidTr="005E1118">
        <w:tc>
          <w:tcPr>
            <w:tcW w:w="37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1048" w:rsidRDefault="00EA1048">
            <w:pPr>
              <w:rPr>
                <w:rFonts w:hint="eastAsia"/>
              </w:rPr>
            </w:pPr>
            <w:r w:rsidRPr="005E1118">
              <w:rPr>
                <w:rFonts w:ascii="Calibri" w:hAnsi="Calibri" w:hint="eastAsia"/>
              </w:rPr>
              <w:t>公告依据</w:t>
            </w:r>
          </w:p>
        </w:tc>
        <w:tc>
          <w:tcPr>
            <w:tcW w:w="46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1048" w:rsidRDefault="00467F07">
            <w:pPr>
              <w:rPr>
                <w:rFonts w:hint="eastAsia"/>
              </w:rPr>
            </w:pPr>
            <w:r w:rsidRPr="00467F07">
              <w:rPr>
                <w:rFonts w:hint="eastAsia"/>
              </w:rPr>
              <w:t>《中华人民共和国证券投资基金法》、《公开募集证券投资基金信息披露管理办法》等法律法规以及</w:t>
            </w:r>
            <w:r w:rsidR="00EA1048" w:rsidRPr="005E1118">
              <w:rPr>
                <w:rFonts w:hint="eastAsia"/>
              </w:rPr>
              <w:t>《宏利恒利债券型证券投资基金基金合同》（以下简称“基金合同”）和《宏利恒利债券型证券投资基金招募说明书》（以下简称“招募说明书”）</w:t>
            </w:r>
          </w:p>
        </w:tc>
      </w:tr>
      <w:tr w:rsidR="00EA1048" w:rsidTr="005E1118">
        <w:tc>
          <w:tcPr>
            <w:tcW w:w="20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1048" w:rsidRDefault="00EA1048">
            <w:pPr>
              <w:rPr>
                <w:rFonts w:hint="eastAsia"/>
              </w:rPr>
            </w:pPr>
            <w:r w:rsidRPr="005E1118">
              <w:rPr>
                <w:rFonts w:ascii="Calibri" w:hAnsi="Calibri" w:hint="eastAsia"/>
              </w:rPr>
              <w:t>恢复相关业务的日期及原因说明</w:t>
            </w:r>
          </w:p>
        </w:tc>
        <w:tc>
          <w:tcPr>
            <w:tcW w:w="1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1048" w:rsidRDefault="00EA1048">
            <w:pPr>
              <w:rPr>
                <w:rFonts w:hint="eastAsia"/>
              </w:rPr>
            </w:pPr>
            <w:r w:rsidRPr="005E1118">
              <w:rPr>
                <w:rFonts w:ascii="Calibri" w:hAnsi="Calibri" w:hint="eastAsia"/>
              </w:rPr>
              <w:t>恢复大额申购日</w:t>
            </w:r>
          </w:p>
        </w:tc>
        <w:tc>
          <w:tcPr>
            <w:tcW w:w="46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1048" w:rsidRDefault="00EA1048">
            <w:pPr>
              <w:rPr>
                <w:rFonts w:hint="eastAsia"/>
              </w:rPr>
            </w:pPr>
            <w:r w:rsidRPr="005E1118">
              <w:rPr>
                <w:rFonts w:hint="eastAsia"/>
              </w:rPr>
              <w:t>202</w:t>
            </w:r>
            <w:r w:rsidR="001E17AB">
              <w:t>4</w:t>
            </w:r>
            <w:r w:rsidRPr="005E1118">
              <w:rPr>
                <w:rFonts w:hint="eastAsia"/>
              </w:rPr>
              <w:t>年</w:t>
            </w:r>
            <w:r w:rsidR="001E17AB">
              <w:t>2</w:t>
            </w:r>
            <w:r w:rsidRPr="005E1118">
              <w:rPr>
                <w:rFonts w:hint="eastAsia"/>
              </w:rPr>
              <w:t>月</w:t>
            </w:r>
            <w:r w:rsidR="001E17AB">
              <w:t>19</w:t>
            </w:r>
            <w:r w:rsidRPr="005E1118">
              <w:rPr>
                <w:rFonts w:hint="eastAsia"/>
              </w:rPr>
              <w:t>日</w:t>
            </w:r>
          </w:p>
        </w:tc>
      </w:tr>
      <w:tr w:rsidR="00EA1048" w:rsidTr="005E1118">
        <w:tc>
          <w:tcPr>
            <w:tcW w:w="3795" w:type="dxa"/>
            <w:vMerge/>
            <w:tcBorders>
              <w:top w:val="single" w:sz="4" w:space="0" w:color="000000"/>
              <w:left w:val="single" w:sz="4" w:space="0" w:color="000000"/>
              <w:bottom w:val="single" w:sz="4" w:space="0" w:color="000000"/>
              <w:right w:val="single" w:sz="4" w:space="0" w:color="000000"/>
            </w:tcBorders>
            <w:vAlign w:val="center"/>
            <w:hideMark/>
          </w:tcPr>
          <w:p w:rsidR="00EA1048" w:rsidRDefault="00EA1048">
            <w:pPr>
              <w:widowControl/>
              <w:jc w:val="left"/>
            </w:pPr>
          </w:p>
        </w:tc>
        <w:tc>
          <w:tcPr>
            <w:tcW w:w="1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1048" w:rsidRDefault="00EA1048">
            <w:pPr>
              <w:rPr>
                <w:rFonts w:hint="eastAsia"/>
              </w:rPr>
            </w:pPr>
            <w:r w:rsidRPr="005E1118">
              <w:rPr>
                <w:rFonts w:ascii="Calibri" w:hAnsi="Calibri" w:hint="eastAsia"/>
              </w:rPr>
              <w:t>恢复大额转换转入日</w:t>
            </w:r>
          </w:p>
        </w:tc>
        <w:tc>
          <w:tcPr>
            <w:tcW w:w="46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1048" w:rsidRDefault="001E17AB">
            <w:pPr>
              <w:rPr>
                <w:rFonts w:hint="eastAsia"/>
              </w:rPr>
            </w:pPr>
            <w:r w:rsidRPr="005E1118">
              <w:rPr>
                <w:rFonts w:hint="eastAsia"/>
              </w:rPr>
              <w:t>202</w:t>
            </w:r>
            <w:r>
              <w:t>4</w:t>
            </w:r>
            <w:r w:rsidR="00EA1048" w:rsidRPr="005E1118">
              <w:rPr>
                <w:rFonts w:hint="eastAsia"/>
              </w:rPr>
              <w:t>年</w:t>
            </w:r>
            <w:r>
              <w:t>2</w:t>
            </w:r>
            <w:r w:rsidR="00EA1048" w:rsidRPr="005E1118">
              <w:rPr>
                <w:rFonts w:hint="eastAsia"/>
              </w:rPr>
              <w:t>月</w:t>
            </w:r>
            <w:r>
              <w:t>19</w:t>
            </w:r>
            <w:r w:rsidR="00EA1048" w:rsidRPr="005E1118">
              <w:rPr>
                <w:rFonts w:hint="eastAsia"/>
              </w:rPr>
              <w:t>日</w:t>
            </w:r>
          </w:p>
        </w:tc>
      </w:tr>
      <w:tr w:rsidR="00EA1048" w:rsidTr="005E1118">
        <w:tc>
          <w:tcPr>
            <w:tcW w:w="3795" w:type="dxa"/>
            <w:vMerge/>
            <w:tcBorders>
              <w:top w:val="single" w:sz="4" w:space="0" w:color="000000"/>
              <w:left w:val="single" w:sz="4" w:space="0" w:color="000000"/>
              <w:bottom w:val="single" w:sz="4" w:space="0" w:color="000000"/>
              <w:right w:val="single" w:sz="4" w:space="0" w:color="000000"/>
            </w:tcBorders>
            <w:vAlign w:val="center"/>
            <w:hideMark/>
          </w:tcPr>
          <w:p w:rsidR="00EA1048" w:rsidRDefault="00EA1048">
            <w:pPr>
              <w:widowControl/>
              <w:jc w:val="left"/>
            </w:pPr>
          </w:p>
        </w:tc>
        <w:tc>
          <w:tcPr>
            <w:tcW w:w="1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1048" w:rsidRDefault="00EA1048">
            <w:pPr>
              <w:rPr>
                <w:rFonts w:hint="eastAsia"/>
              </w:rPr>
            </w:pPr>
            <w:r w:rsidRPr="005E1118">
              <w:rPr>
                <w:rFonts w:ascii="Calibri" w:hAnsi="Calibri" w:hint="eastAsia"/>
              </w:rPr>
              <w:t>恢复大额申购、大额转换转入的原因说明</w:t>
            </w:r>
            <w:r>
              <w:rPr>
                <w:rFonts w:hint="eastAsia"/>
              </w:rPr>
              <w:t xml:space="preserve"> </w:t>
            </w:r>
          </w:p>
        </w:tc>
        <w:tc>
          <w:tcPr>
            <w:tcW w:w="46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1048" w:rsidRDefault="00EA1048">
            <w:pPr>
              <w:rPr>
                <w:rFonts w:hint="eastAsia"/>
              </w:rPr>
            </w:pPr>
            <w:r w:rsidRPr="005E1118">
              <w:rPr>
                <w:rFonts w:hint="eastAsia"/>
              </w:rPr>
              <w:t>为了满足投资者需求，根据本基金基金合同的有关规定。</w:t>
            </w:r>
          </w:p>
        </w:tc>
      </w:tr>
      <w:tr w:rsidR="00EA1048" w:rsidTr="005E1118">
        <w:tc>
          <w:tcPr>
            <w:tcW w:w="37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1048" w:rsidRDefault="00EA1048">
            <w:pPr>
              <w:rPr>
                <w:rFonts w:hint="eastAsia"/>
              </w:rPr>
            </w:pPr>
            <w:r w:rsidRPr="005E1118">
              <w:rPr>
                <w:rFonts w:ascii="Calibri" w:hAnsi="Calibri" w:hint="eastAsia"/>
              </w:rPr>
              <w:t>下属分级基金的基金简称</w:t>
            </w:r>
          </w:p>
        </w:tc>
        <w:tc>
          <w:tcPr>
            <w:tcW w:w="4680" w:type="dxa"/>
            <w:tcBorders>
              <w:top w:val="outset" w:sz="4" w:space="0" w:color="000000"/>
              <w:left w:val="single" w:sz="4" w:space="0" w:color="000000"/>
              <w:bottom w:val="outset" w:sz="4" w:space="0" w:color="000000"/>
              <w:right w:val="single" w:sz="4" w:space="0" w:color="auto"/>
            </w:tcBorders>
            <w:vAlign w:val="center"/>
            <w:hideMark/>
          </w:tcPr>
          <w:p w:rsidR="00EA1048" w:rsidRDefault="00EA1048">
            <w:pPr>
              <w:rPr>
                <w:rFonts w:hint="eastAsia"/>
              </w:rPr>
            </w:pPr>
            <w:r w:rsidRPr="005E1118">
              <w:rPr>
                <w:rFonts w:hint="eastAsia"/>
              </w:rPr>
              <w:t>宏利恒利债券A</w:t>
            </w:r>
          </w:p>
        </w:tc>
        <w:tc>
          <w:tcPr>
            <w:tcW w:w="4680" w:type="dxa"/>
            <w:tcBorders>
              <w:top w:val="outset" w:sz="4" w:space="0" w:color="000000"/>
              <w:left w:val="single" w:sz="4" w:space="0" w:color="000000"/>
              <w:bottom w:val="outset" w:sz="4" w:space="0" w:color="000000"/>
              <w:right w:val="single" w:sz="4" w:space="0" w:color="auto"/>
            </w:tcBorders>
            <w:vAlign w:val="center"/>
            <w:hideMark/>
          </w:tcPr>
          <w:p w:rsidR="00EA1048" w:rsidRDefault="00EA1048">
            <w:pPr>
              <w:rPr>
                <w:rFonts w:hint="eastAsia"/>
              </w:rPr>
            </w:pPr>
            <w:r w:rsidRPr="005E1118">
              <w:rPr>
                <w:rFonts w:hint="eastAsia"/>
              </w:rPr>
              <w:t>宏利恒利债券C</w:t>
            </w:r>
          </w:p>
        </w:tc>
      </w:tr>
      <w:tr w:rsidR="00EA1048" w:rsidTr="005E1118">
        <w:tc>
          <w:tcPr>
            <w:tcW w:w="37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1048" w:rsidRDefault="00EA1048">
            <w:pPr>
              <w:rPr>
                <w:rFonts w:hint="eastAsia"/>
              </w:rPr>
            </w:pPr>
            <w:r w:rsidRPr="005E1118">
              <w:rPr>
                <w:rFonts w:ascii="Calibri" w:hAnsi="Calibri" w:hint="eastAsia"/>
              </w:rPr>
              <w:t>下属分级基金的交易代码</w:t>
            </w:r>
          </w:p>
        </w:tc>
        <w:tc>
          <w:tcPr>
            <w:tcW w:w="4680" w:type="dxa"/>
            <w:tcBorders>
              <w:top w:val="outset" w:sz="4" w:space="0" w:color="000000"/>
              <w:left w:val="single" w:sz="4" w:space="0" w:color="000000"/>
              <w:bottom w:val="outset" w:sz="4" w:space="0" w:color="000000"/>
              <w:right w:val="single" w:sz="4" w:space="0" w:color="auto"/>
            </w:tcBorders>
            <w:vAlign w:val="center"/>
            <w:hideMark/>
          </w:tcPr>
          <w:p w:rsidR="00EA1048" w:rsidRDefault="00EA1048">
            <w:pPr>
              <w:rPr>
                <w:rFonts w:hint="eastAsia"/>
              </w:rPr>
            </w:pPr>
            <w:r w:rsidRPr="005E1118">
              <w:rPr>
                <w:rFonts w:hint="eastAsia"/>
              </w:rPr>
              <w:t>004001</w:t>
            </w:r>
          </w:p>
        </w:tc>
        <w:tc>
          <w:tcPr>
            <w:tcW w:w="4680" w:type="dxa"/>
            <w:tcBorders>
              <w:top w:val="outset" w:sz="4" w:space="0" w:color="000000"/>
              <w:left w:val="single" w:sz="4" w:space="0" w:color="000000"/>
              <w:bottom w:val="outset" w:sz="4" w:space="0" w:color="000000"/>
              <w:right w:val="single" w:sz="4" w:space="0" w:color="auto"/>
            </w:tcBorders>
            <w:vAlign w:val="center"/>
            <w:hideMark/>
          </w:tcPr>
          <w:p w:rsidR="00EA1048" w:rsidRDefault="00EA1048">
            <w:pPr>
              <w:rPr>
                <w:rFonts w:hint="eastAsia"/>
              </w:rPr>
            </w:pPr>
            <w:r w:rsidRPr="005E1118">
              <w:rPr>
                <w:rFonts w:hint="eastAsia"/>
              </w:rPr>
              <w:t>004002</w:t>
            </w:r>
          </w:p>
        </w:tc>
      </w:tr>
    </w:tbl>
    <w:p w:rsidR="00EA1048" w:rsidRDefault="00EA1048">
      <w:pPr>
        <w:adjustRightInd w:val="0"/>
        <w:snapToGrid w:val="0"/>
        <w:spacing w:line="360" w:lineRule="auto"/>
        <w:jc w:val="left"/>
        <w:rPr>
          <w:rFonts w:hint="eastAsia"/>
        </w:rPr>
      </w:pPr>
      <w:r>
        <w:rPr>
          <w:rFonts w:hint="eastAsia"/>
        </w:rPr>
        <w:t>注:</w:t>
      </w:r>
      <w:r>
        <w:rPr>
          <w:rFonts w:hint="eastAsia"/>
          <w:szCs w:val="24"/>
          <w:lang/>
        </w:rPr>
        <w:t>上述恢复大额申购（含定期定额投资、转换转入）业务具体指取消对本基金单日单个基金账户单笔或累计超过</w:t>
      </w:r>
      <w:r w:rsidR="001E17AB">
        <w:rPr>
          <w:szCs w:val="24"/>
          <w:lang/>
        </w:rPr>
        <w:t>50</w:t>
      </w:r>
      <w:r>
        <w:rPr>
          <w:rFonts w:hint="eastAsia"/>
          <w:szCs w:val="24"/>
          <w:lang/>
        </w:rPr>
        <w:t>万元（不含</w:t>
      </w:r>
      <w:r w:rsidR="001E17AB">
        <w:rPr>
          <w:szCs w:val="24"/>
          <w:lang/>
        </w:rPr>
        <w:t>50</w:t>
      </w:r>
      <w:r>
        <w:rPr>
          <w:rFonts w:hint="eastAsia"/>
          <w:szCs w:val="24"/>
          <w:lang/>
        </w:rPr>
        <w:t>万元）的申购、定期定额投资及转换转入业务限制。</w:t>
      </w:r>
      <w:r>
        <w:rPr>
          <w:rFonts w:hint="eastAsia"/>
          <w:szCs w:val="24"/>
        </w:rPr>
        <w:t xml:space="preserve"> </w:t>
      </w:r>
    </w:p>
    <w:p w:rsidR="00EA1048" w:rsidRDefault="00EA1048">
      <w:pPr>
        <w:pStyle w:val="XBRLTitle1"/>
        <w:spacing w:before="156" w:line="360" w:lineRule="auto"/>
        <w:ind w:left="425"/>
        <w:jc w:val="left"/>
        <w:rPr>
          <w:rFonts w:hint="eastAsia"/>
        </w:rPr>
      </w:pPr>
      <w:bookmarkStart w:id="13" w:name="_Toc17898228"/>
      <w:bookmarkStart w:id="14" w:name="_Toc17897969"/>
      <w:bookmarkStart w:id="15" w:name="_Toc512519529"/>
      <w:bookmarkStart w:id="16" w:name="_Toc490050049"/>
      <w:bookmarkStart w:id="17" w:name="_Toc481075097"/>
      <w:bookmarkStart w:id="18" w:name="_Toc438646481"/>
      <w:bookmarkStart w:id="19" w:name="_Toc513295878"/>
      <w:bookmarkStart w:id="20" w:name="_Toc513295941"/>
      <w:bookmarkStart w:id="21" w:name="_Toc34322063"/>
      <w:bookmarkStart w:id="22" w:name="m201_01"/>
      <w:r>
        <w:rPr>
          <w:rFonts w:hAnsi="宋体" w:hint="eastAsia"/>
          <w:szCs w:val="24"/>
        </w:rPr>
        <w:t>其他需要提示的事项</w:t>
      </w:r>
      <w:bookmarkEnd w:id="13"/>
      <w:bookmarkEnd w:id="14"/>
      <w:bookmarkEnd w:id="15"/>
      <w:bookmarkEnd w:id="16"/>
      <w:bookmarkEnd w:id="17"/>
      <w:bookmarkEnd w:id="18"/>
      <w:bookmarkEnd w:id="19"/>
      <w:bookmarkEnd w:id="20"/>
      <w:bookmarkEnd w:id="21"/>
      <w:r>
        <w:rPr>
          <w:rFonts w:hAnsi="宋体" w:hint="eastAsia"/>
          <w:szCs w:val="24"/>
        </w:rPr>
        <w:t xml:space="preserve"> </w:t>
      </w:r>
    </w:p>
    <w:p w:rsidR="00EA1048" w:rsidRDefault="00EA1048">
      <w:pPr>
        <w:spacing w:line="360" w:lineRule="auto"/>
        <w:ind w:firstLineChars="200" w:firstLine="420"/>
        <w:jc w:val="left"/>
        <w:rPr>
          <w:rFonts w:hint="eastAsia"/>
        </w:rPr>
      </w:pPr>
      <w:r>
        <w:rPr>
          <w:rFonts w:hint="eastAsia"/>
          <w:szCs w:val="21"/>
        </w:rPr>
        <w:t>1、自</w:t>
      </w:r>
      <w:r w:rsidR="001E17AB">
        <w:rPr>
          <w:rFonts w:hint="eastAsia"/>
          <w:szCs w:val="21"/>
        </w:rPr>
        <w:t>202</w:t>
      </w:r>
      <w:r w:rsidR="001E17AB">
        <w:rPr>
          <w:szCs w:val="21"/>
        </w:rPr>
        <w:t>4</w:t>
      </w:r>
      <w:r>
        <w:rPr>
          <w:rFonts w:hint="eastAsia"/>
          <w:szCs w:val="21"/>
        </w:rPr>
        <w:t>年</w:t>
      </w:r>
      <w:r w:rsidR="001E17AB">
        <w:rPr>
          <w:szCs w:val="21"/>
        </w:rPr>
        <w:t>2</w:t>
      </w:r>
      <w:r>
        <w:rPr>
          <w:rFonts w:hint="eastAsia"/>
          <w:szCs w:val="21"/>
        </w:rPr>
        <w:t>月</w:t>
      </w:r>
      <w:r w:rsidR="001E17AB">
        <w:rPr>
          <w:szCs w:val="21"/>
        </w:rPr>
        <w:t>19</w:t>
      </w:r>
      <w:r>
        <w:rPr>
          <w:rFonts w:hint="eastAsia"/>
          <w:szCs w:val="21"/>
        </w:rPr>
        <w:t>日起，本基金恢复正常申购、定期定额投资和转换转入投资业务。</w:t>
      </w:r>
      <w:r>
        <w:rPr>
          <w:rFonts w:hint="eastAsia"/>
          <w:szCs w:val="21"/>
        </w:rPr>
        <w:br/>
        <w:t xml:space="preserve">　　2、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r>
        <w:rPr>
          <w:rFonts w:hint="eastAsia"/>
          <w:szCs w:val="21"/>
        </w:rPr>
        <w:br/>
        <w:t xml:space="preserve">　　3、投资者欲了解本基金的详细情况，请仔细阅读本基金的基金合同、招募说明书、基金产品资料概要，如有疑问，请致电本公司客户服务热线：400-698-8888，010-66555662；或登录本公司网站：www.manulifefund.com.cn。</w:t>
      </w:r>
      <w:r>
        <w:rPr>
          <w:rFonts w:hint="eastAsia"/>
          <w:szCs w:val="21"/>
        </w:rPr>
        <w:br/>
        <w:t xml:space="preserve">　　4、本基金管理人承诺以诚实信用、勤勉尽责的原则管理和运用基金资产，但不保证基金一定盈利，也不保证最低收益。敬请投资者于投资前认真阅读本基金的基金合同、招募说明书和基金产品资料概要。</w:t>
      </w:r>
    </w:p>
    <w:p w:rsidR="00EA1048" w:rsidRDefault="00EA1048">
      <w:pPr>
        <w:spacing w:line="360" w:lineRule="auto"/>
        <w:ind w:firstLineChars="600" w:firstLine="1446"/>
        <w:jc w:val="right"/>
        <w:rPr>
          <w:rFonts w:hint="eastAsia"/>
        </w:rPr>
      </w:pPr>
      <w:r>
        <w:rPr>
          <w:rFonts w:hint="eastAsia"/>
          <w:b/>
          <w:bCs/>
          <w:sz w:val="24"/>
          <w:szCs w:val="30"/>
        </w:rPr>
        <w:t xml:space="preserve">　 　 </w:t>
      </w:r>
      <w:r>
        <w:rPr>
          <w:rFonts w:hint="eastAsia"/>
          <w:b/>
          <w:bCs/>
          <w:sz w:val="24"/>
          <w:szCs w:val="24"/>
        </w:rPr>
        <w:t>宏利基金管理有限公司</w:t>
      </w:r>
    </w:p>
    <w:p w:rsidR="00EA1048" w:rsidRDefault="00EA1048">
      <w:pPr>
        <w:spacing w:line="360" w:lineRule="auto"/>
        <w:ind w:firstLineChars="600" w:firstLine="1446"/>
        <w:jc w:val="right"/>
        <w:rPr>
          <w:rFonts w:hint="eastAsia"/>
        </w:rPr>
      </w:pPr>
      <w:r>
        <w:rPr>
          <w:rFonts w:hint="eastAsia"/>
          <w:b/>
          <w:bCs/>
          <w:sz w:val="24"/>
          <w:szCs w:val="24"/>
        </w:rPr>
        <w:t>202</w:t>
      </w:r>
      <w:r w:rsidR="001E17AB">
        <w:rPr>
          <w:b/>
          <w:bCs/>
          <w:sz w:val="24"/>
          <w:szCs w:val="24"/>
        </w:rPr>
        <w:t>4</w:t>
      </w:r>
      <w:r>
        <w:rPr>
          <w:rFonts w:hint="eastAsia"/>
          <w:b/>
          <w:bCs/>
          <w:sz w:val="24"/>
          <w:szCs w:val="24"/>
        </w:rPr>
        <w:t>年</w:t>
      </w:r>
      <w:r w:rsidR="001E17AB">
        <w:rPr>
          <w:b/>
          <w:bCs/>
          <w:sz w:val="24"/>
          <w:szCs w:val="24"/>
        </w:rPr>
        <w:t>2</w:t>
      </w:r>
      <w:r>
        <w:rPr>
          <w:rFonts w:hint="eastAsia"/>
          <w:b/>
          <w:bCs/>
          <w:sz w:val="24"/>
          <w:szCs w:val="24"/>
        </w:rPr>
        <w:t>月</w:t>
      </w:r>
      <w:r w:rsidR="00C77364">
        <w:rPr>
          <w:b/>
          <w:bCs/>
          <w:sz w:val="24"/>
          <w:szCs w:val="24"/>
        </w:rPr>
        <w:t>8</w:t>
      </w:r>
      <w:r>
        <w:rPr>
          <w:rFonts w:hint="eastAsia"/>
          <w:b/>
          <w:bCs/>
          <w:sz w:val="24"/>
          <w:szCs w:val="24"/>
        </w:rPr>
        <w:t>日</w:t>
      </w:r>
      <w:bookmarkEnd w:id="22"/>
    </w:p>
    <w:sectPr w:rsidR="00EA1048">
      <w:headerReference w:type="default" r:id="rId8"/>
      <w:footerReference w:type="default" r:id="rId9"/>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06B" w:rsidRDefault="00C1006B">
      <w:pPr>
        <w:rPr>
          <w:rFonts w:hint="eastAsia"/>
          <w:szCs w:val="21"/>
        </w:rPr>
      </w:pPr>
      <w:r>
        <w:rPr>
          <w:rFonts w:ascii="Times New Roman" w:hAnsi="Times New Roman" w:cs="Times New Roman"/>
          <w:szCs w:val="21"/>
        </w:rPr>
        <w:separator/>
      </w:r>
      <w:r>
        <w:rPr>
          <w:rFonts w:ascii="Times New Roman" w:hAnsi="Times New Roman" w:cs="Times New Roman" w:hint="eastAsia"/>
          <w:szCs w:val="21"/>
        </w:rPr>
        <w:t xml:space="preserve"> </w:t>
      </w:r>
    </w:p>
  </w:endnote>
  <w:endnote w:type="continuationSeparator" w:id="0">
    <w:p w:rsidR="00C1006B" w:rsidRDefault="00C1006B">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048" w:rsidRDefault="00EA1048">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764CB2">
      <w:rPr>
        <w:noProof/>
        <w:sz w:val="18"/>
        <w:szCs w:val="18"/>
      </w:rPr>
      <w:t>2</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764CB2">
      <w:rPr>
        <w:noProof/>
        <w:sz w:val="18"/>
        <w:szCs w:val="18"/>
      </w:rPr>
      <w:t>2</w:t>
    </w:r>
    <w:r>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06B" w:rsidRDefault="00C1006B">
      <w:pPr>
        <w:rPr>
          <w:szCs w:val="21"/>
        </w:rPr>
      </w:pPr>
      <w:r>
        <w:rPr>
          <w:rFonts w:ascii="Times New Roman" w:hAnsi="Times New Roman" w:cs="Times New Roman"/>
          <w:szCs w:val="21"/>
        </w:rPr>
        <w:separator/>
      </w:r>
      <w:r>
        <w:rPr>
          <w:rFonts w:ascii="Times New Roman" w:hAnsi="Times New Roman" w:cs="Times New Roman" w:hint="eastAsia"/>
          <w:szCs w:val="21"/>
        </w:rPr>
        <w:t xml:space="preserve"> </w:t>
      </w:r>
    </w:p>
  </w:footnote>
  <w:footnote w:type="continuationSeparator" w:id="0">
    <w:p w:rsidR="00C1006B" w:rsidRDefault="00C1006B">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048" w:rsidRDefault="00EA1048">
    <w:pPr>
      <w:pStyle w:val="a8"/>
      <w:jc w:val="right"/>
      <w:rPr>
        <w:rFonts w:hint="eastAsia"/>
      </w:rPr>
    </w:pPr>
    <w:r>
      <w:rPr>
        <w:rFonts w:hint="eastAsia"/>
      </w:rPr>
      <w:t>宏利恒利债券型证券投资基金恢复大额申购、大额转换转入</w:t>
    </w:r>
    <w:r w:rsidR="00BC568A">
      <w:rPr>
        <w:rFonts w:hint="eastAsia"/>
      </w:rPr>
      <w:t>及大额定期定额投资业务的</w:t>
    </w:r>
    <w:r>
      <w:rPr>
        <w:rFonts w:hint="eastAsia"/>
      </w:rPr>
      <w:t>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pStyle w:val="XBRLTitle4"/>
      <w:suff w:val="space"/>
      <w:lvlText w:val="%1.%2.%3.%4"/>
      <w:lvlJc w:val="left"/>
      <w:pPr>
        <w:ind w:left="794" w:hanging="794"/>
      </w:pPr>
    </w:lvl>
    <w:lvl w:ilvl="4">
      <w:start w:val="1"/>
      <w:numFmt w:val="decimal"/>
      <w:pStyle w:val="XBRLTitle5"/>
      <w:suff w:val="space"/>
      <w:lvlText w:val="%1.%2.%3.%4.%5"/>
      <w:lvlJc w:val="left"/>
      <w:pPr>
        <w:ind w:left="1021" w:hanging="1021"/>
      </w:pPr>
    </w:lvl>
    <w:lvl w:ilvl="5">
      <w:start w:val="1"/>
      <w:numFmt w:val="decimal"/>
      <w:pStyle w:val="XBRLTitle6"/>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attachedTemplate r:id="rId1"/>
  <w:trackRevisions/>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E1118"/>
    <w:rsid w:val="0017186C"/>
    <w:rsid w:val="00195121"/>
    <w:rsid w:val="001E163B"/>
    <w:rsid w:val="001E17AB"/>
    <w:rsid w:val="001F57D7"/>
    <w:rsid w:val="002A13C3"/>
    <w:rsid w:val="00375234"/>
    <w:rsid w:val="00467F07"/>
    <w:rsid w:val="0048272F"/>
    <w:rsid w:val="004E5585"/>
    <w:rsid w:val="00532EA1"/>
    <w:rsid w:val="0058126B"/>
    <w:rsid w:val="005E1118"/>
    <w:rsid w:val="00696D8F"/>
    <w:rsid w:val="007055E3"/>
    <w:rsid w:val="00764CB2"/>
    <w:rsid w:val="00840ACB"/>
    <w:rsid w:val="008B701C"/>
    <w:rsid w:val="00985A75"/>
    <w:rsid w:val="00A20757"/>
    <w:rsid w:val="00B275CC"/>
    <w:rsid w:val="00B51C47"/>
    <w:rsid w:val="00B731F1"/>
    <w:rsid w:val="00BC568A"/>
    <w:rsid w:val="00BD492A"/>
    <w:rsid w:val="00BF6548"/>
    <w:rsid w:val="00C1006B"/>
    <w:rsid w:val="00C73A69"/>
    <w:rsid w:val="00C77364"/>
    <w:rsid w:val="00D66A2E"/>
    <w:rsid w:val="00D73DCC"/>
    <w:rsid w:val="00DE385E"/>
    <w:rsid w:val="00E5318F"/>
    <w:rsid w:val="00EA1048"/>
    <w:rsid w:val="00EB599C"/>
    <w:rsid w:val="00EC227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uiPriority="59"/>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0">
    <w:name w:val="标题 1 字符"/>
    <w:link w:val="1"/>
    <w:uiPriority w:val="9"/>
    <w:locked/>
    <w:rPr>
      <w:b/>
      <w:bCs/>
      <w:kern w:val="44"/>
      <w:sz w:val="44"/>
      <w:szCs w:val="44"/>
    </w:rPr>
  </w:style>
  <w:style w:type="character" w:customStyle="1" w:styleId="20">
    <w:name w:val="标题 2 字符"/>
    <w:link w:val="2"/>
    <w:uiPriority w:val="9"/>
    <w:locked/>
    <w:rPr>
      <w:rFonts w:ascii="Cambria" w:eastAsia="宋体" w:hAnsi="Cambria" w:cs="Times New Roman" w:hint="default"/>
      <w:b/>
      <w:bCs/>
      <w:kern w:val="2"/>
      <w:sz w:val="32"/>
      <w:szCs w:val="32"/>
    </w:rPr>
  </w:style>
  <w:style w:type="character" w:customStyle="1" w:styleId="30">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50">
    <w:name w:val="标题 5 字符"/>
    <w:link w:val="5"/>
    <w:uiPriority w:val="9"/>
    <w:semiHidden/>
    <w:rPr>
      <w:rFonts w:cs="宋体"/>
      <w:b/>
      <w:bCs/>
      <w:kern w:val="2"/>
      <w:sz w:val="28"/>
      <w:szCs w:val="28"/>
    </w:rPr>
  </w:style>
  <w:style w:type="character" w:customStyle="1" w:styleId="60">
    <w:name w:val="标题 6 字符"/>
    <w:link w:val="6"/>
    <w:uiPriority w:val="9"/>
    <w:semiHidden/>
    <w:rPr>
      <w:rFonts w:ascii="Cambria" w:eastAsia="宋体" w:hAnsi="Cambria" w:cs="Times New Roman"/>
      <w:b/>
      <w:bCs/>
      <w:kern w:val="2"/>
      <w:sz w:val="24"/>
      <w:szCs w:val="24"/>
    </w:rPr>
  </w:style>
  <w:style w:type="paragraph" w:customStyle="1" w:styleId="msonormal0">
    <w:name w:val="msonormal"/>
    <w:basedOn w:val="a"/>
    <w:pPr>
      <w:widowControl/>
      <w:spacing w:before="100" w:beforeAutospacing="1" w:after="100" w:afterAutospacing="1"/>
      <w:jc w:val="left"/>
    </w:pPr>
    <w:rPr>
      <w:kern w:val="0"/>
      <w:sz w:val="24"/>
    </w:rPr>
  </w:style>
  <w:style w:type="paragraph" w:styleId="a5">
    <w:name w:val="Normal (Web)"/>
    <w:basedOn w:val="a"/>
    <w:pPr>
      <w:widowControl/>
      <w:spacing w:before="100" w:beforeAutospacing="1" w:after="100" w:afterAutospacing="1"/>
      <w:jc w:val="left"/>
    </w:pPr>
    <w:rPr>
      <w:kern w:val="0"/>
      <w:sz w:val="24"/>
    </w:rPr>
  </w:style>
  <w:style w:type="paragraph" w:styleId="TOC1">
    <w:name w:val="TOC 1"/>
    <w:basedOn w:val="a"/>
    <w:next w:val="a"/>
    <w:autoRedefine/>
    <w:uiPriority w:val="39"/>
    <w:semiHidden/>
    <w:unhideWhenUsed/>
    <w:pPr>
      <w:tabs>
        <w:tab w:val="right" w:leader="dot" w:pos="8835"/>
      </w:tabs>
    </w:pPr>
    <w:rPr>
      <w:noProof/>
    </w:rPr>
  </w:style>
  <w:style w:type="paragraph" w:styleId="TOC2">
    <w:name w:val="TOC 2"/>
    <w:basedOn w:val="a"/>
    <w:next w:val="a"/>
    <w:autoRedefine/>
    <w:uiPriority w:val="39"/>
    <w:semiHidden/>
    <w:unhideWhenUsed/>
    <w:pPr>
      <w:ind w:leftChars="200" w:left="420"/>
    </w:pPr>
  </w:style>
  <w:style w:type="paragraph" w:styleId="TOC3">
    <w:name w:val="TOC 3"/>
    <w:basedOn w:val="a"/>
    <w:next w:val="a"/>
    <w:autoRedefine/>
    <w:uiPriority w:val="39"/>
    <w:semiHidden/>
    <w:unhideWhenUsed/>
  </w:style>
  <w:style w:type="paragraph" w:styleId="a6">
    <w:name w:val="footnote text"/>
    <w:basedOn w:val="a"/>
    <w:link w:val="12"/>
    <w:pPr>
      <w:snapToGrid w:val="0"/>
      <w:jc w:val="left"/>
    </w:pPr>
    <w:rPr>
      <w:sz w:val="18"/>
      <w:szCs w:val="18"/>
    </w:rPr>
  </w:style>
  <w:style w:type="character" w:customStyle="1" w:styleId="a7">
    <w:name w:val="脚注文本 字符"/>
    <w:link w:val="a6"/>
    <w:locked/>
    <w:rPr>
      <w:kern w:val="2"/>
      <w:sz w:val="18"/>
      <w:szCs w:val="18"/>
    </w:rPr>
  </w:style>
  <w:style w:type="paragraph" w:styleId="a8">
    <w:name w:val="header"/>
    <w:basedOn w:val="a"/>
    <w:link w:val="22"/>
    <w:uiPriority w:val="9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locked/>
    <w:rPr>
      <w:kern w:val="2"/>
      <w:sz w:val="18"/>
      <w:szCs w:val="18"/>
    </w:rPr>
  </w:style>
  <w:style w:type="paragraph" w:styleId="aa">
    <w:name w:val="footer"/>
    <w:basedOn w:val="a"/>
    <w:link w:val="13"/>
    <w:uiPriority w:val="99"/>
    <w:pPr>
      <w:tabs>
        <w:tab w:val="center" w:pos="4153"/>
        <w:tab w:val="right" w:pos="8306"/>
      </w:tabs>
      <w:snapToGrid w:val="0"/>
      <w:jc w:val="left"/>
    </w:pPr>
    <w:rPr>
      <w:sz w:val="18"/>
      <w:szCs w:val="18"/>
    </w:rPr>
  </w:style>
  <w:style w:type="character" w:customStyle="1" w:styleId="ab">
    <w:name w:val="页脚 字符"/>
    <w:link w:val="aa"/>
    <w:uiPriority w:val="99"/>
    <w:locked/>
    <w:rPr>
      <w:kern w:val="2"/>
      <w:sz w:val="18"/>
      <w:szCs w:val="18"/>
    </w:rPr>
  </w:style>
  <w:style w:type="paragraph" w:styleId="ac">
    <w:name w:val="Title"/>
    <w:basedOn w:val="1"/>
    <w:next w:val="2"/>
    <w:link w:val="14"/>
    <w:uiPriority w:val="10"/>
    <w:qFormat/>
    <w:pPr>
      <w:keepNext w:val="0"/>
      <w:keepLines w:val="0"/>
      <w:spacing w:before="240" w:after="60" w:line="240" w:lineRule="auto"/>
      <w:jc w:val="center"/>
    </w:pPr>
    <w:rPr>
      <w:rFonts w:ascii="Cambria" w:hAnsi="Cambria"/>
      <w:kern w:val="0"/>
      <w:sz w:val="32"/>
      <w:szCs w:val="32"/>
    </w:rPr>
  </w:style>
  <w:style w:type="character" w:customStyle="1" w:styleId="ad">
    <w:name w:val="标题 字符"/>
    <w:link w:val="ac"/>
    <w:uiPriority w:val="10"/>
    <w:locked/>
    <w:rPr>
      <w:rFonts w:ascii="Cambria" w:eastAsia="宋体" w:hAnsi="Cambria" w:cs="Times New Roman" w:hint="default"/>
      <w:b/>
      <w:bCs/>
      <w:kern w:val="2"/>
      <w:sz w:val="32"/>
      <w:szCs w:val="32"/>
    </w:rPr>
  </w:style>
  <w:style w:type="paragraph" w:styleId="ae">
    <w:name w:val="Subtitle"/>
    <w:basedOn w:val="2"/>
    <w:next w:val="3"/>
    <w:link w:val="15"/>
    <w:qFormat/>
    <w:pPr>
      <w:spacing w:before="240" w:after="60" w:line="312" w:lineRule="auto"/>
      <w:jc w:val="left"/>
    </w:pPr>
    <w:rPr>
      <w:bCs w:val="0"/>
      <w:kern w:val="24"/>
      <w:sz w:val="24"/>
    </w:rPr>
  </w:style>
  <w:style w:type="character" w:customStyle="1" w:styleId="af">
    <w:name w:val="副标题 字符"/>
    <w:link w:val="ae"/>
    <w:locked/>
    <w:rPr>
      <w:rFonts w:ascii="Calibri" w:eastAsia="宋体" w:hAnsi="Calibri" w:cs="Times New Roman" w:hint="default"/>
      <w:b/>
      <w:bCs/>
      <w:kern w:val="24"/>
      <w:sz w:val="32"/>
      <w:szCs w:val="32"/>
    </w:rPr>
  </w:style>
  <w:style w:type="paragraph" w:styleId="af0">
    <w:name w:val="Date"/>
    <w:basedOn w:val="a"/>
    <w:next w:val="a"/>
    <w:link w:val="16"/>
    <w:rPr>
      <w:sz w:val="32"/>
      <w:lang/>
    </w:rPr>
  </w:style>
  <w:style w:type="character" w:customStyle="1" w:styleId="af1">
    <w:name w:val="日期 字符"/>
    <w:link w:val="af0"/>
    <w:locked/>
    <w:rPr>
      <w:kern w:val="2"/>
      <w:sz w:val="21"/>
    </w:rPr>
  </w:style>
  <w:style w:type="paragraph" w:styleId="af2">
    <w:name w:val="Document Map"/>
    <w:basedOn w:val="a"/>
    <w:link w:val="17"/>
    <w:pPr>
      <w:shd w:val="clear" w:color="auto" w:fill="000080"/>
    </w:pPr>
  </w:style>
  <w:style w:type="character" w:customStyle="1" w:styleId="af3">
    <w:name w:val="文档结构图 字符"/>
    <w:link w:val="af2"/>
    <w:locked/>
    <w:rPr>
      <w:rFonts w:ascii="Microsoft YaHei UI" w:eastAsia="Microsoft YaHei UI" w:hAnsi="Microsoft YaHei UI" w:hint="eastAsia"/>
      <w:kern w:val="2"/>
      <w:sz w:val="18"/>
      <w:szCs w:val="18"/>
    </w:rPr>
  </w:style>
  <w:style w:type="paragraph" w:styleId="af4">
    <w:name w:val="Balloon Text"/>
    <w:basedOn w:val="a"/>
    <w:link w:val="18"/>
    <w:uiPriority w:val="99"/>
    <w:semiHidden/>
    <w:unhideWhenUsed/>
    <w:rPr>
      <w:sz w:val="18"/>
      <w:szCs w:val="18"/>
    </w:rPr>
  </w:style>
  <w:style w:type="character" w:customStyle="1" w:styleId="af5">
    <w:name w:val="批注框文本 字符"/>
    <w:link w:val="af4"/>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XBRLTitle6">
    <w:name w:val="XBRLTitle6"/>
    <w:basedOn w:val="ae"/>
    <w:next w:val="4"/>
    <w:qFormat/>
    <w:pPr>
      <w:numPr>
        <w:ilvl w:val="5"/>
        <w:numId w:val="2"/>
      </w:numPr>
      <w:spacing w:beforeLines="50" w:after="0" w:line="240" w:lineRule="auto"/>
      <w:ind w:left="2042"/>
      <w:outlineLvl w:val="9"/>
    </w:pPr>
    <w:rPr>
      <w:bCs/>
    </w:rPr>
  </w:style>
  <w:style w:type="paragraph" w:customStyle="1" w:styleId="af6">
    <w:name w:val="次标题"/>
    <w:basedOn w:val="3"/>
    <w:next w:val="a"/>
    <w:pPr>
      <w:spacing w:before="120" w:after="120"/>
      <w:jc w:val="left"/>
    </w:pPr>
    <w:rPr>
      <w:sz w:val="21"/>
    </w:rPr>
  </w:style>
  <w:style w:type="paragraph" w:customStyle="1" w:styleId="XBRL6">
    <w:name w:val="XBRL标题6"/>
    <w:basedOn w:val="ae"/>
    <w:next w:val="4"/>
    <w:qFormat/>
    <w:pPr>
      <w:spacing w:beforeLines="50" w:after="0" w:line="240" w:lineRule="auto"/>
      <w:outlineLvl w:val="9"/>
    </w:pPr>
    <w:rPr>
      <w:bCs/>
    </w:rPr>
  </w:style>
  <w:style w:type="paragraph" w:customStyle="1" w:styleId="XBRL2">
    <w:name w:val="XBRL标题2"/>
    <w:basedOn w:val="ae"/>
    <w:next w:val="4"/>
    <w:qFormat/>
    <w:pPr>
      <w:spacing w:beforeLines="50" w:after="0" w:line="240" w:lineRule="auto"/>
    </w:pPr>
    <w:rPr>
      <w:bCs/>
    </w:rPr>
  </w:style>
  <w:style w:type="paragraph" w:customStyle="1" w:styleId="XBRL3">
    <w:name w:val="XBRL标题3"/>
    <w:basedOn w:val="ae"/>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ind w:left="850"/>
      <w:jc w:val="center"/>
    </w:pPr>
    <w:rPr>
      <w:rFonts w:hAnsi="Cambria"/>
      <w:sz w:val="24"/>
    </w:rPr>
  </w:style>
  <w:style w:type="paragraph" w:customStyle="1" w:styleId="XBRLTitle2">
    <w:name w:val="XBRLTitle2"/>
    <w:basedOn w:val="ae"/>
    <w:next w:val="4"/>
    <w:qFormat/>
    <w:pPr>
      <w:keepNext w:val="0"/>
      <w:keepLines w:val="0"/>
      <w:numPr>
        <w:ilvl w:val="1"/>
        <w:numId w:val="2"/>
      </w:numPr>
      <w:spacing w:beforeLines="50" w:after="0" w:line="240" w:lineRule="auto"/>
      <w:ind w:left="3602"/>
    </w:pPr>
    <w:rPr>
      <w:rFonts w:ascii="宋体"/>
      <w:bCs/>
    </w:rPr>
  </w:style>
  <w:style w:type="paragraph" w:customStyle="1" w:styleId="XBRLTitle5">
    <w:name w:val="XBRLTitle5"/>
    <w:basedOn w:val="ae"/>
    <w:next w:val="4"/>
    <w:qFormat/>
    <w:pPr>
      <w:numPr>
        <w:ilvl w:val="4"/>
        <w:numId w:val="2"/>
      </w:numPr>
      <w:spacing w:beforeLines="50" w:after="0" w:line="240" w:lineRule="auto"/>
      <w:ind w:left="2042"/>
      <w:outlineLvl w:val="9"/>
    </w:pPr>
    <w:rPr>
      <w:bCs/>
    </w:rPr>
  </w:style>
  <w:style w:type="paragraph" w:customStyle="1" w:styleId="Char">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e"/>
    <w:next w:val="4"/>
    <w:qFormat/>
    <w:pPr>
      <w:spacing w:beforeLines="50" w:after="0" w:line="240" w:lineRule="auto"/>
      <w:outlineLvl w:val="9"/>
    </w:pPr>
    <w:rPr>
      <w:bCs/>
    </w:rPr>
  </w:style>
  <w:style w:type="paragraph" w:customStyle="1" w:styleId="XBRL4">
    <w:name w:val="XBRL标题4"/>
    <w:basedOn w:val="ae"/>
    <w:next w:val="4"/>
    <w:qFormat/>
    <w:pPr>
      <w:spacing w:beforeLines="50" w:after="0" w:line="240" w:lineRule="auto"/>
      <w:outlineLvl w:val="9"/>
    </w:pPr>
    <w:rPr>
      <w:bCs/>
    </w:rPr>
  </w:style>
  <w:style w:type="paragraph" w:customStyle="1" w:styleId="XBRLTitle4">
    <w:name w:val="XBRLTitle4"/>
    <w:basedOn w:val="ae"/>
    <w:next w:val="4"/>
    <w:qFormat/>
    <w:pPr>
      <w:numPr>
        <w:ilvl w:val="3"/>
        <w:numId w:val="2"/>
      </w:numPr>
      <w:spacing w:beforeLines="50" w:after="0" w:line="240" w:lineRule="auto"/>
      <w:ind w:left="1588"/>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e"/>
    <w:next w:val="4"/>
    <w:autoRedefine/>
    <w:qFormat/>
    <w:pPr>
      <w:keepNext w:val="0"/>
      <w:keepLines w:val="0"/>
      <w:numPr>
        <w:ilvl w:val="2"/>
        <w:numId w:val="2"/>
      </w:numPr>
      <w:spacing w:beforeLines="50" w:after="0" w:line="360" w:lineRule="auto"/>
      <w:ind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7">
    <w:name w:val="footnote reference"/>
    <w:rPr>
      <w:vertAlign w:val="superscript"/>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character" w:customStyle="1" w:styleId="Char0">
    <w:name w:val="脚注文本 Char"/>
    <w:link w:val="a6"/>
    <w:locked/>
    <w:rPr>
      <w:kern w:val="2"/>
      <w:sz w:val="18"/>
      <w:szCs w:val="18"/>
    </w:rPr>
  </w:style>
  <w:style w:type="character" w:customStyle="1" w:styleId="Char1">
    <w:name w:val="页眉 Char"/>
    <w:link w:val="a8"/>
    <w:uiPriority w:val="99"/>
    <w:locked/>
    <w:rPr>
      <w:kern w:val="2"/>
      <w:sz w:val="18"/>
      <w:szCs w:val="18"/>
    </w:rPr>
  </w:style>
  <w:style w:type="character" w:customStyle="1" w:styleId="Char2">
    <w:name w:val="页脚 Char"/>
    <w:link w:val="aa"/>
    <w:uiPriority w:val="99"/>
    <w:locked/>
    <w:rPr>
      <w:kern w:val="2"/>
      <w:sz w:val="18"/>
      <w:szCs w:val="18"/>
    </w:rPr>
  </w:style>
  <w:style w:type="character" w:customStyle="1" w:styleId="Char3">
    <w:name w:val="标题 Char"/>
    <w:link w:val="ac"/>
    <w:uiPriority w:val="10"/>
    <w:locked/>
    <w:rPr>
      <w:rFonts w:ascii="Cambria" w:hAnsi="Cambria" w:cs="Times New Roman" w:hint="default"/>
      <w:b/>
      <w:bCs/>
      <w:kern w:val="2"/>
      <w:sz w:val="32"/>
      <w:szCs w:val="32"/>
    </w:rPr>
  </w:style>
  <w:style w:type="character" w:customStyle="1" w:styleId="Char4">
    <w:name w:val="副标题 Char"/>
    <w:link w:val="ae"/>
    <w:locked/>
    <w:rPr>
      <w:rFonts w:ascii="Cambria" w:hAnsi="Cambria" w:cs="Times New Roman" w:hint="default"/>
      <w:b/>
      <w:bCs/>
      <w:kern w:val="24"/>
      <w:sz w:val="32"/>
      <w:szCs w:val="32"/>
    </w:rPr>
  </w:style>
  <w:style w:type="character" w:customStyle="1" w:styleId="Char5">
    <w:name w:val="日期 Char"/>
    <w:link w:val="af0"/>
    <w:locked/>
    <w:rPr>
      <w:kern w:val="2"/>
      <w:sz w:val="21"/>
    </w:rPr>
  </w:style>
  <w:style w:type="character" w:customStyle="1" w:styleId="Char6">
    <w:name w:val="文档结构图 Char"/>
    <w:link w:val="af2"/>
    <w:locked/>
    <w:rPr>
      <w:rFonts w:ascii="宋体" w:eastAsia="宋体" w:hAnsi="宋体" w:hint="eastAsia"/>
      <w:kern w:val="2"/>
      <w:sz w:val="18"/>
      <w:szCs w:val="18"/>
    </w:rPr>
  </w:style>
  <w:style w:type="character" w:customStyle="1" w:styleId="Char7">
    <w:name w:val="批注框文本 Char"/>
    <w:link w:val="af4"/>
    <w:uiPriority w:val="99"/>
    <w:semiHidden/>
    <w:locked/>
    <w:rPr>
      <w:kern w:val="2"/>
      <w:sz w:val="18"/>
      <w:szCs w:val="18"/>
    </w:rPr>
  </w:style>
  <w:style w:type="character" w:customStyle="1" w:styleId="11">
    <w:name w:val="标题 1 字符1"/>
    <w:link w:val="1"/>
    <w:uiPriority w:val="9"/>
    <w:locked/>
    <w:rPr>
      <w:b/>
      <w:bCs/>
      <w:kern w:val="44"/>
      <w:sz w:val="44"/>
      <w:szCs w:val="44"/>
    </w:rPr>
  </w:style>
  <w:style w:type="character" w:customStyle="1" w:styleId="21">
    <w:name w:val="标题 2 字符1"/>
    <w:link w:val="2"/>
    <w:uiPriority w:val="9"/>
    <w:locked/>
    <w:rPr>
      <w:rFonts w:ascii="Cambria" w:eastAsia="宋体" w:hAnsi="Cambria" w:cs="宋体" w:hint="default"/>
      <w:b/>
      <w:bCs/>
      <w:sz w:val="32"/>
      <w:szCs w:val="32"/>
    </w:rPr>
  </w:style>
  <w:style w:type="character" w:customStyle="1" w:styleId="31">
    <w:name w:val="标题 3 字符1"/>
    <w:link w:val="3"/>
    <w:uiPriority w:val="9"/>
    <w:locked/>
    <w:rPr>
      <w:b/>
      <w:bCs/>
      <w:sz w:val="32"/>
      <w:szCs w:val="32"/>
    </w:rPr>
  </w:style>
  <w:style w:type="character" w:customStyle="1" w:styleId="41">
    <w:name w:val="标题 4 字符1"/>
    <w:link w:val="4"/>
    <w:semiHidden/>
    <w:locked/>
    <w:rPr>
      <w:rFonts w:ascii="Cambria" w:eastAsia="宋体" w:hAnsi="Cambria" w:cs="宋体" w:hint="default"/>
      <w:b/>
      <w:bCs/>
      <w:sz w:val="24"/>
      <w:szCs w:val="24"/>
    </w:rPr>
  </w:style>
  <w:style w:type="character" w:customStyle="1" w:styleId="12">
    <w:name w:val="脚注文本 字符1"/>
    <w:link w:val="a6"/>
    <w:locked/>
    <w:rPr>
      <w:kern w:val="2"/>
      <w:sz w:val="18"/>
      <w:szCs w:val="18"/>
    </w:rPr>
  </w:style>
  <w:style w:type="character" w:customStyle="1" w:styleId="22">
    <w:name w:val="页眉 字符2"/>
    <w:link w:val="a8"/>
    <w:locked/>
    <w:rPr>
      <w:kern w:val="2"/>
      <w:sz w:val="18"/>
      <w:szCs w:val="18"/>
    </w:rPr>
  </w:style>
  <w:style w:type="character" w:customStyle="1" w:styleId="13">
    <w:name w:val="页脚 字符1"/>
    <w:link w:val="aa"/>
    <w:uiPriority w:val="99"/>
    <w:locked/>
    <w:rPr>
      <w:kern w:val="2"/>
      <w:sz w:val="18"/>
      <w:szCs w:val="18"/>
    </w:rPr>
  </w:style>
  <w:style w:type="character" w:customStyle="1" w:styleId="14">
    <w:name w:val="标题 字符1"/>
    <w:link w:val="ac"/>
    <w:uiPriority w:val="10"/>
    <w:locked/>
    <w:rPr>
      <w:rFonts w:ascii="Cambria" w:hAnsi="Cambria" w:cs="宋体" w:hint="default"/>
      <w:b/>
      <w:bCs/>
      <w:sz w:val="32"/>
      <w:szCs w:val="32"/>
    </w:rPr>
  </w:style>
  <w:style w:type="character" w:customStyle="1" w:styleId="15">
    <w:name w:val="副标题 字符1"/>
    <w:link w:val="ae"/>
    <w:locked/>
    <w:rPr>
      <w:rFonts w:ascii="Cambria" w:eastAsia="宋体" w:hAnsi="Cambria" w:cs="宋体" w:hint="default"/>
      <w:b/>
      <w:bCs w:val="0"/>
      <w:kern w:val="24"/>
      <w:sz w:val="24"/>
      <w:szCs w:val="32"/>
    </w:rPr>
  </w:style>
  <w:style w:type="character" w:customStyle="1" w:styleId="16">
    <w:name w:val="日期 字符1"/>
    <w:link w:val="af0"/>
    <w:locked/>
    <w:rPr>
      <w:rFonts w:ascii="宋体" w:eastAsia="宋体" w:hAnsi="宋体" w:hint="eastAsia"/>
      <w:kern w:val="2"/>
      <w:sz w:val="32"/>
    </w:rPr>
  </w:style>
  <w:style w:type="character" w:customStyle="1" w:styleId="17">
    <w:name w:val="文档结构图 字符1"/>
    <w:link w:val="af2"/>
    <w:locked/>
    <w:rPr>
      <w:rFonts w:ascii="宋体" w:eastAsia="宋体" w:hAnsi="宋体" w:hint="eastAsia"/>
      <w:kern w:val="2"/>
      <w:sz w:val="18"/>
      <w:szCs w:val="18"/>
    </w:rPr>
  </w:style>
  <w:style w:type="character" w:customStyle="1" w:styleId="18">
    <w:name w:val="批注框文本 字符1"/>
    <w:link w:val="af4"/>
    <w:uiPriority w:val="99"/>
    <w:semiHidden/>
    <w:locked/>
    <w:rPr>
      <w:kern w:val="2"/>
      <w:sz w:val="18"/>
      <w:szCs w:val="18"/>
    </w:rPr>
  </w:style>
  <w:style w:type="character" w:customStyle="1" w:styleId="51">
    <w:name w:val="标题 5 字符1"/>
    <w:link w:val="5"/>
    <w:uiPriority w:val="9"/>
    <w:semiHidden/>
    <w:locked/>
    <w:rPr>
      <w:b/>
      <w:bCs/>
      <w:kern w:val="2"/>
      <w:sz w:val="24"/>
      <w:szCs w:val="24"/>
    </w:rPr>
  </w:style>
  <w:style w:type="character" w:customStyle="1" w:styleId="61">
    <w:name w:val="标题 6 字符1"/>
    <w:link w:val="6"/>
    <w:uiPriority w:val="9"/>
    <w:semiHidden/>
    <w:locked/>
    <w:rPr>
      <w:rFonts w:ascii="Cambria" w:eastAsia="宋体" w:hAnsi="Cambria" w:cs="Times New Roman" w:hint="default"/>
      <w:b/>
      <w:bCs/>
      <w:kern w:val="2"/>
      <w:sz w:val="24"/>
      <w:szCs w:val="24"/>
    </w:rPr>
  </w:style>
  <w:style w:type="character" w:customStyle="1" w:styleId="19">
    <w:name w:val="页眉 字符1"/>
    <w:locked/>
    <w:rPr>
      <w:kern w:val="2"/>
      <w:sz w:val="18"/>
      <w:szCs w:val="18"/>
    </w:rPr>
  </w:style>
  <w:style w:type="table" w:styleId="af8">
    <w:name w:val="Table Grid"/>
    <w:basedOn w:val="a1"/>
    <w:uiPriority w:val="59"/>
    <w:semiHidden/>
    <w:unhideWhenUs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0">
    <w:name w:val="页眉 Char1"/>
    <w:locked/>
    <w:rPr>
      <w:kern w:val="2"/>
      <w:sz w:val="18"/>
      <w:szCs w:val="18"/>
    </w:rPr>
  </w:style>
</w:styles>
</file>

<file path=word/webSettings.xml><?xml version="1.0" encoding="utf-8"?>
<w:webSettings xmlns:r="http://schemas.openxmlformats.org/officeDocument/2006/relationships" xmlns:w="http://schemas.openxmlformats.org/wordprocessingml/2006/main">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04CD5-EF6C-4901-9DBF-25E5EE52E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143</Words>
  <Characters>819</Characters>
  <Application>Microsoft Office Word</Application>
  <DocSecurity>4</DocSecurity>
  <Lines>6</Lines>
  <Paragraphs>1</Paragraphs>
  <ScaleCrop>false</ScaleCrop>
  <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cp:lastPrinted>2024-02-07T01:18:00Z</cp:lastPrinted>
  <dcterms:created xsi:type="dcterms:W3CDTF">2024-02-07T16:00:00Z</dcterms:created>
  <dcterms:modified xsi:type="dcterms:W3CDTF">2024-02-07T16:00:00Z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