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74" w:rsidRDefault="00D14374">
      <w:pPr>
        <w:autoSpaceDE w:val="0"/>
        <w:autoSpaceDN w:val="0"/>
        <w:adjustRightInd w:val="0"/>
        <w:jc w:val="center"/>
        <w:rPr>
          <w:rFonts w:ascii="方正仿宋简体" w:eastAsia="方正仿宋简体" w:hAnsiTheme="minorEastAsia" w:cs="仿宋_GB2312"/>
          <w:kern w:val="0"/>
          <w:sz w:val="36"/>
          <w:szCs w:val="36"/>
        </w:rPr>
      </w:pPr>
    </w:p>
    <w:p w:rsidR="00D14374" w:rsidRDefault="00295398">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华泰紫金中证医药</w:t>
      </w:r>
      <w:r>
        <w:rPr>
          <w:rFonts w:ascii="方正仿宋简体" w:eastAsia="方正仿宋简体" w:hAnsiTheme="minorEastAsia" w:cs="仿宋_GB2312" w:hint="eastAsia"/>
          <w:kern w:val="0"/>
          <w:sz w:val="36"/>
          <w:szCs w:val="36"/>
        </w:rPr>
        <w:t>50</w:t>
      </w:r>
      <w:r>
        <w:rPr>
          <w:rFonts w:ascii="方正仿宋简体" w:eastAsia="方正仿宋简体" w:hAnsiTheme="minorEastAsia" w:cs="仿宋_GB2312" w:hint="eastAsia"/>
          <w:kern w:val="0"/>
          <w:sz w:val="36"/>
          <w:szCs w:val="36"/>
        </w:rPr>
        <w:t>指数型发起式证券投资基金基金产品资料概要更新</w:t>
      </w:r>
      <w:bookmarkStart w:id="0" w:name="_GoBack"/>
      <w:bookmarkEnd w:id="0"/>
    </w:p>
    <w:p w:rsidR="00D14374" w:rsidRDefault="00295398">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2024</w:t>
      </w:r>
      <w:r>
        <w:rPr>
          <w:rFonts w:ascii="方正仿宋简体" w:eastAsia="方正仿宋简体" w:hAnsi="方正仿宋简体" w:cs="方正仿宋简体" w:hint="eastAsia"/>
          <w:iCs/>
          <w:sz w:val="24"/>
          <w:szCs w:val="24"/>
        </w:rPr>
        <w:t>年</w:t>
      </w:r>
      <w:r>
        <w:rPr>
          <w:rFonts w:ascii="方正仿宋简体" w:eastAsia="方正仿宋简体" w:hAnsi="方正仿宋简体" w:cs="方正仿宋简体" w:hint="eastAsia"/>
          <w:iCs/>
          <w:sz w:val="24"/>
          <w:szCs w:val="24"/>
        </w:rPr>
        <w:t>1</w:t>
      </w:r>
      <w:r>
        <w:rPr>
          <w:rFonts w:ascii="方正仿宋简体" w:eastAsia="方正仿宋简体" w:hAnsi="方正仿宋简体" w:cs="方正仿宋简体" w:hint="eastAsia"/>
          <w:iCs/>
          <w:sz w:val="24"/>
          <w:szCs w:val="24"/>
        </w:rPr>
        <w:t>月</w:t>
      </w:r>
      <w:r>
        <w:rPr>
          <w:rFonts w:ascii="方正仿宋简体" w:eastAsia="方正仿宋简体" w:hAnsi="方正仿宋简体" w:cs="方正仿宋简体" w:hint="eastAsia"/>
          <w:iCs/>
          <w:sz w:val="24"/>
          <w:szCs w:val="24"/>
        </w:rPr>
        <w:t>24</w:t>
      </w:r>
      <w:r>
        <w:rPr>
          <w:rFonts w:ascii="方正仿宋简体" w:eastAsia="方正仿宋简体" w:hAnsi="方正仿宋简体" w:cs="方正仿宋简体" w:hint="eastAsia"/>
          <w:iCs/>
          <w:sz w:val="24"/>
          <w:szCs w:val="24"/>
        </w:rPr>
        <w:t>日</w:t>
      </w:r>
    </w:p>
    <w:p w:rsidR="00D14374" w:rsidRDefault="00295398">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2024</w:t>
      </w:r>
      <w:r>
        <w:rPr>
          <w:rFonts w:ascii="方正仿宋简体" w:eastAsia="方正仿宋简体" w:hAnsi="方正仿宋简体" w:cs="方正仿宋简体" w:hint="eastAsia"/>
          <w:iCs/>
          <w:sz w:val="24"/>
          <w:szCs w:val="24"/>
        </w:rPr>
        <w:t>年</w:t>
      </w:r>
      <w:r>
        <w:rPr>
          <w:rFonts w:ascii="方正仿宋简体" w:eastAsia="方正仿宋简体" w:hAnsi="方正仿宋简体" w:cs="方正仿宋简体" w:hint="eastAsia"/>
          <w:iCs/>
          <w:sz w:val="24"/>
          <w:szCs w:val="24"/>
        </w:rPr>
        <w:t>2</w:t>
      </w:r>
      <w:r>
        <w:rPr>
          <w:rFonts w:ascii="方正仿宋简体" w:eastAsia="方正仿宋简体" w:hAnsi="方正仿宋简体" w:cs="方正仿宋简体" w:hint="eastAsia"/>
          <w:iCs/>
          <w:sz w:val="24"/>
          <w:szCs w:val="24"/>
        </w:rPr>
        <w:t>月</w:t>
      </w:r>
      <w:r>
        <w:rPr>
          <w:rFonts w:ascii="方正仿宋简体" w:eastAsia="方正仿宋简体" w:hAnsi="方正仿宋简体" w:cs="方正仿宋简体" w:hint="eastAsia"/>
          <w:iCs/>
          <w:sz w:val="24"/>
          <w:szCs w:val="24"/>
        </w:rPr>
        <w:t>8</w:t>
      </w:r>
      <w:r>
        <w:rPr>
          <w:rFonts w:ascii="方正仿宋简体" w:eastAsia="方正仿宋简体" w:hAnsi="方正仿宋简体" w:cs="方正仿宋简体" w:hint="eastAsia"/>
          <w:iCs/>
          <w:sz w:val="24"/>
          <w:szCs w:val="24"/>
        </w:rPr>
        <w:t>日</w:t>
      </w:r>
    </w:p>
    <w:p w:rsidR="00D14374" w:rsidRDefault="00295398">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本概要提供本基金的重要信息，是招募说明书的一部分。</w:t>
      </w:r>
    </w:p>
    <w:p w:rsidR="00D14374" w:rsidRDefault="00295398">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作出投资决定前，请阅读完整的招募说明书等销售文件。</w:t>
      </w:r>
    </w:p>
    <w:p w:rsidR="00D14374" w:rsidRDefault="00295398">
      <w:pPr>
        <w:numPr>
          <w:ilvl w:val="0"/>
          <w:numId w:val="2"/>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c"/>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tblPr>
      <w:tblGrid>
        <w:gridCol w:w="1952"/>
        <w:gridCol w:w="2408"/>
        <w:gridCol w:w="1703"/>
        <w:gridCol w:w="2459"/>
      </w:tblGrid>
      <w:tr w:rsidR="00D14374">
        <w:trPr>
          <w:trHeight w:val="454"/>
        </w:trPr>
        <w:tc>
          <w:tcPr>
            <w:tcW w:w="1145" w:type="pct"/>
            <w:vMerge w:val="restar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华泰紫金中证医药</w:t>
            </w:r>
            <w:r>
              <w:rPr>
                <w:rFonts w:ascii="方正仿宋简体" w:eastAsia="方正仿宋简体" w:hAnsiTheme="minorEastAsia" w:cs="方正仿宋简体" w:hint="eastAsia"/>
                <w:iCs/>
              </w:rPr>
              <w:t>50</w:t>
            </w:r>
            <w:r>
              <w:rPr>
                <w:rFonts w:ascii="方正仿宋简体" w:eastAsia="方正仿宋简体" w:hAnsiTheme="minorEastAsia" w:cs="方正仿宋简体" w:hint="eastAsia"/>
                <w:iCs/>
              </w:rPr>
              <w:t>指数发起</w:t>
            </w:r>
          </w:p>
        </w:tc>
        <w:tc>
          <w:tcPr>
            <w:tcW w:w="999" w:type="pct"/>
            <w:vMerge w:val="restar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015497</w:t>
            </w:r>
          </w:p>
        </w:tc>
      </w:tr>
      <w:tr w:rsidR="00D14374">
        <w:trPr>
          <w:trHeight w:val="150"/>
        </w:trPr>
        <w:tc>
          <w:tcPr>
            <w:tcW w:w="1145" w:type="pct"/>
            <w:vMerge w:val="restar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dashSmallGap" w:sz="4" w:space="0" w:color="A6A6A6" w:themeColor="background1" w:themeShade="A6"/>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华泰紫金中证医药</w:t>
            </w:r>
            <w:r>
              <w:rPr>
                <w:rFonts w:ascii="方正仿宋简体" w:eastAsia="方正仿宋简体" w:hAnsiTheme="minorEastAsia" w:cs="方正仿宋简体"/>
                <w:iCs/>
              </w:rPr>
              <w:t>50</w:t>
            </w:r>
            <w:r>
              <w:rPr>
                <w:rFonts w:ascii="方正仿宋简体" w:eastAsia="方正仿宋简体" w:hAnsiTheme="minorEastAsia" w:cs="方正仿宋简体"/>
                <w:iCs/>
              </w:rPr>
              <w:t>指数发起</w:t>
            </w:r>
            <w:r>
              <w:rPr>
                <w:rFonts w:ascii="方正仿宋简体" w:eastAsia="方正仿宋简体" w:hAnsiTheme="minorEastAsia" w:cs="方正仿宋简体"/>
                <w:iCs/>
              </w:rPr>
              <w:t>A</w:t>
            </w:r>
          </w:p>
        </w:tc>
        <w:tc>
          <w:tcPr>
            <w:tcW w:w="999" w:type="pct"/>
            <w:vMerge w:val="restar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dashSmallGap" w:sz="4" w:space="0" w:color="A6A6A6" w:themeColor="background1" w:themeShade="A6"/>
              <w:bottom w:val="nil"/>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015497</w:t>
            </w:r>
          </w:p>
        </w:tc>
      </w:tr>
      <w:tr w:rsidR="00D14374">
        <w:trPr>
          <w:trHeight w:val="150"/>
        </w:trPr>
        <w:tc>
          <w:tcPr>
            <w:tcW w:w="1145" w:type="pct"/>
            <w:vMerge/>
            <w:vAlign w:val="center"/>
          </w:tcPr>
          <w:p w:rsidR="00D14374" w:rsidRDefault="00D14374">
            <w:pPr>
              <w:spacing w:line="280" w:lineRule="exact"/>
              <w:rPr>
                <w:rFonts w:ascii="方正仿宋简体" w:eastAsia="方正仿宋简体" w:hAnsiTheme="minorEastAsia" w:cs="方正仿宋简体"/>
                <w:b/>
                <w:iCs/>
              </w:rPr>
            </w:pPr>
          </w:p>
        </w:tc>
        <w:tc>
          <w:tcPr>
            <w:tcW w:w="1413" w:type="pct"/>
            <w:vMerge w:val="restart"/>
            <w:tcBorders>
              <w:top w:val="nil"/>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华泰紫金中证医药</w:t>
            </w:r>
            <w:r>
              <w:rPr>
                <w:rFonts w:ascii="方正仿宋简体" w:eastAsia="方正仿宋简体" w:hAnsiTheme="minorEastAsia" w:cs="方正仿宋简体"/>
                <w:iCs/>
              </w:rPr>
              <w:t>50</w:t>
            </w:r>
            <w:r>
              <w:rPr>
                <w:rFonts w:ascii="方正仿宋简体" w:eastAsia="方正仿宋简体" w:hAnsiTheme="minorEastAsia" w:cs="方正仿宋简体"/>
                <w:iCs/>
              </w:rPr>
              <w:t>指数发起</w:t>
            </w:r>
            <w:r>
              <w:rPr>
                <w:rFonts w:ascii="方正仿宋简体" w:eastAsia="方正仿宋简体" w:hAnsiTheme="minorEastAsia" w:cs="方正仿宋简体"/>
                <w:iCs/>
              </w:rPr>
              <w:t>C</w:t>
            </w:r>
          </w:p>
        </w:tc>
        <w:tc>
          <w:tcPr>
            <w:tcW w:w="999" w:type="pct"/>
            <w:vMerge/>
            <w:vAlign w:val="center"/>
          </w:tcPr>
          <w:p w:rsidR="00D14374" w:rsidRDefault="00D14374">
            <w:pPr>
              <w:spacing w:line="280" w:lineRule="exact"/>
              <w:rPr>
                <w:rFonts w:ascii="方正仿宋简体" w:eastAsia="方正仿宋简体" w:hAnsiTheme="minorEastAsia" w:cs="方正仿宋简体"/>
                <w:b/>
                <w:iCs/>
              </w:rPr>
            </w:pPr>
          </w:p>
        </w:tc>
        <w:tc>
          <w:tcPr>
            <w:tcW w:w="1443" w:type="pct"/>
            <w:tcBorders>
              <w:top w:val="nil"/>
              <w:bottom w:val="nil"/>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015498</w:t>
            </w:r>
          </w:p>
        </w:tc>
      </w:tr>
      <w:tr w:rsidR="00D14374">
        <w:trPr>
          <w:trHeight w:val="454"/>
        </w:trPr>
        <w:tc>
          <w:tcPr>
            <w:tcW w:w="1145" w:type="pc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华泰证券（上海）资产管理有限公司</w:t>
            </w:r>
          </w:p>
        </w:tc>
        <w:tc>
          <w:tcPr>
            <w:tcW w:w="999" w:type="pc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中国光大银行股份有限公司</w:t>
            </w:r>
            <w:r>
              <w:rPr>
                <w:rFonts w:ascii="方正仿宋简体" w:eastAsia="方正仿宋简体" w:hAnsiTheme="minorEastAsia" w:cs="方正仿宋简体" w:hint="eastAsia"/>
                <w:iCs/>
              </w:rPr>
              <w:t xml:space="preserve"> </w:t>
            </w:r>
          </w:p>
        </w:tc>
      </w:tr>
      <w:tr w:rsidR="00D14374">
        <w:trPr>
          <w:trHeight w:val="454"/>
        </w:trPr>
        <w:tc>
          <w:tcPr>
            <w:tcW w:w="1145" w:type="pct"/>
            <w:vMerge w:val="restar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2022-04-29</w:t>
            </w:r>
          </w:p>
        </w:tc>
        <w:tc>
          <w:tcPr>
            <w:tcW w:w="999" w:type="pct"/>
            <w:vMerge w:val="restart"/>
            <w:vAlign w:val="center"/>
          </w:tcPr>
          <w:p w:rsidR="00D14374" w:rsidRDefault="00D14374">
            <w:pPr>
              <w:spacing w:line="28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D14374">
        <w:trPr>
          <w:trHeight w:val="454"/>
        </w:trPr>
        <w:tc>
          <w:tcPr>
            <w:tcW w:w="1145" w:type="pc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股票型</w:t>
            </w:r>
          </w:p>
        </w:tc>
        <w:tc>
          <w:tcPr>
            <w:tcW w:w="999" w:type="pc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D14374">
        <w:trPr>
          <w:trHeight w:val="454"/>
        </w:trPr>
        <w:tc>
          <w:tcPr>
            <w:tcW w:w="1145" w:type="pc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w:t>
            </w:r>
          </w:p>
        </w:tc>
      </w:tr>
      <w:tr w:rsidR="00D14374">
        <w:trPr>
          <w:trHeight w:val="454"/>
        </w:trPr>
        <w:tc>
          <w:tcPr>
            <w:tcW w:w="1145" w:type="pct"/>
            <w:vMerge w:val="restar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毛甜</w:t>
            </w:r>
          </w:p>
        </w:tc>
        <w:tc>
          <w:tcPr>
            <w:tcW w:w="999" w:type="pc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2022-04-29</w:t>
            </w:r>
          </w:p>
        </w:tc>
      </w:tr>
      <w:tr w:rsidR="00D14374">
        <w:trPr>
          <w:trHeight w:val="454"/>
        </w:trPr>
        <w:tc>
          <w:tcPr>
            <w:tcW w:w="1145" w:type="pct"/>
            <w:vMerge/>
            <w:vAlign w:val="center"/>
          </w:tcPr>
          <w:p w:rsidR="00D14374" w:rsidRDefault="00D14374">
            <w:pPr>
              <w:spacing w:line="280" w:lineRule="exact"/>
              <w:rPr>
                <w:rFonts w:ascii="方正仿宋简体" w:eastAsia="方正仿宋简体" w:hAnsiTheme="minorEastAsia" w:cs="方正仿宋简体"/>
                <w:b/>
                <w:iCs/>
              </w:rPr>
            </w:pPr>
          </w:p>
        </w:tc>
        <w:tc>
          <w:tcPr>
            <w:tcW w:w="1413" w:type="pct"/>
            <w:vMerge/>
            <w:vAlign w:val="center"/>
          </w:tcPr>
          <w:p w:rsidR="00D14374" w:rsidRDefault="00D14374">
            <w:pPr>
              <w:spacing w:line="280" w:lineRule="exact"/>
              <w:rPr>
                <w:rFonts w:ascii="方正仿宋简体" w:eastAsia="方正仿宋简体" w:hAnsiTheme="minorEastAsia" w:cs="方正仿宋简体"/>
                <w:b/>
                <w:iCs/>
              </w:rPr>
            </w:pPr>
          </w:p>
        </w:tc>
        <w:tc>
          <w:tcPr>
            <w:tcW w:w="999" w:type="pct"/>
            <w:vAlign w:val="center"/>
          </w:tcPr>
          <w:p w:rsidR="00D14374" w:rsidRDefault="00295398">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rsidR="00D14374" w:rsidRDefault="0029539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2010-07-12</w:t>
            </w:r>
          </w:p>
        </w:tc>
      </w:tr>
    </w:tbl>
    <w:p w:rsidR="00D14374" w:rsidRDefault="00D14374">
      <w:pPr>
        <w:spacing w:line="280" w:lineRule="exact"/>
        <w:rPr>
          <w:rFonts w:ascii="方正仿宋简体" w:eastAsia="方正仿宋简体" w:hAnsiTheme="minorEastAsia" w:cs="仿宋_GB2312"/>
          <w:b/>
          <w:kern w:val="0"/>
          <w:szCs w:val="24"/>
        </w:rPr>
      </w:pPr>
    </w:p>
    <w:p w:rsidR="00D14374" w:rsidRDefault="00295398">
      <w:pPr>
        <w:numPr>
          <w:ilvl w:val="0"/>
          <w:numId w:val="2"/>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rsidR="00D14374" w:rsidRDefault="00295398">
      <w:pPr>
        <w:pStyle w:val="ae"/>
        <w:numPr>
          <w:ilvl w:val="0"/>
          <w:numId w:val="3"/>
        </w:numPr>
        <w:spacing w:line="28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tbl>
      <w:tblPr>
        <w:tblStyle w:val="ac"/>
        <w:tblW w:w="5000" w:type="pct"/>
        <w:tblBorders>
          <w:left w:val="none" w:sz="0" w:space="0" w:color="auto"/>
          <w:right w:val="none" w:sz="0" w:space="0" w:color="auto"/>
          <w:insideH w:val="dashSmallGap" w:sz="4" w:space="0" w:color="808080" w:themeColor="background1" w:themeShade="80"/>
          <w:insideV w:val="none" w:sz="0" w:space="0" w:color="auto"/>
        </w:tblBorders>
        <w:tblLook w:val="04A0"/>
      </w:tblPr>
      <w:tblGrid>
        <w:gridCol w:w="1952"/>
        <w:gridCol w:w="6570"/>
      </w:tblGrid>
      <w:tr w:rsidR="00D14374">
        <w:trPr>
          <w:trHeight w:val="454"/>
        </w:trPr>
        <w:tc>
          <w:tcPr>
            <w:tcW w:w="114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85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紧密跟踪标的指数，追求跟踪偏离度和跟踪误差的最小化。</w:t>
            </w:r>
          </w:p>
        </w:tc>
      </w:tr>
      <w:tr w:rsidR="00D14374">
        <w:trPr>
          <w:trHeight w:val="454"/>
        </w:trPr>
        <w:tc>
          <w:tcPr>
            <w:tcW w:w="114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85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本基金的投资范围为具有良好流动性的金融工具，以中证医药</w:t>
            </w:r>
            <w:r>
              <w:rPr>
                <w:rFonts w:ascii="方正仿宋简体" w:eastAsia="方正仿宋简体" w:hAnsiTheme="minorEastAsia" w:cs="仿宋_GB2312" w:hint="eastAsia"/>
                <w:kern w:val="0"/>
                <w:szCs w:val="24"/>
              </w:rPr>
              <w:t>50</w:t>
            </w:r>
            <w:r>
              <w:rPr>
                <w:rFonts w:ascii="方正仿宋简体" w:eastAsia="方正仿宋简体" w:hAnsiTheme="minorEastAsia" w:cs="仿宋_GB2312" w:hint="eastAsia"/>
                <w:kern w:val="0"/>
                <w:szCs w:val="24"/>
              </w:rPr>
              <w:t>指数的成份股及其备选成份股为主要投资对象。为更好地实现投资目标，本基金也可少量投资于经中国证监会允许上市的其他非标的指数成份股及其备选成份股、港股通标的股票、银行存款、同业存单、债券、债券回购、股指期货、资产支持证券、其他货币市场工具以及法律法规或中国证监会允许本基金投资的其他金融工具（但须符合中国证监会的相关规定）。</w:t>
            </w:r>
          </w:p>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本基金可以根据相关法律法规的规定参与融资和转融通证券出借业务。</w:t>
            </w:r>
          </w:p>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如法律法规或监管机构以后允许基金投资其他品种，基金管理人在履行适当程</w:t>
            </w:r>
            <w:r>
              <w:rPr>
                <w:rFonts w:ascii="方正仿宋简体" w:eastAsia="方正仿宋简体" w:hAnsiTheme="minorEastAsia" w:cs="仿宋_GB2312" w:hint="eastAsia"/>
                <w:kern w:val="0"/>
                <w:szCs w:val="24"/>
              </w:rPr>
              <w:t>序后，可以将其纳入投资范围。</w:t>
            </w:r>
          </w:p>
        </w:tc>
      </w:tr>
      <w:tr w:rsidR="00D14374">
        <w:trPr>
          <w:trHeight w:val="454"/>
        </w:trPr>
        <w:tc>
          <w:tcPr>
            <w:tcW w:w="114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85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本基金主要采用完全复制标的指数的方法，进行被动指数化投资。股票投资组合的构建主要按照标的指数的成份股组成及其权重来拟合复</w:t>
            </w:r>
            <w:r>
              <w:rPr>
                <w:rFonts w:ascii="方正仿宋简体" w:eastAsia="方正仿宋简体" w:hAnsiTheme="minorEastAsia" w:cs="仿宋_GB2312" w:hint="eastAsia"/>
                <w:kern w:val="0"/>
                <w:szCs w:val="24"/>
              </w:rPr>
              <w:lastRenderedPageBreak/>
              <w:t>制标的指数，并根据标的指数成份股及其权重的变动而进行相应调整，以复制和跟踪标的指数。本基金在严格控制基金的日均跟踪偏离度和年跟踪误差的前提下，力争获取与标的指数相似的投资收益。</w:t>
            </w:r>
          </w:p>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由于标的指数编制方法调整、成份股及其权重发生变化（包括配送股、增发、临时调入及调出成份股等）的原因，或因基金的申购和赎回等对本基金跟踪标的指数的效果可能带来影响时，或因</w:t>
            </w:r>
            <w:r>
              <w:rPr>
                <w:rFonts w:ascii="方正仿宋简体" w:eastAsia="方正仿宋简体" w:hAnsiTheme="minorEastAsia" w:cs="仿宋_GB2312" w:hint="eastAsia"/>
                <w:kern w:val="0"/>
                <w:szCs w:val="24"/>
              </w:rPr>
              <w:t>某些特殊情况导致流动性不足时，或其他原因导致无法有效复制和跟踪标的指数时，基金管理人可以对投资组合管理进行适当变通和调整，力求降低跟踪误差。</w:t>
            </w:r>
          </w:p>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1</w:t>
            </w:r>
            <w:r>
              <w:rPr>
                <w:rFonts w:ascii="方正仿宋简体" w:eastAsia="方正仿宋简体" w:hAnsiTheme="minorEastAsia" w:cs="仿宋_GB2312" w:hint="eastAsia"/>
                <w:kern w:val="0"/>
                <w:szCs w:val="24"/>
              </w:rPr>
              <w:t>、大类资产配置；</w:t>
            </w:r>
            <w:r>
              <w:rPr>
                <w:rFonts w:ascii="方正仿宋简体" w:eastAsia="方正仿宋简体" w:hAnsiTheme="minorEastAsia" w:cs="仿宋_GB2312" w:hint="eastAsia"/>
                <w:kern w:val="0"/>
                <w:szCs w:val="24"/>
              </w:rPr>
              <w:t>2</w:t>
            </w:r>
            <w:r>
              <w:rPr>
                <w:rFonts w:ascii="方正仿宋简体" w:eastAsia="方正仿宋简体" w:hAnsiTheme="minorEastAsia" w:cs="仿宋_GB2312" w:hint="eastAsia"/>
                <w:kern w:val="0"/>
                <w:szCs w:val="24"/>
              </w:rPr>
              <w:t>、股票投资策略；</w:t>
            </w:r>
            <w:r>
              <w:rPr>
                <w:rFonts w:ascii="方正仿宋简体" w:eastAsia="方正仿宋简体" w:hAnsiTheme="minorEastAsia" w:cs="仿宋_GB2312" w:hint="eastAsia"/>
                <w:kern w:val="0"/>
                <w:szCs w:val="24"/>
              </w:rPr>
              <w:t>3</w:t>
            </w:r>
            <w:r>
              <w:rPr>
                <w:rFonts w:ascii="方正仿宋简体" w:eastAsia="方正仿宋简体" w:hAnsiTheme="minorEastAsia" w:cs="仿宋_GB2312" w:hint="eastAsia"/>
                <w:kern w:val="0"/>
                <w:szCs w:val="24"/>
              </w:rPr>
              <w:t>、债券投资策略；</w:t>
            </w:r>
            <w:r>
              <w:rPr>
                <w:rFonts w:ascii="方正仿宋简体" w:eastAsia="方正仿宋简体" w:hAnsiTheme="minorEastAsia" w:cs="仿宋_GB2312" w:hint="eastAsia"/>
                <w:kern w:val="0"/>
                <w:szCs w:val="24"/>
              </w:rPr>
              <w:t>4</w:t>
            </w:r>
            <w:r>
              <w:rPr>
                <w:rFonts w:ascii="方正仿宋简体" w:eastAsia="方正仿宋简体" w:hAnsiTheme="minorEastAsia" w:cs="仿宋_GB2312" w:hint="eastAsia"/>
                <w:kern w:val="0"/>
                <w:szCs w:val="24"/>
              </w:rPr>
              <w:t>、资产支持证券投资策略；</w:t>
            </w:r>
            <w:r>
              <w:rPr>
                <w:rFonts w:ascii="方正仿宋简体" w:eastAsia="方正仿宋简体" w:hAnsiTheme="minorEastAsia" w:cs="仿宋_GB2312" w:hint="eastAsia"/>
                <w:kern w:val="0"/>
                <w:szCs w:val="24"/>
              </w:rPr>
              <w:t>5</w:t>
            </w:r>
            <w:r>
              <w:rPr>
                <w:rFonts w:ascii="方正仿宋简体" w:eastAsia="方正仿宋简体" w:hAnsiTheme="minorEastAsia" w:cs="仿宋_GB2312" w:hint="eastAsia"/>
                <w:kern w:val="0"/>
                <w:szCs w:val="24"/>
              </w:rPr>
              <w:t>、参与融资及转融通证券出借业务策略；</w:t>
            </w:r>
            <w:r>
              <w:rPr>
                <w:rFonts w:ascii="方正仿宋简体" w:eastAsia="方正仿宋简体" w:hAnsiTheme="minorEastAsia" w:cs="仿宋_GB2312" w:hint="eastAsia"/>
                <w:kern w:val="0"/>
                <w:szCs w:val="24"/>
              </w:rPr>
              <w:t>6</w:t>
            </w:r>
            <w:r>
              <w:rPr>
                <w:rFonts w:ascii="方正仿宋简体" w:eastAsia="方正仿宋简体" w:hAnsiTheme="minorEastAsia" w:cs="仿宋_GB2312" w:hint="eastAsia"/>
                <w:kern w:val="0"/>
                <w:szCs w:val="24"/>
              </w:rPr>
              <w:t>、其他金融工具投资策略。</w:t>
            </w:r>
          </w:p>
        </w:tc>
      </w:tr>
      <w:tr w:rsidR="00D14374">
        <w:trPr>
          <w:trHeight w:val="454"/>
        </w:trPr>
        <w:tc>
          <w:tcPr>
            <w:tcW w:w="114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业绩比较基准</w:t>
            </w:r>
          </w:p>
        </w:tc>
        <w:tc>
          <w:tcPr>
            <w:tcW w:w="385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中证医药</w:t>
            </w:r>
            <w:r>
              <w:rPr>
                <w:rFonts w:ascii="方正仿宋简体" w:eastAsia="方正仿宋简体" w:hAnsiTheme="minorEastAsia" w:cs="仿宋_GB2312" w:hint="eastAsia"/>
                <w:kern w:val="0"/>
                <w:szCs w:val="24"/>
              </w:rPr>
              <w:t>50</w:t>
            </w:r>
            <w:r>
              <w:rPr>
                <w:rFonts w:ascii="方正仿宋简体" w:eastAsia="方正仿宋简体" w:hAnsiTheme="minorEastAsia" w:cs="仿宋_GB2312" w:hint="eastAsia"/>
                <w:kern w:val="0"/>
                <w:szCs w:val="24"/>
              </w:rPr>
              <w:t>指数收益率×</w:t>
            </w:r>
            <w:r>
              <w:rPr>
                <w:rFonts w:ascii="方正仿宋简体" w:eastAsia="方正仿宋简体" w:hAnsiTheme="minorEastAsia" w:cs="仿宋_GB2312" w:hint="eastAsia"/>
                <w:kern w:val="0"/>
                <w:szCs w:val="24"/>
              </w:rPr>
              <w:t>95%</w:t>
            </w:r>
            <w:r>
              <w:rPr>
                <w:rFonts w:ascii="方正仿宋简体" w:eastAsia="方正仿宋简体" w:hAnsiTheme="minorEastAsia" w:cs="仿宋_GB2312" w:hint="eastAsia"/>
                <w:kern w:val="0"/>
                <w:szCs w:val="24"/>
              </w:rPr>
              <w:t>＋银行活期存款利率（税后）×</w:t>
            </w:r>
            <w:r>
              <w:rPr>
                <w:rFonts w:ascii="方正仿宋简体" w:eastAsia="方正仿宋简体" w:hAnsiTheme="minorEastAsia" w:cs="仿宋_GB2312" w:hint="eastAsia"/>
                <w:kern w:val="0"/>
                <w:szCs w:val="24"/>
              </w:rPr>
              <w:t>5%</w:t>
            </w:r>
          </w:p>
        </w:tc>
      </w:tr>
      <w:tr w:rsidR="00D14374">
        <w:trPr>
          <w:trHeight w:val="454"/>
        </w:trPr>
        <w:tc>
          <w:tcPr>
            <w:tcW w:w="114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855" w:type="pct"/>
            <w:vAlign w:val="center"/>
          </w:tcPr>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本基金属于股票型基金，其预期收益及预期风险水平高于混合型基金、债券型基金与货币市场基金。</w:t>
            </w:r>
          </w:p>
          <w:p w:rsidR="00D14374" w:rsidRDefault="0029539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本基金为被动式投资的股票型指数基金，主</w:t>
            </w:r>
            <w:r>
              <w:rPr>
                <w:rFonts w:ascii="方正仿宋简体" w:eastAsia="方正仿宋简体" w:hAnsiTheme="minorEastAsia" w:cs="仿宋_GB2312" w:hint="eastAsia"/>
                <w:kern w:val="0"/>
                <w:szCs w:val="24"/>
              </w:rPr>
              <w:t>要采用组合复制策略，跟踪标的指数，其风险收益特征与标的指数所表征的市场组合的风险收益特征相似。</w:t>
            </w:r>
          </w:p>
        </w:tc>
      </w:tr>
    </w:tbl>
    <w:p w:rsidR="00D14374" w:rsidRDefault="00D14374">
      <w:pPr>
        <w:spacing w:line="280" w:lineRule="exact"/>
        <w:rPr>
          <w:rFonts w:ascii="方正仿宋简体" w:eastAsia="方正仿宋简体" w:hAnsiTheme="minorEastAsia" w:cs="仿宋_GB2312"/>
          <w:kern w:val="0"/>
          <w:szCs w:val="24"/>
        </w:rPr>
      </w:pPr>
    </w:p>
    <w:p w:rsidR="00D14374" w:rsidRDefault="00295398">
      <w:pPr>
        <w:pStyle w:val="ae"/>
        <w:numPr>
          <w:ilvl w:val="0"/>
          <w:numId w:val="3"/>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r>
        <w:rPr>
          <w:rFonts w:ascii="方正仿宋简体" w:eastAsia="方正仿宋简体" w:hAnsi="方正仿宋简体" w:cs="方正仿宋简体" w:hint="eastAsia"/>
          <w:b/>
          <w:iCs/>
          <w:sz w:val="24"/>
          <w:szCs w:val="24"/>
        </w:rPr>
        <w:t>/</w:t>
      </w:r>
      <w:r>
        <w:rPr>
          <w:rFonts w:ascii="方正仿宋简体" w:eastAsia="方正仿宋简体" w:hAnsi="方正仿宋简体" w:cs="方正仿宋简体" w:hint="eastAsia"/>
          <w:b/>
          <w:iCs/>
          <w:sz w:val="24"/>
          <w:szCs w:val="24"/>
        </w:rPr>
        <w:t>区域配置图表</w:t>
      </w:r>
    </w:p>
    <w:p w:rsidR="00D14374" w:rsidRDefault="00295398">
      <w:pPr>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rsidR="00D14374" w:rsidRDefault="00295398">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extent cx="5060315" cy="2534920"/>
            <wp:effectExtent l="0" t="0" r="14605" b="1016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60315" cy="2534920"/>
                    </a:xfrm>
                    <a:prstGeom prst="rect">
                      <a:avLst/>
                    </a:prstGeom>
                    <a:noFill/>
                    <a:ln>
                      <a:noFill/>
                    </a:ln>
                  </pic:spPr>
                </pic:pic>
              </a:graphicData>
            </a:graphic>
          </wp:inline>
        </w:drawing>
      </w:r>
    </w:p>
    <w:p w:rsidR="00D14374" w:rsidRDefault="00295398">
      <w:pPr>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区域配置图表</w:t>
      </w:r>
    </w:p>
    <w:p w:rsidR="00D14374" w:rsidRDefault="00295398">
      <w:pPr>
        <w:autoSpaceDE w:val="0"/>
        <w:autoSpaceDN w:val="0"/>
        <w:adjustRightInd w:val="0"/>
        <w:spacing w:line="280" w:lineRule="exact"/>
        <w:jc w:val="left"/>
        <w:rPr>
          <w:rFonts w:ascii="方正仿宋简体" w:eastAsia="方正仿宋简体"/>
          <w:color w:val="000000" w:themeColor="text1"/>
        </w:rPr>
      </w:pPr>
      <w:r>
        <w:rPr>
          <w:rFonts w:ascii="方正仿宋简体" w:eastAsia="方正仿宋简体"/>
          <w:color w:val="000000" w:themeColor="text1"/>
        </w:rPr>
        <w:t>无。</w:t>
      </w:r>
    </w:p>
    <w:p w:rsidR="00D14374" w:rsidRDefault="00295398">
      <w:pPr>
        <w:pStyle w:val="ae"/>
        <w:numPr>
          <w:ilvl w:val="0"/>
          <w:numId w:val="3"/>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rsidR="00D14374" w:rsidRDefault="00295398">
      <w:pPr>
        <w:widowControl/>
        <w:jc w:val="left"/>
        <w:rPr>
          <w:rFonts w:ascii="方正仿宋简体" w:eastAsia="方正仿宋简体" w:hAnsiTheme="minorEastAsia"/>
        </w:rPr>
      </w:pPr>
      <w:r>
        <w:rPr>
          <w:rFonts w:ascii="方正仿宋简体" w:eastAsia="方正仿宋简体" w:hAnsiTheme="minorEastAsia"/>
        </w:rPr>
        <w:br w:type="page"/>
      </w:r>
    </w:p>
    <w:p w:rsidR="00D14374" w:rsidRDefault="00295398">
      <w:pPr>
        <w:jc w:val="left"/>
        <w:rPr>
          <w:rFonts w:ascii="方正仿宋简体" w:eastAsia="方正仿宋简体" w:hAnsiTheme="minorEastAsia"/>
        </w:rPr>
      </w:pPr>
      <w:r>
        <w:rPr>
          <w:rFonts w:ascii="方正仿宋简体" w:eastAsia="方正仿宋简体" w:hAnsiTheme="minorEastAsia" w:hint="eastAsia"/>
        </w:rPr>
        <w:lastRenderedPageBreak/>
        <w:t>华泰紫金中证医药</w:t>
      </w:r>
      <w:r>
        <w:rPr>
          <w:rFonts w:ascii="方正仿宋简体" w:eastAsia="方正仿宋简体" w:hAnsiTheme="minorEastAsia" w:hint="eastAsia"/>
        </w:rPr>
        <w:t>50</w:t>
      </w:r>
      <w:r>
        <w:rPr>
          <w:rFonts w:ascii="方正仿宋简体" w:eastAsia="方正仿宋简体" w:hAnsiTheme="minorEastAsia" w:hint="eastAsia"/>
        </w:rPr>
        <w:t>指数发起</w:t>
      </w:r>
      <w:r>
        <w:rPr>
          <w:rFonts w:ascii="方正仿宋简体" w:eastAsia="方正仿宋简体" w:hAnsiTheme="minorEastAsia" w:hint="eastAsia"/>
        </w:rPr>
        <w:t>A</w:t>
      </w:r>
    </w:p>
    <w:p w:rsidR="00D14374" w:rsidRDefault="00295398">
      <w:pPr>
        <w:jc w:val="center"/>
        <w:rPr>
          <w:rFonts w:ascii="方正仿宋简体" w:eastAsia="方正仿宋简体" w:hAnsiTheme="minorEastAsia"/>
        </w:rPr>
      </w:pPr>
      <w:r>
        <w:rPr>
          <w:rFonts w:ascii="方正仿宋简体" w:eastAsia="方正仿宋简体" w:hAnsiTheme="minorEastAsia" w:hint="eastAsia"/>
          <w:noProof/>
        </w:rPr>
        <w:drawing>
          <wp:inline distT="0" distB="0" distL="0" distR="0">
            <wp:extent cx="4648200" cy="22574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48506" cy="2257574"/>
                    </a:xfrm>
                    <a:prstGeom prst="rect">
                      <a:avLst/>
                    </a:prstGeom>
                    <a:noFill/>
                    <a:ln>
                      <a:noFill/>
                    </a:ln>
                  </pic:spPr>
                </pic:pic>
              </a:graphicData>
            </a:graphic>
          </wp:inline>
        </w:drawing>
      </w:r>
    </w:p>
    <w:p w:rsidR="00D14374" w:rsidRDefault="00295398">
      <w:pPr>
        <w:jc w:val="left"/>
        <w:rPr>
          <w:rFonts w:ascii="方正仿宋简体" w:eastAsia="方正仿宋简体" w:hAnsiTheme="minorEastAsia"/>
        </w:rPr>
      </w:pPr>
      <w:r>
        <w:rPr>
          <w:rFonts w:ascii="方正仿宋简体" w:eastAsia="方正仿宋简体" w:hAnsiTheme="minorEastAsia" w:hint="eastAsia"/>
        </w:rPr>
        <w:t>华泰紫金中证医药</w:t>
      </w:r>
      <w:r>
        <w:rPr>
          <w:rFonts w:ascii="方正仿宋简体" w:eastAsia="方正仿宋简体" w:hAnsiTheme="minorEastAsia" w:hint="eastAsia"/>
        </w:rPr>
        <w:t>50</w:t>
      </w:r>
      <w:r>
        <w:rPr>
          <w:rFonts w:ascii="方正仿宋简体" w:eastAsia="方正仿宋简体" w:hAnsiTheme="minorEastAsia" w:hint="eastAsia"/>
        </w:rPr>
        <w:t>指数发起</w:t>
      </w:r>
      <w:r>
        <w:rPr>
          <w:rFonts w:ascii="方正仿宋简体" w:eastAsia="方正仿宋简体" w:hAnsiTheme="minorEastAsia" w:hint="eastAsia"/>
        </w:rPr>
        <w:t>C</w:t>
      </w:r>
    </w:p>
    <w:p w:rsidR="00D14374" w:rsidRDefault="00295398">
      <w:pPr>
        <w:jc w:val="center"/>
        <w:rPr>
          <w:rFonts w:ascii="方正仿宋简体" w:eastAsia="方正仿宋简体" w:hAnsiTheme="minorEastAsia"/>
        </w:rPr>
      </w:pPr>
      <w:r>
        <w:rPr>
          <w:rFonts w:ascii="方正仿宋简体" w:eastAsia="方正仿宋简体" w:hAnsiTheme="minorEastAsia" w:hint="eastAsia"/>
          <w:noProof/>
        </w:rPr>
        <w:drawing>
          <wp:inline distT="0" distB="0" distL="0" distR="0">
            <wp:extent cx="4686300" cy="2162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86630" cy="2162327"/>
                    </a:xfrm>
                    <a:prstGeom prst="rect">
                      <a:avLst/>
                    </a:prstGeom>
                    <a:noFill/>
                    <a:ln>
                      <a:noFill/>
                    </a:ln>
                  </pic:spPr>
                </pic:pic>
              </a:graphicData>
            </a:graphic>
          </wp:inline>
        </w:drawing>
      </w:r>
    </w:p>
    <w:p w:rsidR="00D14374" w:rsidRDefault="00295398">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w:t>
      </w:r>
      <w:r>
        <w:rPr>
          <w:rFonts w:ascii="方正仿宋简体" w:eastAsia="方正仿宋简体" w:hAnsiTheme="minorEastAsia" w:hint="eastAsia"/>
          <w:color w:val="000000" w:themeColor="text1"/>
        </w:rPr>
        <w:t>1</w:t>
      </w:r>
      <w:r>
        <w:rPr>
          <w:rFonts w:ascii="方正仿宋简体" w:eastAsia="方正仿宋简体" w:hAnsiTheme="minorEastAsia" w:hint="eastAsia"/>
          <w:color w:val="000000" w:themeColor="text1"/>
        </w:rPr>
        <w:t>、本基金成立于</w:t>
      </w:r>
      <w:r>
        <w:rPr>
          <w:rFonts w:ascii="方正仿宋简体" w:eastAsia="方正仿宋简体" w:hAnsiTheme="minorEastAsia" w:hint="eastAsia"/>
          <w:color w:val="000000" w:themeColor="text1"/>
        </w:rPr>
        <w:t>2022</w:t>
      </w:r>
      <w:r>
        <w:rPr>
          <w:rFonts w:ascii="方正仿宋简体" w:eastAsia="方正仿宋简体" w:hAnsiTheme="minorEastAsia" w:hint="eastAsia"/>
          <w:color w:val="000000" w:themeColor="text1"/>
        </w:rPr>
        <w:t>年</w:t>
      </w:r>
      <w:r>
        <w:rPr>
          <w:rFonts w:ascii="方正仿宋简体" w:eastAsia="方正仿宋简体" w:hAnsiTheme="minorEastAsia" w:hint="eastAsia"/>
          <w:color w:val="000000" w:themeColor="text1"/>
        </w:rPr>
        <w:t>4</w:t>
      </w:r>
      <w:r>
        <w:rPr>
          <w:rFonts w:ascii="方正仿宋简体" w:eastAsia="方正仿宋简体" w:hAnsiTheme="minorEastAsia" w:hint="eastAsia"/>
          <w:color w:val="000000" w:themeColor="text1"/>
        </w:rPr>
        <w:t>月</w:t>
      </w:r>
      <w:r>
        <w:rPr>
          <w:rFonts w:ascii="方正仿宋简体" w:eastAsia="方正仿宋简体" w:hAnsiTheme="minorEastAsia" w:hint="eastAsia"/>
          <w:color w:val="000000" w:themeColor="text1"/>
        </w:rPr>
        <w:t>29</w:t>
      </w:r>
      <w:r>
        <w:rPr>
          <w:rFonts w:ascii="方正仿宋简体" w:eastAsia="方正仿宋简体" w:hAnsiTheme="minorEastAsia" w:hint="eastAsia"/>
          <w:color w:val="000000" w:themeColor="text1"/>
        </w:rPr>
        <w:t>日；</w:t>
      </w:r>
      <w:r>
        <w:rPr>
          <w:rFonts w:ascii="方正仿宋简体" w:eastAsia="方正仿宋简体" w:hAnsiTheme="minorEastAsia" w:hint="eastAsia"/>
          <w:color w:val="000000" w:themeColor="text1"/>
        </w:rPr>
        <w:t>2</w:t>
      </w:r>
      <w:r>
        <w:rPr>
          <w:rFonts w:ascii="方正仿宋简体" w:eastAsia="方正仿宋简体" w:hAnsiTheme="minorEastAsia" w:hint="eastAsia"/>
          <w:color w:val="000000" w:themeColor="text1"/>
        </w:rPr>
        <w:t>、基金的过往业绩不代表未来表现；</w:t>
      </w:r>
      <w:r>
        <w:rPr>
          <w:rFonts w:ascii="方正仿宋简体" w:eastAsia="方正仿宋简体" w:hAnsiTheme="minorEastAsia" w:hint="eastAsia"/>
          <w:color w:val="000000" w:themeColor="text1"/>
        </w:rPr>
        <w:t>3</w:t>
      </w:r>
      <w:r>
        <w:rPr>
          <w:rFonts w:ascii="方正仿宋简体" w:eastAsia="方正仿宋简体" w:hAnsiTheme="minorEastAsia" w:hint="eastAsia"/>
          <w:color w:val="000000" w:themeColor="text1"/>
        </w:rPr>
        <w:t>、</w:t>
      </w:r>
      <w:r>
        <w:rPr>
          <w:rFonts w:ascii="方正仿宋简体" w:eastAsia="方正仿宋简体" w:hAnsiTheme="minorEastAsia" w:hint="eastAsia"/>
          <w:color w:val="000000" w:themeColor="text1"/>
        </w:rPr>
        <w:t>2022</w:t>
      </w:r>
      <w:r>
        <w:rPr>
          <w:rFonts w:ascii="方正仿宋简体" w:eastAsia="方正仿宋简体" w:hAnsiTheme="minorEastAsia" w:hint="eastAsia"/>
          <w:color w:val="000000" w:themeColor="text1"/>
        </w:rPr>
        <w:t>年数据非完整年度数。</w:t>
      </w:r>
    </w:p>
    <w:p w:rsidR="00D14374" w:rsidRDefault="00D14374">
      <w:pPr>
        <w:spacing w:line="280" w:lineRule="exact"/>
        <w:ind w:firstLine="420"/>
        <w:rPr>
          <w:rFonts w:ascii="方正仿宋简体" w:eastAsia="方正仿宋简体" w:hAnsi="方正仿宋简体" w:cs="方正仿宋简体"/>
          <w:iCs/>
        </w:rPr>
      </w:pPr>
    </w:p>
    <w:p w:rsidR="00D14374" w:rsidRDefault="00295398">
      <w:pPr>
        <w:numPr>
          <w:ilvl w:val="0"/>
          <w:numId w:val="2"/>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rsidR="00D14374" w:rsidRDefault="00295398">
      <w:pPr>
        <w:pStyle w:val="ae"/>
        <w:numPr>
          <w:ilvl w:val="0"/>
          <w:numId w:val="4"/>
        </w:numPr>
        <w:spacing w:line="34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rsidR="00D14374" w:rsidRDefault="00295398">
      <w:pPr>
        <w:autoSpaceDE w:val="0"/>
        <w:autoSpaceDN w:val="0"/>
        <w:adjustRightInd w:val="0"/>
        <w:spacing w:line="280" w:lineRule="exact"/>
        <w:jc w:val="left"/>
        <w:rPr>
          <w:rFonts w:ascii="方正仿宋简体" w:eastAsia="方正仿宋简体"/>
          <w:color w:val="000000" w:themeColor="text1"/>
        </w:rPr>
      </w:pPr>
      <w:r>
        <w:rPr>
          <w:rFonts w:ascii="方正仿宋简体" w:eastAsia="方正仿宋简体" w:hAnsi="方正仿宋简体" w:cs="方正仿宋简体" w:hint="eastAsia"/>
          <w:iCs/>
          <w:color w:val="000000" w:themeColor="text1"/>
        </w:rPr>
        <w:t>以下费用在申购</w:t>
      </w:r>
      <w:r>
        <w:rPr>
          <w:rFonts w:ascii="方正仿宋简体" w:eastAsia="方正仿宋简体" w:hAnsi="方正仿宋简体" w:cs="方正仿宋简体" w:hint="eastAsia"/>
          <w:iCs/>
          <w:color w:val="000000" w:themeColor="text1"/>
        </w:rPr>
        <w:t>/</w:t>
      </w:r>
      <w:r>
        <w:rPr>
          <w:rFonts w:ascii="方正仿宋简体" w:eastAsia="方正仿宋简体" w:hAnsi="方正仿宋简体" w:cs="方正仿宋简体" w:hint="eastAsia"/>
          <w:iCs/>
          <w:color w:val="000000" w:themeColor="text1"/>
        </w:rPr>
        <w:t>赎回基金过程中收取：</w:t>
      </w:r>
    </w:p>
    <w:p w:rsidR="00D14374" w:rsidRDefault="00295398">
      <w:pPr>
        <w:autoSpaceDE w:val="0"/>
        <w:autoSpaceDN w:val="0"/>
        <w:adjustRightInd w:val="0"/>
        <w:spacing w:line="280" w:lineRule="exact"/>
        <w:jc w:val="left"/>
        <w:rPr>
          <w:rFonts w:ascii="方正仿宋简体" w:eastAsia="方正仿宋简体" w:hAnsiTheme="minorEastAsia" w:cs="方正仿宋简体"/>
          <w:iCs/>
          <w:color w:val="000000" w:themeColor="text1"/>
        </w:rPr>
      </w:pPr>
      <w:r>
        <w:rPr>
          <w:rFonts w:ascii="方正仿宋简体" w:eastAsia="方正仿宋简体" w:hint="eastAsia"/>
          <w:color w:val="000000" w:themeColor="text1"/>
        </w:rPr>
        <w:t>华泰紫金中证医药</w:t>
      </w:r>
      <w:r>
        <w:rPr>
          <w:rFonts w:ascii="方正仿宋简体" w:eastAsia="方正仿宋简体" w:hint="eastAsia"/>
          <w:color w:val="000000" w:themeColor="text1"/>
        </w:rPr>
        <w:t>50</w:t>
      </w:r>
      <w:r>
        <w:rPr>
          <w:rFonts w:ascii="方正仿宋简体" w:eastAsia="方正仿宋简体" w:hint="eastAsia"/>
          <w:color w:val="000000" w:themeColor="text1"/>
        </w:rPr>
        <w:t>指数发起</w:t>
      </w:r>
      <w:r>
        <w:rPr>
          <w:rFonts w:ascii="方正仿宋简体" w:eastAsia="方正仿宋简体" w:hint="eastAsia"/>
          <w:color w:val="000000" w:themeColor="text1"/>
        </w:rPr>
        <w:t>A</w:t>
      </w:r>
    </w:p>
    <w:tbl>
      <w:tblPr>
        <w:tblW w:w="5042" w:type="pct"/>
        <w:tblBorders>
          <w:top w:val="single" w:sz="4" w:space="0" w:color="000000"/>
          <w:bottom w:val="single" w:sz="4" w:space="0" w:color="000000"/>
          <w:insideH w:val="dashSmallGap" w:sz="4" w:space="0" w:color="808080" w:themeColor="background1" w:themeShade="80"/>
        </w:tblBorders>
        <w:tblLook w:val="04A0"/>
      </w:tblPr>
      <w:tblGrid>
        <w:gridCol w:w="2393"/>
        <w:gridCol w:w="3290"/>
        <w:gridCol w:w="2002"/>
        <w:gridCol w:w="909"/>
      </w:tblGrid>
      <w:tr w:rsidR="00D14374">
        <w:trPr>
          <w:trHeight w:val="427"/>
        </w:trPr>
        <w:tc>
          <w:tcPr>
            <w:tcW w:w="1392"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费用类型</w:t>
            </w:r>
          </w:p>
        </w:tc>
        <w:tc>
          <w:tcPr>
            <w:tcW w:w="1914"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份额（</w:t>
            </w:r>
            <w:r>
              <w:rPr>
                <w:rFonts w:ascii="方正仿宋简体" w:eastAsia="方正仿宋简体" w:hAnsi="方正仿宋简体" w:cs="方正仿宋简体" w:hint="eastAsia"/>
                <w:b/>
                <w:bCs/>
                <w:iCs/>
                <w:color w:val="000000" w:themeColor="text1"/>
              </w:rPr>
              <w:t>S</w:t>
            </w:r>
            <w:r>
              <w:rPr>
                <w:rFonts w:ascii="方正仿宋简体" w:eastAsia="方正仿宋简体" w:hAnsi="方正仿宋简体" w:cs="方正仿宋简体" w:hint="eastAsia"/>
                <w:b/>
                <w:bCs/>
                <w:iCs/>
                <w:color w:val="000000" w:themeColor="text1"/>
              </w:rPr>
              <w:t>）或金额（</w:t>
            </w:r>
            <w:r>
              <w:rPr>
                <w:rFonts w:ascii="方正仿宋简体" w:eastAsia="方正仿宋简体" w:hAnsi="方正仿宋简体" w:cs="方正仿宋简体" w:hint="eastAsia"/>
                <w:b/>
                <w:bCs/>
                <w:iCs/>
                <w:color w:val="000000" w:themeColor="text1"/>
              </w:rPr>
              <w:t>M</w:t>
            </w:r>
            <w:r>
              <w:rPr>
                <w:rFonts w:ascii="方正仿宋简体" w:eastAsia="方正仿宋简体" w:hAnsi="方正仿宋简体" w:cs="方正仿宋简体" w:hint="eastAsia"/>
                <w:b/>
                <w:bCs/>
                <w:iCs/>
                <w:color w:val="000000" w:themeColor="text1"/>
              </w:rPr>
              <w:t>）</w:t>
            </w:r>
          </w:p>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w:t>
            </w:r>
            <w:r>
              <w:rPr>
                <w:rFonts w:ascii="方正仿宋简体" w:eastAsia="方正仿宋简体" w:hAnsi="方正仿宋简体" w:cs="方正仿宋简体" w:hint="eastAsia"/>
                <w:b/>
                <w:bCs/>
                <w:iCs/>
                <w:color w:val="000000" w:themeColor="text1"/>
              </w:rPr>
              <w:t>持有期限（</w:t>
            </w:r>
            <w:r>
              <w:rPr>
                <w:rFonts w:ascii="方正仿宋简体" w:eastAsia="方正仿宋简体" w:hAnsi="方正仿宋简体" w:cs="方正仿宋简体" w:hint="eastAsia"/>
                <w:b/>
                <w:bCs/>
                <w:iCs/>
                <w:color w:val="000000" w:themeColor="text1"/>
              </w:rPr>
              <w:t>N</w:t>
            </w:r>
            <w:r>
              <w:rPr>
                <w:rFonts w:ascii="方正仿宋简体" w:eastAsia="方正仿宋简体" w:hAnsi="方正仿宋简体" w:cs="方正仿宋简体" w:hint="eastAsia"/>
                <w:b/>
                <w:bCs/>
                <w:iCs/>
                <w:color w:val="000000" w:themeColor="text1"/>
              </w:rPr>
              <w:t>）</w:t>
            </w:r>
          </w:p>
        </w:tc>
        <w:tc>
          <w:tcPr>
            <w:tcW w:w="1165"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收费方式</w:t>
            </w:r>
            <w:r>
              <w:rPr>
                <w:rFonts w:ascii="方正仿宋简体" w:eastAsia="方正仿宋简体" w:hAnsi="方正仿宋简体" w:cs="方正仿宋简体" w:hint="eastAsia"/>
                <w:b/>
                <w:bCs/>
                <w:iCs/>
                <w:color w:val="000000" w:themeColor="text1"/>
              </w:rPr>
              <w:t>/</w:t>
            </w:r>
            <w:r>
              <w:rPr>
                <w:rFonts w:ascii="方正仿宋简体" w:eastAsia="方正仿宋简体" w:hAnsi="方正仿宋简体" w:cs="方正仿宋简体" w:hint="eastAsia"/>
                <w:b/>
                <w:bCs/>
                <w:iCs/>
                <w:color w:val="000000" w:themeColor="text1"/>
              </w:rPr>
              <w:t>费率</w:t>
            </w:r>
          </w:p>
        </w:tc>
        <w:tc>
          <w:tcPr>
            <w:tcW w:w="529"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备注</w:t>
            </w:r>
          </w:p>
        </w:tc>
      </w:tr>
      <w:tr w:rsidR="00D14374">
        <w:trPr>
          <w:trHeight w:val="427"/>
        </w:trPr>
        <w:tc>
          <w:tcPr>
            <w:tcW w:w="1392" w:type="pct"/>
            <w:vMerge w:val="restar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申购费（前收费）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M &lt; 100</w:t>
            </w:r>
            <w:r>
              <w:rPr>
                <w:rFonts w:ascii="方正仿宋简体" w:eastAsia="方正仿宋简体" w:hAnsi="方正仿宋简体" w:cs="方正仿宋简体" w:hint="eastAsia"/>
                <w:bCs/>
                <w:iCs/>
                <w:color w:val="000000" w:themeColor="text1"/>
              </w:rPr>
              <w:t>万元</w:t>
            </w:r>
          </w:p>
        </w:tc>
        <w:tc>
          <w:tcPr>
            <w:tcW w:w="1165"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0.60%  </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r w:rsidR="00D14374">
        <w:trPr>
          <w:trHeight w:val="427"/>
        </w:trPr>
        <w:tc>
          <w:tcPr>
            <w:tcW w:w="1392" w:type="pct"/>
            <w:vMerge/>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申购费（前收费）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100</w:t>
            </w:r>
            <w:r>
              <w:rPr>
                <w:rFonts w:ascii="方正仿宋简体" w:eastAsia="方正仿宋简体" w:hAnsi="方正仿宋简体" w:cs="方正仿宋简体" w:hint="eastAsia"/>
                <w:bCs/>
                <w:iCs/>
                <w:color w:val="000000" w:themeColor="text1"/>
              </w:rPr>
              <w:t>万元</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w:t>
            </w:r>
            <w:r>
              <w:rPr>
                <w:rFonts w:ascii="方正仿宋简体" w:eastAsia="方正仿宋简体" w:hAnsi="方正仿宋简体" w:cs="方正仿宋简体" w:hint="eastAsia"/>
                <w:bCs/>
                <w:iCs/>
                <w:color w:val="000000" w:themeColor="text1"/>
              </w:rPr>
              <w:t xml:space="preserve"> M &lt; 500</w:t>
            </w:r>
            <w:r>
              <w:rPr>
                <w:rFonts w:ascii="方正仿宋简体" w:eastAsia="方正仿宋简体" w:hAnsi="方正仿宋简体" w:cs="方正仿宋简体" w:hint="eastAsia"/>
                <w:bCs/>
                <w:iCs/>
                <w:color w:val="000000" w:themeColor="text1"/>
              </w:rPr>
              <w:t>万元</w:t>
            </w:r>
          </w:p>
        </w:tc>
        <w:tc>
          <w:tcPr>
            <w:tcW w:w="1165"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0.40%  </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r w:rsidR="00D14374">
        <w:trPr>
          <w:trHeight w:val="427"/>
        </w:trPr>
        <w:tc>
          <w:tcPr>
            <w:tcW w:w="1392" w:type="pct"/>
            <w:vMerge/>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申购费（前收费）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M </w:t>
            </w:r>
            <w:r>
              <w:rPr>
                <w:rFonts w:ascii="方正仿宋简体" w:eastAsia="方正仿宋简体" w:hAnsi="方正仿宋简体" w:cs="方正仿宋简体" w:hint="eastAsia"/>
                <w:bCs/>
                <w:iCs/>
                <w:color w:val="000000" w:themeColor="text1"/>
              </w:rPr>
              <w:t>≥</w:t>
            </w:r>
            <w:r>
              <w:rPr>
                <w:rFonts w:ascii="方正仿宋简体" w:eastAsia="方正仿宋简体" w:hAnsi="方正仿宋简体" w:cs="方正仿宋简体" w:hint="eastAsia"/>
                <w:bCs/>
                <w:iCs/>
                <w:color w:val="000000" w:themeColor="text1"/>
              </w:rPr>
              <w:t xml:space="preserve"> 500</w:t>
            </w:r>
            <w:r>
              <w:rPr>
                <w:rFonts w:ascii="方正仿宋简体" w:eastAsia="方正仿宋简体" w:hAnsi="方正仿宋简体" w:cs="方正仿宋简体" w:hint="eastAsia"/>
                <w:bCs/>
                <w:iCs/>
                <w:color w:val="000000" w:themeColor="text1"/>
              </w:rPr>
              <w:t>万元</w:t>
            </w:r>
          </w:p>
        </w:tc>
        <w:tc>
          <w:tcPr>
            <w:tcW w:w="1165"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1000</w:t>
            </w:r>
            <w:r>
              <w:rPr>
                <w:rFonts w:ascii="方正仿宋简体" w:eastAsia="方正仿宋简体" w:hAnsi="方正仿宋简体" w:cs="方正仿宋简体" w:hint="eastAsia"/>
                <w:bCs/>
                <w:iCs/>
                <w:color w:val="000000" w:themeColor="text1"/>
              </w:rPr>
              <w:t>元</w:t>
            </w:r>
            <w:r>
              <w:rPr>
                <w:rFonts w:ascii="方正仿宋简体" w:eastAsia="方正仿宋简体" w:hAnsi="方正仿宋简体" w:cs="方正仿宋简体" w:hint="eastAsia"/>
                <w:bCs/>
                <w:iCs/>
                <w:color w:val="000000" w:themeColor="text1"/>
              </w:rPr>
              <w:t>/</w:t>
            </w:r>
            <w:r>
              <w:rPr>
                <w:rFonts w:ascii="方正仿宋简体" w:eastAsia="方正仿宋简体" w:hAnsi="方正仿宋简体" w:cs="方正仿宋简体" w:hint="eastAsia"/>
                <w:bCs/>
                <w:iCs/>
                <w:color w:val="000000" w:themeColor="text1"/>
              </w:rPr>
              <w:t>笔</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r w:rsidR="00D14374">
        <w:trPr>
          <w:trHeight w:val="427"/>
        </w:trPr>
        <w:tc>
          <w:tcPr>
            <w:tcW w:w="1392" w:type="pct"/>
            <w:vMerge w:val="restar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赎回费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N &lt; 7</w:t>
            </w:r>
            <w:r>
              <w:rPr>
                <w:rFonts w:ascii="方正仿宋简体" w:eastAsia="方正仿宋简体" w:hAnsi="方正仿宋简体" w:cs="方正仿宋简体" w:hint="eastAsia"/>
                <w:bCs/>
                <w:iCs/>
                <w:color w:val="000000" w:themeColor="text1"/>
              </w:rPr>
              <w:t>日</w:t>
            </w:r>
            <w:r>
              <w:rPr>
                <w:rFonts w:ascii="方正仿宋简体" w:eastAsia="方正仿宋简体" w:hAnsi="方正仿宋简体" w:cs="方正仿宋简体" w:hint="eastAsia"/>
                <w:bCs/>
                <w:iCs/>
                <w:color w:val="000000" w:themeColor="text1"/>
              </w:rPr>
              <w:t xml:space="preserve"> </w:t>
            </w:r>
          </w:p>
        </w:tc>
        <w:tc>
          <w:tcPr>
            <w:tcW w:w="1165"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1.50%  </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r w:rsidR="00D14374">
        <w:trPr>
          <w:trHeight w:val="427"/>
        </w:trPr>
        <w:tc>
          <w:tcPr>
            <w:tcW w:w="1392" w:type="pct"/>
            <w:vMerge/>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赎回费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7</w:t>
            </w:r>
            <w:r>
              <w:rPr>
                <w:rFonts w:ascii="方正仿宋简体" w:eastAsia="方正仿宋简体" w:hAnsi="方正仿宋简体" w:cs="方正仿宋简体" w:hint="eastAsia"/>
                <w:bCs/>
                <w:iCs/>
                <w:color w:val="000000" w:themeColor="text1"/>
              </w:rPr>
              <w:t>日</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w:t>
            </w:r>
            <w:r>
              <w:rPr>
                <w:rFonts w:ascii="方正仿宋简体" w:eastAsia="方正仿宋简体" w:hAnsi="方正仿宋简体" w:cs="方正仿宋简体" w:hint="eastAsia"/>
                <w:bCs/>
                <w:iCs/>
                <w:color w:val="000000" w:themeColor="text1"/>
              </w:rPr>
              <w:t xml:space="preserve"> N &lt; 30</w:t>
            </w:r>
            <w:r>
              <w:rPr>
                <w:rFonts w:ascii="方正仿宋简体" w:eastAsia="方正仿宋简体" w:hAnsi="方正仿宋简体" w:cs="方正仿宋简体" w:hint="eastAsia"/>
                <w:bCs/>
                <w:iCs/>
                <w:color w:val="000000" w:themeColor="text1"/>
              </w:rPr>
              <w:t>日</w:t>
            </w:r>
            <w:r>
              <w:rPr>
                <w:rFonts w:ascii="方正仿宋简体" w:eastAsia="方正仿宋简体" w:hAnsi="方正仿宋简体" w:cs="方正仿宋简体" w:hint="eastAsia"/>
                <w:bCs/>
                <w:iCs/>
                <w:color w:val="000000" w:themeColor="text1"/>
              </w:rPr>
              <w:t xml:space="preserve"> </w:t>
            </w:r>
          </w:p>
        </w:tc>
        <w:tc>
          <w:tcPr>
            <w:tcW w:w="1165"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0.50%  </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r w:rsidR="00D14374">
        <w:trPr>
          <w:trHeight w:val="427"/>
        </w:trPr>
        <w:tc>
          <w:tcPr>
            <w:tcW w:w="1392" w:type="pct"/>
            <w:vMerge/>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赎回费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N </w:t>
            </w:r>
            <w:r>
              <w:rPr>
                <w:rFonts w:ascii="方正仿宋简体" w:eastAsia="方正仿宋简体" w:hAnsi="方正仿宋简体" w:cs="方正仿宋简体" w:hint="eastAsia"/>
                <w:bCs/>
                <w:iCs/>
                <w:color w:val="000000" w:themeColor="text1"/>
              </w:rPr>
              <w:t>≥</w:t>
            </w:r>
            <w:r>
              <w:rPr>
                <w:rFonts w:ascii="方正仿宋简体" w:eastAsia="方正仿宋简体" w:hAnsi="方正仿宋简体" w:cs="方正仿宋简体" w:hint="eastAsia"/>
                <w:bCs/>
                <w:iCs/>
                <w:color w:val="000000" w:themeColor="text1"/>
              </w:rPr>
              <w:t xml:space="preserve"> 30</w:t>
            </w:r>
            <w:r>
              <w:rPr>
                <w:rFonts w:ascii="方正仿宋简体" w:eastAsia="方正仿宋简体" w:hAnsi="方正仿宋简体" w:cs="方正仿宋简体" w:hint="eastAsia"/>
                <w:bCs/>
                <w:iCs/>
                <w:color w:val="000000" w:themeColor="text1"/>
              </w:rPr>
              <w:t>日</w:t>
            </w:r>
            <w:r>
              <w:rPr>
                <w:rFonts w:ascii="方正仿宋简体" w:eastAsia="方正仿宋简体" w:hAnsi="方正仿宋简体" w:cs="方正仿宋简体" w:hint="eastAsia"/>
                <w:bCs/>
                <w:iCs/>
                <w:color w:val="000000" w:themeColor="text1"/>
              </w:rPr>
              <w:t xml:space="preserve"> </w:t>
            </w:r>
          </w:p>
        </w:tc>
        <w:tc>
          <w:tcPr>
            <w:tcW w:w="1165"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bl>
    <w:p w:rsidR="00D14374" w:rsidRDefault="00D14374">
      <w:pPr>
        <w:autoSpaceDE w:val="0"/>
        <w:autoSpaceDN w:val="0"/>
        <w:adjustRightInd w:val="0"/>
        <w:spacing w:line="280" w:lineRule="exact"/>
        <w:jc w:val="left"/>
        <w:rPr>
          <w:rFonts w:ascii="方正仿宋简体" w:eastAsia="方正仿宋简体" w:hAnsi="方正仿宋简体" w:cs="方正仿宋简体"/>
          <w:iCs/>
          <w:color w:val="000000" w:themeColor="text1"/>
        </w:rPr>
      </w:pPr>
    </w:p>
    <w:p w:rsidR="00D14374" w:rsidRDefault="00295398">
      <w:pPr>
        <w:autoSpaceDE w:val="0"/>
        <w:autoSpaceDN w:val="0"/>
        <w:adjustRightInd w:val="0"/>
        <w:spacing w:line="280" w:lineRule="exact"/>
        <w:jc w:val="left"/>
        <w:rPr>
          <w:rFonts w:ascii="方正仿宋简体" w:eastAsia="方正仿宋简体"/>
          <w:color w:val="000000" w:themeColor="text1"/>
        </w:rPr>
      </w:pPr>
      <w:r>
        <w:rPr>
          <w:rFonts w:ascii="方正仿宋简体" w:eastAsia="方正仿宋简体" w:hAnsi="方正仿宋简体" w:cs="方正仿宋简体" w:hint="eastAsia"/>
          <w:iCs/>
          <w:color w:val="000000" w:themeColor="text1"/>
        </w:rPr>
        <w:t>以下费用在申购</w:t>
      </w:r>
      <w:r>
        <w:rPr>
          <w:rFonts w:ascii="方正仿宋简体" w:eastAsia="方正仿宋简体" w:hAnsi="方正仿宋简体" w:cs="方正仿宋简体" w:hint="eastAsia"/>
          <w:iCs/>
          <w:color w:val="000000" w:themeColor="text1"/>
        </w:rPr>
        <w:t>/</w:t>
      </w:r>
      <w:r>
        <w:rPr>
          <w:rFonts w:ascii="方正仿宋简体" w:eastAsia="方正仿宋简体" w:hAnsi="方正仿宋简体" w:cs="方正仿宋简体" w:hint="eastAsia"/>
          <w:iCs/>
          <w:color w:val="000000" w:themeColor="text1"/>
        </w:rPr>
        <w:t>赎回基金过程中收取：</w:t>
      </w:r>
    </w:p>
    <w:p w:rsidR="00D14374" w:rsidRDefault="00295398">
      <w:pPr>
        <w:autoSpaceDE w:val="0"/>
        <w:autoSpaceDN w:val="0"/>
        <w:adjustRightInd w:val="0"/>
        <w:spacing w:line="280" w:lineRule="exact"/>
        <w:jc w:val="left"/>
        <w:rPr>
          <w:rFonts w:ascii="方正仿宋简体" w:eastAsia="方正仿宋简体" w:hAnsiTheme="minorEastAsia" w:cs="方正仿宋简体"/>
          <w:iCs/>
          <w:color w:val="000000" w:themeColor="text1"/>
        </w:rPr>
      </w:pPr>
      <w:r>
        <w:rPr>
          <w:rFonts w:ascii="方正仿宋简体" w:eastAsia="方正仿宋简体" w:hint="eastAsia"/>
          <w:color w:val="000000" w:themeColor="text1"/>
        </w:rPr>
        <w:t>华泰紫金中证医药</w:t>
      </w:r>
      <w:r>
        <w:rPr>
          <w:rFonts w:ascii="方正仿宋简体" w:eastAsia="方正仿宋简体" w:hint="eastAsia"/>
          <w:color w:val="000000" w:themeColor="text1"/>
        </w:rPr>
        <w:t>50</w:t>
      </w:r>
      <w:r>
        <w:rPr>
          <w:rFonts w:ascii="方正仿宋简体" w:eastAsia="方正仿宋简体" w:hint="eastAsia"/>
          <w:color w:val="000000" w:themeColor="text1"/>
        </w:rPr>
        <w:t>指数发起</w:t>
      </w:r>
      <w:r>
        <w:rPr>
          <w:rFonts w:ascii="方正仿宋简体" w:eastAsia="方正仿宋简体" w:hint="eastAsia"/>
          <w:color w:val="000000" w:themeColor="text1"/>
        </w:rPr>
        <w:t>C</w:t>
      </w:r>
    </w:p>
    <w:tbl>
      <w:tblPr>
        <w:tblW w:w="5069" w:type="pct"/>
        <w:tblBorders>
          <w:top w:val="single" w:sz="4" w:space="0" w:color="000000"/>
          <w:bottom w:val="single" w:sz="4" w:space="0" w:color="000000"/>
          <w:insideH w:val="dashSmallGap" w:sz="4" w:space="0" w:color="808080" w:themeColor="background1" w:themeShade="80"/>
        </w:tblBorders>
        <w:tblLook w:val="04A0"/>
      </w:tblPr>
      <w:tblGrid>
        <w:gridCol w:w="2409"/>
        <w:gridCol w:w="3307"/>
        <w:gridCol w:w="2010"/>
        <w:gridCol w:w="914"/>
      </w:tblGrid>
      <w:tr w:rsidR="00D14374">
        <w:trPr>
          <w:trHeight w:val="394"/>
        </w:trPr>
        <w:tc>
          <w:tcPr>
            <w:tcW w:w="1394"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费用类型</w:t>
            </w:r>
          </w:p>
        </w:tc>
        <w:tc>
          <w:tcPr>
            <w:tcW w:w="1914"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份额（</w:t>
            </w:r>
            <w:r>
              <w:rPr>
                <w:rFonts w:ascii="方正仿宋简体" w:eastAsia="方正仿宋简体" w:hAnsi="方正仿宋简体" w:cs="方正仿宋简体" w:hint="eastAsia"/>
                <w:b/>
                <w:bCs/>
                <w:iCs/>
                <w:color w:val="000000" w:themeColor="text1"/>
              </w:rPr>
              <w:t>S</w:t>
            </w:r>
            <w:r>
              <w:rPr>
                <w:rFonts w:ascii="方正仿宋简体" w:eastAsia="方正仿宋简体" w:hAnsi="方正仿宋简体" w:cs="方正仿宋简体" w:hint="eastAsia"/>
                <w:b/>
                <w:bCs/>
                <w:iCs/>
                <w:color w:val="000000" w:themeColor="text1"/>
              </w:rPr>
              <w:t>）或金额（</w:t>
            </w:r>
            <w:r>
              <w:rPr>
                <w:rFonts w:ascii="方正仿宋简体" w:eastAsia="方正仿宋简体" w:hAnsi="方正仿宋简体" w:cs="方正仿宋简体" w:hint="eastAsia"/>
                <w:b/>
                <w:bCs/>
                <w:iCs/>
                <w:color w:val="000000" w:themeColor="text1"/>
              </w:rPr>
              <w:t>M</w:t>
            </w:r>
            <w:r>
              <w:rPr>
                <w:rFonts w:ascii="方正仿宋简体" w:eastAsia="方正仿宋简体" w:hAnsi="方正仿宋简体" w:cs="方正仿宋简体" w:hint="eastAsia"/>
                <w:b/>
                <w:bCs/>
                <w:iCs/>
                <w:color w:val="000000" w:themeColor="text1"/>
              </w:rPr>
              <w:t>）</w:t>
            </w:r>
          </w:p>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w:t>
            </w:r>
            <w:r>
              <w:rPr>
                <w:rFonts w:ascii="方正仿宋简体" w:eastAsia="方正仿宋简体" w:hAnsi="方正仿宋简体" w:cs="方正仿宋简体" w:hint="eastAsia"/>
                <w:b/>
                <w:bCs/>
                <w:iCs/>
                <w:color w:val="000000" w:themeColor="text1"/>
              </w:rPr>
              <w:t>持有期限（</w:t>
            </w:r>
            <w:r>
              <w:rPr>
                <w:rFonts w:ascii="方正仿宋简体" w:eastAsia="方正仿宋简体" w:hAnsi="方正仿宋简体" w:cs="方正仿宋简体" w:hint="eastAsia"/>
                <w:b/>
                <w:bCs/>
                <w:iCs/>
                <w:color w:val="000000" w:themeColor="text1"/>
              </w:rPr>
              <w:t>N</w:t>
            </w:r>
            <w:r>
              <w:rPr>
                <w:rFonts w:ascii="方正仿宋简体" w:eastAsia="方正仿宋简体" w:hAnsi="方正仿宋简体" w:cs="方正仿宋简体" w:hint="eastAsia"/>
                <w:b/>
                <w:bCs/>
                <w:iCs/>
                <w:color w:val="000000" w:themeColor="text1"/>
              </w:rPr>
              <w:t>）</w:t>
            </w:r>
          </w:p>
        </w:tc>
        <w:tc>
          <w:tcPr>
            <w:tcW w:w="1163"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收费方式</w:t>
            </w:r>
            <w:r>
              <w:rPr>
                <w:rFonts w:ascii="方正仿宋简体" w:eastAsia="方正仿宋简体" w:hAnsi="方正仿宋简体" w:cs="方正仿宋简体" w:hint="eastAsia"/>
                <w:b/>
                <w:bCs/>
                <w:iCs/>
                <w:color w:val="000000" w:themeColor="text1"/>
              </w:rPr>
              <w:t>/</w:t>
            </w:r>
            <w:r>
              <w:rPr>
                <w:rFonts w:ascii="方正仿宋简体" w:eastAsia="方正仿宋简体" w:hAnsi="方正仿宋简体" w:cs="方正仿宋简体" w:hint="eastAsia"/>
                <w:b/>
                <w:bCs/>
                <w:iCs/>
                <w:color w:val="000000" w:themeColor="text1"/>
              </w:rPr>
              <w:t>费率</w:t>
            </w:r>
          </w:p>
        </w:tc>
        <w:tc>
          <w:tcPr>
            <w:tcW w:w="529"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备注</w:t>
            </w:r>
          </w:p>
        </w:tc>
      </w:tr>
      <w:tr w:rsidR="00D14374">
        <w:trPr>
          <w:trHeight w:val="394"/>
        </w:trPr>
        <w:tc>
          <w:tcPr>
            <w:tcW w:w="1394" w:type="pc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申购费（前收费）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w:t>
            </w:r>
          </w:p>
        </w:tc>
        <w:tc>
          <w:tcPr>
            <w:tcW w:w="1163"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不收取申购费</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r w:rsidR="00D14374">
        <w:trPr>
          <w:trHeight w:val="394"/>
        </w:trPr>
        <w:tc>
          <w:tcPr>
            <w:tcW w:w="1394" w:type="pct"/>
            <w:vMerge w:val="restart"/>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赎回费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N &lt; 7</w:t>
            </w:r>
            <w:r>
              <w:rPr>
                <w:rFonts w:ascii="方正仿宋简体" w:eastAsia="方正仿宋简体" w:hAnsi="方正仿宋简体" w:cs="方正仿宋简体" w:hint="eastAsia"/>
                <w:bCs/>
                <w:iCs/>
                <w:color w:val="000000" w:themeColor="text1"/>
              </w:rPr>
              <w:t>日</w:t>
            </w:r>
            <w:r>
              <w:rPr>
                <w:rFonts w:ascii="方正仿宋简体" w:eastAsia="方正仿宋简体" w:hAnsi="方正仿宋简体" w:cs="方正仿宋简体" w:hint="eastAsia"/>
                <w:bCs/>
                <w:iCs/>
                <w:color w:val="000000" w:themeColor="text1"/>
              </w:rPr>
              <w:t xml:space="preserve"> </w:t>
            </w:r>
          </w:p>
        </w:tc>
        <w:tc>
          <w:tcPr>
            <w:tcW w:w="1163"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1.50%  </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r w:rsidR="00D14374">
        <w:trPr>
          <w:trHeight w:val="394"/>
        </w:trPr>
        <w:tc>
          <w:tcPr>
            <w:tcW w:w="1394" w:type="pct"/>
            <w:vMerge/>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赎回费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7</w:t>
            </w:r>
            <w:r>
              <w:rPr>
                <w:rFonts w:ascii="方正仿宋简体" w:eastAsia="方正仿宋简体" w:hAnsi="方正仿宋简体" w:cs="方正仿宋简体" w:hint="eastAsia"/>
                <w:bCs/>
                <w:iCs/>
                <w:color w:val="000000" w:themeColor="text1"/>
              </w:rPr>
              <w:t>日</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w:t>
            </w:r>
            <w:r>
              <w:rPr>
                <w:rFonts w:ascii="方正仿宋简体" w:eastAsia="方正仿宋简体" w:hAnsi="方正仿宋简体" w:cs="方正仿宋简体" w:hint="eastAsia"/>
                <w:bCs/>
                <w:iCs/>
                <w:color w:val="000000" w:themeColor="text1"/>
              </w:rPr>
              <w:t xml:space="preserve"> N &lt; 30</w:t>
            </w:r>
            <w:r>
              <w:rPr>
                <w:rFonts w:ascii="方正仿宋简体" w:eastAsia="方正仿宋简体" w:hAnsi="方正仿宋简体" w:cs="方正仿宋简体" w:hint="eastAsia"/>
                <w:bCs/>
                <w:iCs/>
                <w:color w:val="000000" w:themeColor="text1"/>
              </w:rPr>
              <w:t>日</w:t>
            </w:r>
            <w:r>
              <w:rPr>
                <w:rFonts w:ascii="方正仿宋简体" w:eastAsia="方正仿宋简体" w:hAnsi="方正仿宋简体" w:cs="方正仿宋简体" w:hint="eastAsia"/>
                <w:bCs/>
                <w:iCs/>
                <w:color w:val="000000" w:themeColor="text1"/>
              </w:rPr>
              <w:t xml:space="preserve"> </w:t>
            </w:r>
          </w:p>
        </w:tc>
        <w:tc>
          <w:tcPr>
            <w:tcW w:w="1163"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r w:rsidR="00D14374">
        <w:trPr>
          <w:trHeight w:val="394"/>
        </w:trPr>
        <w:tc>
          <w:tcPr>
            <w:tcW w:w="1394" w:type="pct"/>
            <w:vMerge/>
            <w:vAlign w:val="center"/>
          </w:tcPr>
          <w:p w:rsidR="00D14374" w:rsidRDefault="00295398">
            <w:pPr>
              <w:spacing w:line="280" w:lineRule="exact"/>
              <w:jc w:val="center"/>
              <w:rPr>
                <w:rFonts w:ascii="方正仿宋简体" w:eastAsia="方正仿宋简体" w:hAnsi="方正仿宋简体" w:cs="方正仿宋简体"/>
                <w:b/>
                <w:bCs/>
                <w:iCs/>
                <w:color w:val="000000" w:themeColor="text1"/>
              </w:rPr>
            </w:pPr>
            <w:r>
              <w:rPr>
                <w:rFonts w:ascii="方正仿宋简体" w:eastAsia="方正仿宋简体" w:hAnsi="方正仿宋简体" w:cs="方正仿宋简体" w:hint="eastAsia"/>
                <w:b/>
                <w:bCs/>
                <w:iCs/>
                <w:color w:val="000000" w:themeColor="text1"/>
              </w:rPr>
              <w:t>赎回费</w:t>
            </w:r>
          </w:p>
        </w:tc>
        <w:tc>
          <w:tcPr>
            <w:tcW w:w="1914"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w:t>
            </w:r>
            <w:r>
              <w:rPr>
                <w:rFonts w:ascii="方正仿宋简体" w:eastAsia="方正仿宋简体" w:hAnsi="方正仿宋简体" w:cs="方正仿宋简体" w:hint="eastAsia"/>
                <w:bCs/>
                <w:iCs/>
                <w:color w:val="000000" w:themeColor="text1"/>
              </w:rPr>
              <w:t xml:space="preserve"> N </w:t>
            </w:r>
            <w:r>
              <w:rPr>
                <w:rFonts w:ascii="方正仿宋简体" w:eastAsia="方正仿宋简体" w:hAnsi="方正仿宋简体" w:cs="方正仿宋简体" w:hint="eastAsia"/>
                <w:bCs/>
                <w:iCs/>
                <w:color w:val="000000" w:themeColor="text1"/>
              </w:rPr>
              <w:t>≥</w:t>
            </w:r>
            <w:r>
              <w:rPr>
                <w:rFonts w:ascii="方正仿宋简体" w:eastAsia="方正仿宋简体" w:hAnsi="方正仿宋简体" w:cs="方正仿宋简体" w:hint="eastAsia"/>
                <w:bCs/>
                <w:iCs/>
                <w:color w:val="000000" w:themeColor="text1"/>
              </w:rPr>
              <w:t xml:space="preserve"> 30</w:t>
            </w:r>
            <w:r>
              <w:rPr>
                <w:rFonts w:ascii="方正仿宋简体" w:eastAsia="方正仿宋简体" w:hAnsi="方正仿宋简体" w:cs="方正仿宋简体" w:hint="eastAsia"/>
                <w:bCs/>
                <w:iCs/>
                <w:color w:val="000000" w:themeColor="text1"/>
              </w:rPr>
              <w:t>日</w:t>
            </w:r>
            <w:r>
              <w:rPr>
                <w:rFonts w:ascii="方正仿宋简体" w:eastAsia="方正仿宋简体" w:hAnsi="方正仿宋简体" w:cs="方正仿宋简体" w:hint="eastAsia"/>
                <w:bCs/>
                <w:iCs/>
                <w:color w:val="000000" w:themeColor="text1"/>
              </w:rPr>
              <w:t xml:space="preserve"> </w:t>
            </w:r>
          </w:p>
        </w:tc>
        <w:tc>
          <w:tcPr>
            <w:tcW w:w="1163" w:type="pct"/>
            <w:vAlign w:val="center"/>
          </w:tcPr>
          <w:p w:rsidR="00D14374" w:rsidRDefault="00295398">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w:t>
            </w:r>
          </w:p>
        </w:tc>
        <w:tc>
          <w:tcPr>
            <w:tcW w:w="529" w:type="pct"/>
            <w:vAlign w:val="center"/>
          </w:tcPr>
          <w:p w:rsidR="00D14374" w:rsidRDefault="00D14374">
            <w:pPr>
              <w:spacing w:line="280" w:lineRule="exact"/>
              <w:jc w:val="center"/>
              <w:rPr>
                <w:rFonts w:ascii="方正仿宋简体" w:eastAsia="方正仿宋简体" w:hAnsi="方正仿宋简体" w:cs="方正仿宋简体"/>
                <w:bCs/>
                <w:iCs/>
                <w:color w:val="000000" w:themeColor="text1"/>
              </w:rPr>
            </w:pPr>
          </w:p>
        </w:tc>
      </w:tr>
    </w:tbl>
    <w:p w:rsidR="00D14374" w:rsidRDefault="00D14374">
      <w:pPr>
        <w:spacing w:line="280" w:lineRule="exact"/>
        <w:rPr>
          <w:rFonts w:ascii="方正仿宋简体" w:eastAsia="方正仿宋简体" w:hAnsiTheme="minorEastAsia" w:cs="方正仿宋简体"/>
          <w:b/>
          <w:iCs/>
          <w:sz w:val="24"/>
          <w:szCs w:val="24"/>
        </w:rPr>
      </w:pPr>
    </w:p>
    <w:p w:rsidR="00D14374" w:rsidRDefault="00295398">
      <w:pPr>
        <w:spacing w:line="28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rsidR="00D14374" w:rsidRDefault="00295398">
      <w:pPr>
        <w:autoSpaceDE w:val="0"/>
        <w:autoSpaceDN w:val="0"/>
        <w:adjustRightInd w:val="0"/>
        <w:spacing w:line="28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86" w:type="pct"/>
        <w:tblBorders>
          <w:top w:val="single" w:sz="4" w:space="0" w:color="000000"/>
          <w:bottom w:val="single" w:sz="4" w:space="0" w:color="000000"/>
          <w:insideH w:val="dashSmallGap" w:sz="4" w:space="0" w:color="808080" w:themeColor="background1" w:themeShade="80"/>
        </w:tblBorders>
        <w:tblLook w:val="04A0"/>
      </w:tblPr>
      <w:tblGrid>
        <w:gridCol w:w="2561"/>
        <w:gridCol w:w="6108"/>
      </w:tblGrid>
      <w:tr w:rsidR="00D14374">
        <w:trPr>
          <w:trHeight w:val="358"/>
        </w:trPr>
        <w:tc>
          <w:tcPr>
            <w:tcW w:w="1477" w:type="pct"/>
            <w:vAlign w:val="center"/>
          </w:tcPr>
          <w:p w:rsidR="00D14374" w:rsidRDefault="00295398">
            <w:pPr>
              <w:spacing w:line="28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rsidR="00D14374" w:rsidRDefault="00295398">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w:t>
            </w:r>
            <w:r>
              <w:rPr>
                <w:rFonts w:ascii="方正仿宋简体" w:eastAsia="方正仿宋简体" w:hAnsi="方正仿宋简体" w:cs="方正仿宋简体" w:hint="eastAsia"/>
                <w:b/>
                <w:bCs/>
                <w:iCs/>
              </w:rPr>
              <w:t>/</w:t>
            </w:r>
            <w:r>
              <w:rPr>
                <w:rFonts w:ascii="方正仿宋简体" w:eastAsia="方正仿宋简体" w:hAnsi="方正仿宋简体" w:cs="方正仿宋简体" w:hint="eastAsia"/>
                <w:b/>
                <w:bCs/>
                <w:iCs/>
              </w:rPr>
              <w:t>年费率</w:t>
            </w:r>
          </w:p>
        </w:tc>
      </w:tr>
      <w:tr w:rsidR="00D14374">
        <w:trPr>
          <w:trHeight w:val="358"/>
        </w:trPr>
        <w:tc>
          <w:tcPr>
            <w:tcW w:w="1477" w:type="pct"/>
            <w:vAlign w:val="center"/>
          </w:tcPr>
          <w:p w:rsidR="00D14374" w:rsidRDefault="00295398">
            <w:pPr>
              <w:spacing w:line="28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rsidR="00D14374" w:rsidRDefault="00295398">
            <w:pPr>
              <w:spacing w:line="28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0.30%</w:t>
            </w:r>
          </w:p>
        </w:tc>
      </w:tr>
      <w:tr w:rsidR="00D14374">
        <w:trPr>
          <w:trHeight w:val="358"/>
        </w:trPr>
        <w:tc>
          <w:tcPr>
            <w:tcW w:w="1477" w:type="pct"/>
            <w:vAlign w:val="center"/>
          </w:tcPr>
          <w:p w:rsidR="00D14374" w:rsidRDefault="00295398">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rsidR="00D14374" w:rsidRDefault="00295398">
            <w:pPr>
              <w:spacing w:line="28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 0.05%</w:t>
            </w:r>
          </w:p>
        </w:tc>
      </w:tr>
      <w:tr w:rsidR="00D14374">
        <w:trPr>
          <w:trHeight w:val="358"/>
        </w:trPr>
        <w:tc>
          <w:tcPr>
            <w:tcW w:w="1477" w:type="pct"/>
            <w:vAlign w:val="center"/>
          </w:tcPr>
          <w:p w:rsidR="00D14374" w:rsidRDefault="00295398">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销售服务费（华泰紫金中证医药</w:t>
            </w:r>
            <w:r>
              <w:rPr>
                <w:rFonts w:ascii="方正仿宋简体" w:eastAsia="方正仿宋简体" w:hAnsi="方正仿宋简体" w:cs="方正仿宋简体" w:hint="eastAsia"/>
                <w:iCs/>
              </w:rPr>
              <w:t>50</w:t>
            </w:r>
            <w:r>
              <w:rPr>
                <w:rFonts w:ascii="方正仿宋简体" w:eastAsia="方正仿宋简体" w:hAnsi="方正仿宋简体" w:cs="方正仿宋简体" w:hint="eastAsia"/>
                <w:iCs/>
              </w:rPr>
              <w:t>指数发起</w:t>
            </w:r>
            <w:r>
              <w:rPr>
                <w:rFonts w:ascii="方正仿宋简体" w:eastAsia="方正仿宋简体" w:hAnsi="方正仿宋简体" w:cs="方正仿宋简体" w:hint="eastAsia"/>
                <w:iCs/>
              </w:rPr>
              <w:t>A</w:t>
            </w:r>
            <w:r>
              <w:rPr>
                <w:rFonts w:ascii="方正仿宋简体" w:eastAsia="方正仿宋简体" w:hAnsi="方正仿宋简体" w:cs="方正仿宋简体" w:hint="eastAsia"/>
                <w:iCs/>
              </w:rPr>
              <w:t>）</w:t>
            </w:r>
          </w:p>
        </w:tc>
        <w:tc>
          <w:tcPr>
            <w:tcW w:w="3523" w:type="pct"/>
            <w:vAlign w:val="center"/>
          </w:tcPr>
          <w:p w:rsidR="00D14374" w:rsidRDefault="00295398">
            <w:pPr>
              <w:spacing w:line="28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不收取销售服务费</w:t>
            </w:r>
            <w:r>
              <w:rPr>
                <w:rFonts w:ascii="方正仿宋简体" w:eastAsia="方正仿宋简体" w:hAnsiTheme="minorEastAsia" w:cs="方正仿宋简体" w:hint="eastAsia"/>
                <w:bCs/>
                <w:iCs/>
              </w:rPr>
              <w:t xml:space="preserve"> </w:t>
            </w:r>
          </w:p>
        </w:tc>
      </w:tr>
      <w:tr w:rsidR="00D14374">
        <w:trPr>
          <w:trHeight w:val="358"/>
        </w:trPr>
        <w:tc>
          <w:tcPr>
            <w:tcW w:w="1477" w:type="pct"/>
            <w:vAlign w:val="center"/>
          </w:tcPr>
          <w:p w:rsidR="00D14374" w:rsidRDefault="00295398">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销售服务费（华泰紫金中证医药</w:t>
            </w:r>
            <w:r>
              <w:rPr>
                <w:rFonts w:ascii="方正仿宋简体" w:eastAsia="方正仿宋简体" w:hAnsi="方正仿宋简体" w:cs="方正仿宋简体" w:hint="eastAsia"/>
                <w:iCs/>
              </w:rPr>
              <w:t>50</w:t>
            </w:r>
            <w:r>
              <w:rPr>
                <w:rFonts w:ascii="方正仿宋简体" w:eastAsia="方正仿宋简体" w:hAnsi="方正仿宋简体" w:cs="方正仿宋简体" w:hint="eastAsia"/>
                <w:iCs/>
              </w:rPr>
              <w:t>指数发起</w:t>
            </w:r>
            <w:r>
              <w:rPr>
                <w:rFonts w:ascii="方正仿宋简体" w:eastAsia="方正仿宋简体" w:hAnsi="方正仿宋简体" w:cs="方正仿宋简体" w:hint="eastAsia"/>
                <w:iCs/>
              </w:rPr>
              <w:t>C</w:t>
            </w:r>
            <w:r>
              <w:rPr>
                <w:rFonts w:ascii="方正仿宋简体" w:eastAsia="方正仿宋简体" w:hAnsi="方正仿宋简体" w:cs="方正仿宋简体" w:hint="eastAsia"/>
                <w:iCs/>
              </w:rPr>
              <w:t>）</w:t>
            </w:r>
          </w:p>
        </w:tc>
        <w:tc>
          <w:tcPr>
            <w:tcW w:w="3523" w:type="pct"/>
            <w:vAlign w:val="center"/>
          </w:tcPr>
          <w:p w:rsidR="00D14374" w:rsidRDefault="00295398">
            <w:pPr>
              <w:spacing w:line="28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 0.10%</w:t>
            </w:r>
          </w:p>
        </w:tc>
      </w:tr>
    </w:tbl>
    <w:p w:rsidR="00D14374" w:rsidRDefault="00295398">
      <w:pPr>
        <w:autoSpaceDE w:val="0"/>
        <w:autoSpaceDN w:val="0"/>
        <w:adjustRightInd w:val="0"/>
        <w:spacing w:line="28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w:t>
      </w:r>
      <w:r>
        <w:rPr>
          <w:rFonts w:ascii="方正仿宋简体" w:eastAsia="方正仿宋简体" w:hAnsi="方正仿宋简体" w:cs="方正仿宋简体" w:hint="eastAsia"/>
          <w:bCs/>
          <w:iCs/>
        </w:rPr>
        <w:t xml:space="preserve"> </w:t>
      </w:r>
      <w:r>
        <w:rPr>
          <w:rFonts w:ascii="方正仿宋简体" w:eastAsia="方正仿宋简体" w:hAnsi="方正仿宋简体" w:cs="方正仿宋简体" w:hint="eastAsia"/>
          <w:bCs/>
          <w:iCs/>
        </w:rPr>
        <w:t>本基金交易证券、基金（如有）等产生的费用和税负，按实际发生额从基金资产扣除。</w:t>
      </w:r>
    </w:p>
    <w:p w:rsidR="00D14374" w:rsidRDefault="00D14374">
      <w:pPr>
        <w:autoSpaceDE w:val="0"/>
        <w:autoSpaceDN w:val="0"/>
        <w:adjustRightInd w:val="0"/>
        <w:spacing w:line="280" w:lineRule="exact"/>
        <w:jc w:val="left"/>
        <w:rPr>
          <w:rFonts w:ascii="方正仿宋简体" w:eastAsia="方正仿宋简体" w:hAnsiTheme="minorEastAsia" w:cs="仿宋_GB2312"/>
          <w:kern w:val="0"/>
          <w:szCs w:val="24"/>
        </w:rPr>
      </w:pPr>
    </w:p>
    <w:p w:rsidR="00D14374" w:rsidRDefault="00295398">
      <w:pPr>
        <w:numPr>
          <w:ilvl w:val="0"/>
          <w:numId w:val="2"/>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rsidR="00D14374" w:rsidRDefault="00295398">
      <w:pPr>
        <w:spacing w:line="280" w:lineRule="exact"/>
        <w:outlineLvl w:val="1"/>
        <w:rPr>
          <w:rFonts w:ascii="方正仿宋简体" w:eastAsia="方正仿宋简体" w:hAnsi="宋体"/>
          <w:color w:val="0000FF"/>
          <w:kern w:val="0"/>
          <w:sz w:val="18"/>
        </w:rPr>
      </w:pPr>
      <w:r>
        <w:rPr>
          <w:rFonts w:ascii="方正仿宋简体" w:eastAsia="方正仿宋简体" w:hAnsi="方正仿宋简体" w:cs="方正仿宋简体" w:hint="eastAsia"/>
          <w:b/>
          <w:bCs/>
          <w:iCs/>
          <w:sz w:val="24"/>
          <w:szCs w:val="24"/>
        </w:rPr>
        <w:t>（一）风险揭示</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本基金不提供任何保证。投资者可能损失投资本金。投资有风险，投资者购买基金时应认真阅读本基金的《招募说明书》等销售文件。投资于本基金的主要风险有：</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w:t>
      </w:r>
      <w:r>
        <w:rPr>
          <w:rFonts w:ascii="方正仿宋简体" w:eastAsia="方正仿宋简体" w:hAnsi="方正仿宋简体" w:cs="方正仿宋简体" w:hint="eastAsia"/>
          <w:iCs/>
        </w:rPr>
        <w:t>、市场风险，主要包括：（</w:t>
      </w:r>
      <w:r>
        <w:rPr>
          <w:rFonts w:ascii="方正仿宋简体" w:eastAsia="方正仿宋简体" w:hAnsi="方正仿宋简体" w:cs="方正仿宋简体" w:hint="eastAsia"/>
          <w:iCs/>
        </w:rPr>
        <w:t>1</w:t>
      </w:r>
      <w:r>
        <w:rPr>
          <w:rFonts w:ascii="方正仿宋简体" w:eastAsia="方正仿宋简体" w:hAnsi="方正仿宋简体" w:cs="方正仿宋简体" w:hint="eastAsia"/>
          <w:iCs/>
        </w:rPr>
        <w:t>）政策风险；（</w:t>
      </w:r>
      <w:r>
        <w:rPr>
          <w:rFonts w:ascii="方正仿宋简体" w:eastAsia="方正仿宋简体" w:hAnsi="方正仿宋简体" w:cs="方正仿宋简体" w:hint="eastAsia"/>
          <w:iCs/>
        </w:rPr>
        <w:t>2</w:t>
      </w:r>
      <w:r>
        <w:rPr>
          <w:rFonts w:ascii="方正仿宋简体" w:eastAsia="方正仿宋简体" w:hAnsi="方正仿宋简体" w:cs="方正仿宋简体" w:hint="eastAsia"/>
          <w:iCs/>
        </w:rPr>
        <w:t>）经济周期风险；（</w:t>
      </w:r>
      <w:r>
        <w:rPr>
          <w:rFonts w:ascii="方正仿宋简体" w:eastAsia="方正仿宋简体" w:hAnsi="方正仿宋简体" w:cs="方正仿宋简体" w:hint="eastAsia"/>
          <w:iCs/>
        </w:rPr>
        <w:t>3</w:t>
      </w:r>
      <w:r>
        <w:rPr>
          <w:rFonts w:ascii="方正仿宋简体" w:eastAsia="方正仿宋简体" w:hAnsi="方正仿宋简体" w:cs="方正仿宋简体" w:hint="eastAsia"/>
          <w:iCs/>
        </w:rPr>
        <w:t>）利率风险；（</w:t>
      </w:r>
      <w:r>
        <w:rPr>
          <w:rFonts w:ascii="方正仿宋简体" w:eastAsia="方正仿宋简体" w:hAnsi="方正仿宋简体" w:cs="方正仿宋简体" w:hint="eastAsia"/>
          <w:iCs/>
        </w:rPr>
        <w:t>4</w:t>
      </w:r>
      <w:r>
        <w:rPr>
          <w:rFonts w:ascii="方正仿宋简体" w:eastAsia="方正仿宋简体" w:hAnsi="方正仿宋简体" w:cs="方正仿宋简体" w:hint="eastAsia"/>
          <w:iCs/>
        </w:rPr>
        <w:t>）上市公司经营风险；（</w:t>
      </w:r>
      <w:r>
        <w:rPr>
          <w:rFonts w:ascii="方正仿宋简体" w:eastAsia="方正仿宋简体" w:hAnsi="方正仿宋简体" w:cs="方正仿宋简体" w:hint="eastAsia"/>
          <w:iCs/>
        </w:rPr>
        <w:t>5</w:t>
      </w:r>
      <w:r>
        <w:rPr>
          <w:rFonts w:ascii="方正仿宋简体" w:eastAsia="方正仿宋简体" w:hAnsi="方正仿宋简体" w:cs="方正仿宋简体" w:hint="eastAsia"/>
          <w:iCs/>
        </w:rPr>
        <w:t>）通货膨胀风险；（</w:t>
      </w:r>
      <w:r>
        <w:rPr>
          <w:rFonts w:ascii="方正仿宋简体" w:eastAsia="方正仿宋简体" w:hAnsi="方正仿宋简体" w:cs="方正仿宋简体" w:hint="eastAsia"/>
          <w:iCs/>
        </w:rPr>
        <w:t>6</w:t>
      </w:r>
      <w:r>
        <w:rPr>
          <w:rFonts w:ascii="方正仿宋简体" w:eastAsia="方正仿宋简体" w:hAnsi="方正仿宋简体" w:cs="方正仿宋简体" w:hint="eastAsia"/>
          <w:iCs/>
        </w:rPr>
        <w:t>）再投资风险；（</w:t>
      </w:r>
      <w:r>
        <w:rPr>
          <w:rFonts w:ascii="方正仿宋简体" w:eastAsia="方正仿宋简体" w:hAnsi="方正仿宋简体" w:cs="方正仿宋简体" w:hint="eastAsia"/>
          <w:iCs/>
        </w:rPr>
        <w:t>7</w:t>
      </w:r>
      <w:r>
        <w:rPr>
          <w:rFonts w:ascii="方正仿宋简体" w:eastAsia="方正仿宋简体" w:hAnsi="方正仿宋简体" w:cs="方正仿宋简体" w:hint="eastAsia"/>
          <w:iCs/>
        </w:rPr>
        <w:t>）杠杆风险；（</w:t>
      </w:r>
      <w:r>
        <w:rPr>
          <w:rFonts w:ascii="方正仿宋简体" w:eastAsia="方正仿宋简体" w:hAnsi="方正仿宋简体" w:cs="方正仿宋简体" w:hint="eastAsia"/>
          <w:iCs/>
        </w:rPr>
        <w:t>8</w:t>
      </w:r>
      <w:r>
        <w:rPr>
          <w:rFonts w:ascii="方正仿宋简体" w:eastAsia="方正仿宋简体" w:hAnsi="方正仿宋简体" w:cs="方正仿宋简体" w:hint="eastAsia"/>
          <w:iCs/>
        </w:rPr>
        <w:t>）债券收益率曲线风险；</w:t>
      </w:r>
      <w:r>
        <w:rPr>
          <w:rFonts w:ascii="方正仿宋简体" w:eastAsia="方正仿宋简体" w:hAnsi="方正仿宋简体" w:cs="方正仿宋简体" w:hint="eastAsia"/>
          <w:iCs/>
        </w:rPr>
        <w:t>2</w:t>
      </w:r>
      <w:r>
        <w:rPr>
          <w:rFonts w:ascii="方正仿宋简体" w:eastAsia="方正仿宋简体" w:hAnsi="方正仿宋简体" w:cs="方正仿宋简体" w:hint="eastAsia"/>
          <w:iCs/>
        </w:rPr>
        <w:t>、信用风险；</w:t>
      </w:r>
      <w:r>
        <w:rPr>
          <w:rFonts w:ascii="方正仿宋简体" w:eastAsia="方正仿宋简体" w:hAnsi="方正仿宋简体" w:cs="方正仿宋简体" w:hint="eastAsia"/>
          <w:iCs/>
        </w:rPr>
        <w:t>3</w:t>
      </w:r>
      <w:r>
        <w:rPr>
          <w:rFonts w:ascii="方正仿宋简体" w:eastAsia="方正仿宋简体" w:hAnsi="方正仿宋简体" w:cs="方正仿宋简体" w:hint="eastAsia"/>
          <w:iCs/>
        </w:rPr>
        <w:t>、流动性风险；</w:t>
      </w:r>
      <w:r>
        <w:rPr>
          <w:rFonts w:ascii="方正仿宋简体" w:eastAsia="方正仿宋简体" w:hAnsi="方正仿宋简体" w:cs="方正仿宋简体" w:hint="eastAsia"/>
          <w:iCs/>
        </w:rPr>
        <w:t>4</w:t>
      </w:r>
      <w:r>
        <w:rPr>
          <w:rFonts w:ascii="方正仿宋简体" w:eastAsia="方正仿宋简体" w:hAnsi="方正仿宋简体" w:cs="方正仿宋简体" w:hint="eastAsia"/>
          <w:iCs/>
        </w:rPr>
        <w:t>、侧袋机制风险；</w:t>
      </w:r>
      <w:r>
        <w:rPr>
          <w:rFonts w:ascii="方正仿宋简体" w:eastAsia="方正仿宋简体" w:hAnsi="方正仿宋简体" w:cs="方正仿宋简体" w:hint="eastAsia"/>
          <w:iCs/>
        </w:rPr>
        <w:t>5</w:t>
      </w:r>
      <w:r>
        <w:rPr>
          <w:rFonts w:ascii="方正仿宋简体" w:eastAsia="方正仿宋简体" w:hAnsi="方正仿宋简体" w:cs="方正仿宋简体" w:hint="eastAsia"/>
          <w:iCs/>
        </w:rPr>
        <w:t>、操作风险；</w:t>
      </w:r>
      <w:r>
        <w:rPr>
          <w:rFonts w:ascii="方正仿宋简体" w:eastAsia="方正仿宋简体" w:hAnsi="方正仿宋简体" w:cs="方正仿宋简体" w:hint="eastAsia"/>
          <w:iCs/>
        </w:rPr>
        <w:t>6</w:t>
      </w:r>
      <w:r>
        <w:rPr>
          <w:rFonts w:ascii="方正仿宋简体" w:eastAsia="方正仿宋简体" w:hAnsi="方正仿宋简体" w:cs="方正仿宋简体" w:hint="eastAsia"/>
          <w:iCs/>
        </w:rPr>
        <w:t>、管理风险；</w:t>
      </w:r>
      <w:r>
        <w:rPr>
          <w:rFonts w:ascii="方正仿宋简体" w:eastAsia="方正仿宋简体" w:hAnsi="方正仿宋简体" w:cs="方正仿宋简体" w:hint="eastAsia"/>
          <w:iCs/>
        </w:rPr>
        <w:t>7</w:t>
      </w:r>
      <w:r>
        <w:rPr>
          <w:rFonts w:ascii="方正仿宋简体" w:eastAsia="方正仿宋简体" w:hAnsi="方正仿宋简体" w:cs="方正仿宋简体" w:hint="eastAsia"/>
          <w:iCs/>
        </w:rPr>
        <w:t>、合规风险；</w:t>
      </w:r>
      <w:r>
        <w:rPr>
          <w:rFonts w:ascii="方正仿宋简体" w:eastAsia="方正仿宋简体" w:hAnsi="方正仿宋简体" w:cs="方正仿宋简体" w:hint="eastAsia"/>
          <w:iCs/>
        </w:rPr>
        <w:t>8</w:t>
      </w:r>
      <w:r>
        <w:rPr>
          <w:rFonts w:ascii="方正仿宋简体" w:eastAsia="方正仿宋简体" w:hAnsi="方正仿宋简体" w:cs="方正仿宋简体" w:hint="eastAsia"/>
          <w:iCs/>
        </w:rPr>
        <w:t>、本基金的特有风险：（</w:t>
      </w:r>
      <w:r>
        <w:rPr>
          <w:rFonts w:ascii="方正仿宋简体" w:eastAsia="方正仿宋简体" w:hAnsi="方正仿宋简体" w:cs="方正仿宋简体" w:hint="eastAsia"/>
          <w:iCs/>
        </w:rPr>
        <w:t>1</w:t>
      </w:r>
      <w:r>
        <w:rPr>
          <w:rFonts w:ascii="方正仿宋简体" w:eastAsia="方正仿宋简体" w:hAnsi="方正仿宋简体" w:cs="方正仿宋简体" w:hint="eastAsia"/>
          <w:iCs/>
        </w:rPr>
        <w:t>）指数化投资风险；（</w:t>
      </w:r>
      <w:r>
        <w:rPr>
          <w:rFonts w:ascii="方正仿宋简体" w:eastAsia="方正仿宋简体" w:hAnsi="方正仿宋简体" w:cs="方正仿宋简体" w:hint="eastAsia"/>
          <w:iCs/>
        </w:rPr>
        <w:t>2</w:t>
      </w:r>
      <w:r>
        <w:rPr>
          <w:rFonts w:ascii="方正仿宋简体" w:eastAsia="方正仿宋简体" w:hAnsi="方正仿宋简体" w:cs="方正仿宋简体" w:hint="eastAsia"/>
          <w:iCs/>
        </w:rPr>
        <w:t>）跟踪误差控制未达约定目标的风险；（</w:t>
      </w:r>
      <w:r>
        <w:rPr>
          <w:rFonts w:ascii="方正仿宋简体" w:eastAsia="方正仿宋简体" w:hAnsi="方正仿宋简体" w:cs="方正仿宋简体" w:hint="eastAsia"/>
          <w:iCs/>
        </w:rPr>
        <w:t>3</w:t>
      </w:r>
      <w:r>
        <w:rPr>
          <w:rFonts w:ascii="方正仿宋简体" w:eastAsia="方正仿宋简体" w:hAnsi="方正仿宋简体" w:cs="方正仿宋简体" w:hint="eastAsia"/>
          <w:iCs/>
        </w:rPr>
        <w:t>）指数编制机构停止服务的风险；（</w:t>
      </w:r>
      <w:r>
        <w:rPr>
          <w:rFonts w:ascii="方正仿宋简体" w:eastAsia="方正仿宋简体" w:hAnsi="方正仿宋简体" w:cs="方正仿宋简体" w:hint="eastAsia"/>
          <w:iCs/>
        </w:rPr>
        <w:t>4</w:t>
      </w:r>
      <w:r>
        <w:rPr>
          <w:rFonts w:ascii="方正仿宋简体" w:eastAsia="方正仿宋简体" w:hAnsi="方正仿宋简体" w:cs="方正仿宋简体" w:hint="eastAsia"/>
          <w:iCs/>
        </w:rPr>
        <w:t>）成份股停牌的风险；（</w:t>
      </w:r>
      <w:r>
        <w:rPr>
          <w:rFonts w:ascii="方正仿宋简体" w:eastAsia="方正仿宋简体" w:hAnsi="方正仿宋简体" w:cs="方正仿宋简体" w:hint="eastAsia"/>
          <w:iCs/>
        </w:rPr>
        <w:t>5</w:t>
      </w:r>
      <w:r>
        <w:rPr>
          <w:rFonts w:ascii="方正仿宋简体" w:eastAsia="方正仿宋简体" w:hAnsi="方正仿宋简体" w:cs="方正仿宋简体" w:hint="eastAsia"/>
          <w:iCs/>
        </w:rPr>
        <w:t>）股指期货投资风险；（</w:t>
      </w:r>
      <w:r>
        <w:rPr>
          <w:rFonts w:ascii="方正仿宋简体" w:eastAsia="方正仿宋简体" w:hAnsi="方正仿宋简体" w:cs="方正仿宋简体" w:hint="eastAsia"/>
          <w:iCs/>
        </w:rPr>
        <w:t>6</w:t>
      </w:r>
      <w:r>
        <w:rPr>
          <w:rFonts w:ascii="方正仿宋简体" w:eastAsia="方正仿宋简体" w:hAnsi="方正仿宋简体" w:cs="方正仿宋简体" w:hint="eastAsia"/>
          <w:iCs/>
        </w:rPr>
        <w:t>）资产支持证券投资风险；（</w:t>
      </w:r>
      <w:r>
        <w:rPr>
          <w:rFonts w:ascii="方正仿宋简体" w:eastAsia="方正仿宋简体" w:hAnsi="方正仿宋简体" w:cs="方正仿宋简体" w:hint="eastAsia"/>
          <w:iCs/>
        </w:rPr>
        <w:t>7</w:t>
      </w:r>
      <w:r>
        <w:rPr>
          <w:rFonts w:ascii="方正仿宋简体" w:eastAsia="方正仿宋简体" w:hAnsi="方正仿宋简体" w:cs="方正仿宋简体" w:hint="eastAsia"/>
          <w:iCs/>
        </w:rPr>
        <w:t>）投资港股通标的股票的投资风险；（</w:t>
      </w:r>
      <w:r>
        <w:rPr>
          <w:rFonts w:ascii="方正仿宋简体" w:eastAsia="方正仿宋简体" w:hAnsi="方正仿宋简体" w:cs="方正仿宋简体" w:hint="eastAsia"/>
          <w:iCs/>
        </w:rPr>
        <w:t>8</w:t>
      </w:r>
      <w:r>
        <w:rPr>
          <w:rFonts w:ascii="方正仿宋简体" w:eastAsia="方正仿宋简体" w:hAnsi="方正仿宋简体" w:cs="方正仿宋简体" w:hint="eastAsia"/>
          <w:iCs/>
        </w:rPr>
        <w:t>）基金合同</w:t>
      </w:r>
      <w:r>
        <w:rPr>
          <w:rFonts w:ascii="方正仿宋简体" w:eastAsia="方正仿宋简体" w:hAnsi="方正仿宋简体" w:cs="方正仿宋简体" w:hint="eastAsia"/>
          <w:iCs/>
        </w:rPr>
        <w:t>终止的风险。</w:t>
      </w:r>
    </w:p>
    <w:p w:rsidR="00D14374" w:rsidRDefault="00295398">
      <w:pPr>
        <w:spacing w:line="28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rsidR="00D14374" w:rsidRDefault="00D14374">
      <w:pPr>
        <w:autoSpaceDE w:val="0"/>
        <w:autoSpaceDN w:val="0"/>
        <w:adjustRightInd w:val="0"/>
        <w:spacing w:line="280" w:lineRule="exact"/>
        <w:jc w:val="left"/>
        <w:rPr>
          <w:rFonts w:ascii="方正仿宋简体" w:eastAsia="方正仿宋简体"/>
        </w:rPr>
      </w:pPr>
    </w:p>
    <w:p w:rsidR="00D14374" w:rsidRDefault="00295398">
      <w:pPr>
        <w:numPr>
          <w:ilvl w:val="0"/>
          <w:numId w:val="2"/>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w:t>
      </w:r>
      <w:r>
        <w:rPr>
          <w:rFonts w:ascii="方正仿宋简体" w:eastAsia="方正仿宋简体" w:hAnsi="方正仿宋简体" w:cs="方正仿宋简体" w:hint="eastAsia"/>
          <w:iCs/>
        </w:rPr>
        <w:t>https://htamc.htsc.com.cn/</w:t>
      </w:r>
      <w:r>
        <w:rPr>
          <w:rFonts w:ascii="方正仿宋简体" w:eastAsia="方正仿宋简体" w:hAnsi="方正仿宋简体" w:cs="方正仿宋简体" w:hint="eastAsia"/>
          <w:iCs/>
        </w:rPr>
        <w:t>，客服电话：</w:t>
      </w:r>
      <w:r>
        <w:rPr>
          <w:rFonts w:ascii="方正仿宋简体" w:eastAsia="方正仿宋简体" w:hAnsi="方正仿宋简体" w:cs="方正仿宋简体" w:hint="eastAsia"/>
          <w:iCs/>
        </w:rPr>
        <w:t>4008895597</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基金合同、托管协议、招募说明书</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定期</w:t>
      </w:r>
      <w:r>
        <w:rPr>
          <w:rFonts w:ascii="方正仿宋简体" w:eastAsia="方正仿宋简体" w:hAnsi="方正仿宋简体" w:cs="方正仿宋简体" w:hint="eastAsia"/>
          <w:iCs/>
        </w:rPr>
        <w:t>报告，包括基金季度报告、中期报告和年度报告</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基金份额净值</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基金销售机构及联系方式</w:t>
      </w:r>
    </w:p>
    <w:p w:rsidR="00D14374" w:rsidRDefault="0029539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 xml:space="preserve">  </w:t>
      </w:r>
      <w:r>
        <w:rPr>
          <w:rFonts w:ascii="方正仿宋简体" w:eastAsia="方正仿宋简体" w:hAnsi="方正仿宋简体" w:cs="方正仿宋简体" w:hint="eastAsia"/>
          <w:iCs/>
        </w:rPr>
        <w:t>其他重要资料</w:t>
      </w:r>
    </w:p>
    <w:sectPr w:rsidR="00D14374" w:rsidSect="00D1437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74" w:rsidRDefault="00D14374" w:rsidP="00D14374">
      <w:r>
        <w:separator/>
      </w:r>
    </w:p>
  </w:endnote>
  <w:endnote w:type="continuationSeparator" w:id="0">
    <w:p w:rsidR="00D14374" w:rsidRDefault="00D14374" w:rsidP="00D14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751033"/>
      <w:docPartObj>
        <w:docPartGallery w:val="AutoText"/>
      </w:docPartObj>
    </w:sdtPr>
    <w:sdtContent>
      <w:sdt>
        <w:sdtPr>
          <w:id w:val="98381352"/>
          <w:docPartObj>
            <w:docPartGallery w:val="AutoText"/>
          </w:docPartObj>
        </w:sdtPr>
        <w:sdtContent>
          <w:p w:rsidR="00D14374" w:rsidRDefault="00295398">
            <w:pPr>
              <w:pStyle w:val="a9"/>
              <w:jc w:val="center"/>
            </w:pPr>
            <w:r>
              <w:rPr>
                <w:lang w:val="zh-CN"/>
              </w:rPr>
              <w:t xml:space="preserve"> </w:t>
            </w:r>
            <w:r w:rsidR="00D14374">
              <w:rPr>
                <w:b/>
                <w:bCs/>
                <w:sz w:val="24"/>
                <w:szCs w:val="24"/>
              </w:rPr>
              <w:fldChar w:fldCharType="begin"/>
            </w:r>
            <w:r>
              <w:rPr>
                <w:b/>
                <w:bCs/>
              </w:rPr>
              <w:instrText>PAGE</w:instrText>
            </w:r>
            <w:r w:rsidR="00D14374">
              <w:rPr>
                <w:b/>
                <w:bCs/>
                <w:sz w:val="24"/>
                <w:szCs w:val="24"/>
              </w:rPr>
              <w:fldChar w:fldCharType="separate"/>
            </w:r>
            <w:r>
              <w:rPr>
                <w:b/>
                <w:bCs/>
                <w:noProof/>
              </w:rPr>
              <w:t>1</w:t>
            </w:r>
            <w:r w:rsidR="00D14374">
              <w:rPr>
                <w:b/>
                <w:bCs/>
                <w:sz w:val="24"/>
                <w:szCs w:val="24"/>
              </w:rPr>
              <w:fldChar w:fldCharType="end"/>
            </w:r>
            <w:r>
              <w:rPr>
                <w:lang w:val="zh-CN"/>
              </w:rPr>
              <w:t xml:space="preserve"> / </w:t>
            </w:r>
            <w:r w:rsidR="00D14374">
              <w:rPr>
                <w:b/>
                <w:bCs/>
                <w:sz w:val="24"/>
                <w:szCs w:val="24"/>
              </w:rPr>
              <w:fldChar w:fldCharType="begin"/>
            </w:r>
            <w:r>
              <w:rPr>
                <w:b/>
                <w:bCs/>
              </w:rPr>
              <w:instrText>NUMPAGES</w:instrText>
            </w:r>
            <w:r w:rsidR="00D14374">
              <w:rPr>
                <w:b/>
                <w:bCs/>
                <w:sz w:val="24"/>
                <w:szCs w:val="24"/>
              </w:rPr>
              <w:fldChar w:fldCharType="separate"/>
            </w:r>
            <w:r>
              <w:rPr>
                <w:b/>
                <w:bCs/>
                <w:noProof/>
              </w:rPr>
              <w:t>3</w:t>
            </w:r>
            <w:r w:rsidR="00D14374">
              <w:rPr>
                <w:b/>
                <w:bCs/>
                <w:sz w:val="24"/>
                <w:szCs w:val="24"/>
              </w:rPr>
              <w:fldChar w:fldCharType="end"/>
            </w:r>
          </w:p>
        </w:sdtContent>
      </w:sdt>
    </w:sdtContent>
  </w:sdt>
  <w:p w:rsidR="00D14374" w:rsidRDefault="00D143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74" w:rsidRDefault="00D14374" w:rsidP="00D14374">
      <w:r>
        <w:separator/>
      </w:r>
    </w:p>
  </w:footnote>
  <w:footnote w:type="continuationSeparator" w:id="0">
    <w:p w:rsidR="00D14374" w:rsidRDefault="00D14374" w:rsidP="00D14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6C97"/>
    <w:multiLevelType w:val="multilevel"/>
    <w:tmpl w:val="1B716C97"/>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478E6770"/>
    <w:multiLevelType w:val="multilevel"/>
    <w:tmpl w:val="478E6770"/>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C33CF0"/>
    <w:multiLevelType w:val="singleLevel"/>
    <w:tmpl w:val="5AC33CF0"/>
    <w:lvl w:ilvl="0">
      <w:start w:val="1"/>
      <w:numFmt w:val="chineseCounting"/>
      <w:suff w:val="nothing"/>
      <w:lvlText w:val="%1、"/>
      <w:lvlJc w:val="left"/>
      <w:rPr>
        <w:rFonts w:asciiTheme="minorEastAsia" w:eastAsiaTheme="minorEastAsia" w:hAnsiTheme="minorEastAsia"/>
      </w:rPr>
    </w:lvl>
  </w:abstractNum>
  <w:abstractNum w:abstractNumId="3">
    <w:nsid w:val="7D0D3582"/>
    <w:multiLevelType w:val="multilevel"/>
    <w:tmpl w:val="7D0D3582"/>
    <w:lvl w:ilvl="0">
      <w:start w:val="1"/>
      <w:numFmt w:val="chineseCountingThousand"/>
      <w:suff w:val="space"/>
      <w:lvlText w:val="(%1)"/>
      <w:lvlJc w:val="left"/>
      <w:pPr>
        <w:ind w:left="284" w:hanging="284"/>
      </w:pPr>
      <w:rPr>
        <w:rFonts w:asciiTheme="minorEastAsia" w:eastAsia="宋体" w:hAnsiTheme="minorEastAsia"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B3B56"/>
    <w:rsid w:val="00002B50"/>
    <w:rsid w:val="00002F33"/>
    <w:rsid w:val="000034E5"/>
    <w:rsid w:val="00003561"/>
    <w:rsid w:val="000035EA"/>
    <w:rsid w:val="00004180"/>
    <w:rsid w:val="00006EAF"/>
    <w:rsid w:val="0000736D"/>
    <w:rsid w:val="0000782B"/>
    <w:rsid w:val="00010B3E"/>
    <w:rsid w:val="00015DD4"/>
    <w:rsid w:val="00017721"/>
    <w:rsid w:val="00022B9A"/>
    <w:rsid w:val="00024497"/>
    <w:rsid w:val="00024BB1"/>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1BD"/>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0D0F"/>
    <w:rsid w:val="00082C7C"/>
    <w:rsid w:val="00085A7A"/>
    <w:rsid w:val="00086076"/>
    <w:rsid w:val="000862CB"/>
    <w:rsid w:val="00086FAF"/>
    <w:rsid w:val="00087A00"/>
    <w:rsid w:val="00090D03"/>
    <w:rsid w:val="00090E1B"/>
    <w:rsid w:val="00090E7D"/>
    <w:rsid w:val="000915A1"/>
    <w:rsid w:val="00092664"/>
    <w:rsid w:val="0009280C"/>
    <w:rsid w:val="000948A5"/>
    <w:rsid w:val="00095DA1"/>
    <w:rsid w:val="00096ECA"/>
    <w:rsid w:val="000A25FC"/>
    <w:rsid w:val="000A27CB"/>
    <w:rsid w:val="000A4485"/>
    <w:rsid w:val="000A69FE"/>
    <w:rsid w:val="000A6C27"/>
    <w:rsid w:val="000A6E34"/>
    <w:rsid w:val="000A71C1"/>
    <w:rsid w:val="000A7FF9"/>
    <w:rsid w:val="000B672F"/>
    <w:rsid w:val="000C0D50"/>
    <w:rsid w:val="000C3D2A"/>
    <w:rsid w:val="000C3D96"/>
    <w:rsid w:val="000C4A85"/>
    <w:rsid w:val="000C52B6"/>
    <w:rsid w:val="000C63E1"/>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2DA3"/>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377"/>
    <w:rsid w:val="00117831"/>
    <w:rsid w:val="00120454"/>
    <w:rsid w:val="00120E44"/>
    <w:rsid w:val="0012116F"/>
    <w:rsid w:val="00124437"/>
    <w:rsid w:val="0012454F"/>
    <w:rsid w:val="001302B4"/>
    <w:rsid w:val="0013061B"/>
    <w:rsid w:val="00130F4D"/>
    <w:rsid w:val="00132DDC"/>
    <w:rsid w:val="0013367D"/>
    <w:rsid w:val="001351D1"/>
    <w:rsid w:val="00135D07"/>
    <w:rsid w:val="00136038"/>
    <w:rsid w:val="0013609D"/>
    <w:rsid w:val="00137185"/>
    <w:rsid w:val="001373AB"/>
    <w:rsid w:val="0014192C"/>
    <w:rsid w:val="00142D38"/>
    <w:rsid w:val="00142FAC"/>
    <w:rsid w:val="00143189"/>
    <w:rsid w:val="00143519"/>
    <w:rsid w:val="001443DA"/>
    <w:rsid w:val="00144C18"/>
    <w:rsid w:val="001458B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976C2"/>
    <w:rsid w:val="001A28F4"/>
    <w:rsid w:val="001A450C"/>
    <w:rsid w:val="001A45B4"/>
    <w:rsid w:val="001A4E24"/>
    <w:rsid w:val="001A4FC5"/>
    <w:rsid w:val="001A77C2"/>
    <w:rsid w:val="001A7E7C"/>
    <w:rsid w:val="001B2359"/>
    <w:rsid w:val="001B2C1A"/>
    <w:rsid w:val="001B525D"/>
    <w:rsid w:val="001C19CC"/>
    <w:rsid w:val="001C1A3B"/>
    <w:rsid w:val="001C1CAE"/>
    <w:rsid w:val="001C1D13"/>
    <w:rsid w:val="001C1F54"/>
    <w:rsid w:val="001C27FC"/>
    <w:rsid w:val="001C285F"/>
    <w:rsid w:val="001C2C37"/>
    <w:rsid w:val="001C3861"/>
    <w:rsid w:val="001C4114"/>
    <w:rsid w:val="001C44C3"/>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07C8C"/>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1814"/>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6DC3"/>
    <w:rsid w:val="00247F81"/>
    <w:rsid w:val="00250329"/>
    <w:rsid w:val="00250BCA"/>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398"/>
    <w:rsid w:val="002956E1"/>
    <w:rsid w:val="00296495"/>
    <w:rsid w:val="00296A84"/>
    <w:rsid w:val="00296D6A"/>
    <w:rsid w:val="00296F28"/>
    <w:rsid w:val="002A049B"/>
    <w:rsid w:val="002A2023"/>
    <w:rsid w:val="002A25FA"/>
    <w:rsid w:val="002A273F"/>
    <w:rsid w:val="002A29D8"/>
    <w:rsid w:val="002A2FFE"/>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3DF4"/>
    <w:rsid w:val="00355045"/>
    <w:rsid w:val="003553B7"/>
    <w:rsid w:val="0035595E"/>
    <w:rsid w:val="00357BB4"/>
    <w:rsid w:val="00360359"/>
    <w:rsid w:val="00360E9D"/>
    <w:rsid w:val="003616AB"/>
    <w:rsid w:val="00364FA7"/>
    <w:rsid w:val="003665BF"/>
    <w:rsid w:val="003667EC"/>
    <w:rsid w:val="00367E76"/>
    <w:rsid w:val="00367F65"/>
    <w:rsid w:val="00370C84"/>
    <w:rsid w:val="003712CC"/>
    <w:rsid w:val="00373CC2"/>
    <w:rsid w:val="003744FE"/>
    <w:rsid w:val="0037519F"/>
    <w:rsid w:val="00375483"/>
    <w:rsid w:val="003800E8"/>
    <w:rsid w:val="00380B77"/>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C79EE"/>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06A5"/>
    <w:rsid w:val="00411B1E"/>
    <w:rsid w:val="00411C1F"/>
    <w:rsid w:val="00415142"/>
    <w:rsid w:val="00416169"/>
    <w:rsid w:val="00417B28"/>
    <w:rsid w:val="00420623"/>
    <w:rsid w:val="00421441"/>
    <w:rsid w:val="004225D8"/>
    <w:rsid w:val="004241F4"/>
    <w:rsid w:val="00426A9B"/>
    <w:rsid w:val="00430064"/>
    <w:rsid w:val="00430BE8"/>
    <w:rsid w:val="0043184A"/>
    <w:rsid w:val="00432222"/>
    <w:rsid w:val="004324B8"/>
    <w:rsid w:val="004335EC"/>
    <w:rsid w:val="00435F11"/>
    <w:rsid w:val="00437CC4"/>
    <w:rsid w:val="0044078C"/>
    <w:rsid w:val="00440F0C"/>
    <w:rsid w:val="004428A7"/>
    <w:rsid w:val="00443386"/>
    <w:rsid w:val="0044426B"/>
    <w:rsid w:val="00444874"/>
    <w:rsid w:val="0044609F"/>
    <w:rsid w:val="004473DA"/>
    <w:rsid w:val="004504DB"/>
    <w:rsid w:val="0045198C"/>
    <w:rsid w:val="00456164"/>
    <w:rsid w:val="00457457"/>
    <w:rsid w:val="00461408"/>
    <w:rsid w:val="00462FAF"/>
    <w:rsid w:val="00463DA7"/>
    <w:rsid w:val="00464A9D"/>
    <w:rsid w:val="00464C4E"/>
    <w:rsid w:val="00466F82"/>
    <w:rsid w:val="004709CA"/>
    <w:rsid w:val="00470B24"/>
    <w:rsid w:val="0047161C"/>
    <w:rsid w:val="004727B4"/>
    <w:rsid w:val="0047319C"/>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4317"/>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38D4"/>
    <w:rsid w:val="005442A7"/>
    <w:rsid w:val="005445C1"/>
    <w:rsid w:val="00544653"/>
    <w:rsid w:val="00544EBD"/>
    <w:rsid w:val="005451CF"/>
    <w:rsid w:val="00545943"/>
    <w:rsid w:val="00550A83"/>
    <w:rsid w:val="00551F7A"/>
    <w:rsid w:val="0055285B"/>
    <w:rsid w:val="00553DB0"/>
    <w:rsid w:val="005540D2"/>
    <w:rsid w:val="00554969"/>
    <w:rsid w:val="00555C70"/>
    <w:rsid w:val="005610BB"/>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24C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746"/>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0211"/>
    <w:rsid w:val="0062158C"/>
    <w:rsid w:val="006224B1"/>
    <w:rsid w:val="0062290A"/>
    <w:rsid w:val="00623286"/>
    <w:rsid w:val="00627395"/>
    <w:rsid w:val="006273A4"/>
    <w:rsid w:val="0062754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0FD6"/>
    <w:rsid w:val="006613FB"/>
    <w:rsid w:val="0066183D"/>
    <w:rsid w:val="00661D67"/>
    <w:rsid w:val="006633F2"/>
    <w:rsid w:val="00665726"/>
    <w:rsid w:val="006658F5"/>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46F3"/>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8A9"/>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5751"/>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E7ED6"/>
    <w:rsid w:val="007F0E3B"/>
    <w:rsid w:val="007F18C3"/>
    <w:rsid w:val="007F39B7"/>
    <w:rsid w:val="007F3A09"/>
    <w:rsid w:val="007F408E"/>
    <w:rsid w:val="007F4E29"/>
    <w:rsid w:val="007F5E08"/>
    <w:rsid w:val="007F6315"/>
    <w:rsid w:val="007F681B"/>
    <w:rsid w:val="007F746D"/>
    <w:rsid w:val="007F770C"/>
    <w:rsid w:val="00801385"/>
    <w:rsid w:val="008018D1"/>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2D82"/>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0140"/>
    <w:rsid w:val="00872076"/>
    <w:rsid w:val="00872D80"/>
    <w:rsid w:val="0087307E"/>
    <w:rsid w:val="0087384F"/>
    <w:rsid w:val="00873A0F"/>
    <w:rsid w:val="008740C8"/>
    <w:rsid w:val="008745A1"/>
    <w:rsid w:val="008746AF"/>
    <w:rsid w:val="0087523D"/>
    <w:rsid w:val="00877A01"/>
    <w:rsid w:val="0088032D"/>
    <w:rsid w:val="00882A29"/>
    <w:rsid w:val="00882B51"/>
    <w:rsid w:val="00882D76"/>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30AD"/>
    <w:rsid w:val="008D52F5"/>
    <w:rsid w:val="008D530A"/>
    <w:rsid w:val="008D5516"/>
    <w:rsid w:val="008D6FCA"/>
    <w:rsid w:val="008E2637"/>
    <w:rsid w:val="008E29C1"/>
    <w:rsid w:val="008E2D43"/>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2719C"/>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2537"/>
    <w:rsid w:val="009835A3"/>
    <w:rsid w:val="0098360E"/>
    <w:rsid w:val="0098401F"/>
    <w:rsid w:val="00985731"/>
    <w:rsid w:val="00985F4D"/>
    <w:rsid w:val="0098659B"/>
    <w:rsid w:val="00986AD6"/>
    <w:rsid w:val="009918D1"/>
    <w:rsid w:val="00992964"/>
    <w:rsid w:val="009929F9"/>
    <w:rsid w:val="00992A0F"/>
    <w:rsid w:val="0099324A"/>
    <w:rsid w:val="00993300"/>
    <w:rsid w:val="00994BD8"/>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0CF"/>
    <w:rsid w:val="00A25AA8"/>
    <w:rsid w:val="00A26951"/>
    <w:rsid w:val="00A26A19"/>
    <w:rsid w:val="00A27633"/>
    <w:rsid w:val="00A27965"/>
    <w:rsid w:val="00A279C5"/>
    <w:rsid w:val="00A30DB2"/>
    <w:rsid w:val="00A3100B"/>
    <w:rsid w:val="00A311A1"/>
    <w:rsid w:val="00A334CE"/>
    <w:rsid w:val="00A349DB"/>
    <w:rsid w:val="00A3547E"/>
    <w:rsid w:val="00A35D14"/>
    <w:rsid w:val="00A360E1"/>
    <w:rsid w:val="00A36164"/>
    <w:rsid w:val="00A37F4C"/>
    <w:rsid w:val="00A40113"/>
    <w:rsid w:val="00A402F8"/>
    <w:rsid w:val="00A4045A"/>
    <w:rsid w:val="00A439D0"/>
    <w:rsid w:val="00A47F72"/>
    <w:rsid w:val="00A501A7"/>
    <w:rsid w:val="00A52357"/>
    <w:rsid w:val="00A548E9"/>
    <w:rsid w:val="00A54A0E"/>
    <w:rsid w:val="00A54C47"/>
    <w:rsid w:val="00A5561A"/>
    <w:rsid w:val="00A575FB"/>
    <w:rsid w:val="00A57C38"/>
    <w:rsid w:val="00A57E77"/>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0F53"/>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062EB"/>
    <w:rsid w:val="00B11286"/>
    <w:rsid w:val="00B112AA"/>
    <w:rsid w:val="00B11D50"/>
    <w:rsid w:val="00B14481"/>
    <w:rsid w:val="00B144F1"/>
    <w:rsid w:val="00B1459C"/>
    <w:rsid w:val="00B1543B"/>
    <w:rsid w:val="00B15934"/>
    <w:rsid w:val="00B159E0"/>
    <w:rsid w:val="00B168B6"/>
    <w:rsid w:val="00B1724A"/>
    <w:rsid w:val="00B203D1"/>
    <w:rsid w:val="00B21143"/>
    <w:rsid w:val="00B21547"/>
    <w:rsid w:val="00B225EC"/>
    <w:rsid w:val="00B22B29"/>
    <w:rsid w:val="00B239BA"/>
    <w:rsid w:val="00B24261"/>
    <w:rsid w:val="00B27817"/>
    <w:rsid w:val="00B31ADA"/>
    <w:rsid w:val="00B356AC"/>
    <w:rsid w:val="00B35DAE"/>
    <w:rsid w:val="00B36345"/>
    <w:rsid w:val="00B36D86"/>
    <w:rsid w:val="00B37438"/>
    <w:rsid w:val="00B378D7"/>
    <w:rsid w:val="00B40E28"/>
    <w:rsid w:val="00B41624"/>
    <w:rsid w:val="00B41FE0"/>
    <w:rsid w:val="00B43F8A"/>
    <w:rsid w:val="00B440BC"/>
    <w:rsid w:val="00B44349"/>
    <w:rsid w:val="00B44E81"/>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1AC6"/>
    <w:rsid w:val="00B73113"/>
    <w:rsid w:val="00B745AF"/>
    <w:rsid w:val="00B74FD3"/>
    <w:rsid w:val="00B75F7F"/>
    <w:rsid w:val="00B768A1"/>
    <w:rsid w:val="00B7723A"/>
    <w:rsid w:val="00B772F7"/>
    <w:rsid w:val="00B7751D"/>
    <w:rsid w:val="00B82250"/>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481"/>
    <w:rsid w:val="00C45AE3"/>
    <w:rsid w:val="00C4751F"/>
    <w:rsid w:val="00C52A45"/>
    <w:rsid w:val="00C53411"/>
    <w:rsid w:val="00C534C0"/>
    <w:rsid w:val="00C53B80"/>
    <w:rsid w:val="00C545FA"/>
    <w:rsid w:val="00C550AE"/>
    <w:rsid w:val="00C56134"/>
    <w:rsid w:val="00C57D41"/>
    <w:rsid w:val="00C61DF9"/>
    <w:rsid w:val="00C62787"/>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B76CC"/>
    <w:rsid w:val="00CC0392"/>
    <w:rsid w:val="00CC190C"/>
    <w:rsid w:val="00CC1C37"/>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44D"/>
    <w:rsid w:val="00CE4FAE"/>
    <w:rsid w:val="00CE595D"/>
    <w:rsid w:val="00CE5CD6"/>
    <w:rsid w:val="00CE741D"/>
    <w:rsid w:val="00CE7ABF"/>
    <w:rsid w:val="00CF0045"/>
    <w:rsid w:val="00CF0936"/>
    <w:rsid w:val="00CF104E"/>
    <w:rsid w:val="00CF233D"/>
    <w:rsid w:val="00CF3DA5"/>
    <w:rsid w:val="00CF402B"/>
    <w:rsid w:val="00CF7070"/>
    <w:rsid w:val="00CF7633"/>
    <w:rsid w:val="00D0006F"/>
    <w:rsid w:val="00D00527"/>
    <w:rsid w:val="00D00C0F"/>
    <w:rsid w:val="00D0300D"/>
    <w:rsid w:val="00D042C4"/>
    <w:rsid w:val="00D043B7"/>
    <w:rsid w:val="00D046CD"/>
    <w:rsid w:val="00D04B2B"/>
    <w:rsid w:val="00D04CC3"/>
    <w:rsid w:val="00D05F43"/>
    <w:rsid w:val="00D07CAA"/>
    <w:rsid w:val="00D14374"/>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37892"/>
    <w:rsid w:val="00D40828"/>
    <w:rsid w:val="00D41D4A"/>
    <w:rsid w:val="00D41FD6"/>
    <w:rsid w:val="00D4205B"/>
    <w:rsid w:val="00D44B3A"/>
    <w:rsid w:val="00D455B1"/>
    <w:rsid w:val="00D4626F"/>
    <w:rsid w:val="00D46D01"/>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2B4"/>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6C7"/>
    <w:rsid w:val="00E20807"/>
    <w:rsid w:val="00E20E8F"/>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60A2"/>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26F"/>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2FB2"/>
    <w:rsid w:val="00F151FE"/>
    <w:rsid w:val="00F1556D"/>
    <w:rsid w:val="00F15D79"/>
    <w:rsid w:val="00F1678D"/>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4FC3"/>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B7FFC"/>
    <w:rsid w:val="00FC1174"/>
    <w:rsid w:val="00FC2F24"/>
    <w:rsid w:val="00FC455F"/>
    <w:rsid w:val="00FC53C5"/>
    <w:rsid w:val="00FC715E"/>
    <w:rsid w:val="00FC7891"/>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0733"/>
    <w:rsid w:val="00FE0B12"/>
    <w:rsid w:val="00FE681A"/>
    <w:rsid w:val="00FF13E8"/>
    <w:rsid w:val="00FF1656"/>
    <w:rsid w:val="00FF25D4"/>
    <w:rsid w:val="00FF4D13"/>
    <w:rsid w:val="00FF6A3D"/>
    <w:rsid w:val="1F3E13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14374"/>
    <w:pPr>
      <w:widowControl w:val="0"/>
      <w:jc w:val="both"/>
    </w:pPr>
    <w:rPr>
      <w:kern w:val="2"/>
      <w:sz w:val="21"/>
      <w:szCs w:val="21"/>
    </w:rPr>
  </w:style>
  <w:style w:type="paragraph" w:styleId="1">
    <w:name w:val="heading 1"/>
    <w:basedOn w:val="a4"/>
    <w:next w:val="a4"/>
    <w:link w:val="1Char"/>
    <w:uiPriority w:val="9"/>
    <w:qFormat/>
    <w:rsid w:val="00D14374"/>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Char"/>
    <w:uiPriority w:val="99"/>
    <w:semiHidden/>
    <w:unhideWhenUsed/>
    <w:rsid w:val="00D14374"/>
    <w:rPr>
      <w:sz w:val="18"/>
      <w:szCs w:val="18"/>
    </w:rPr>
  </w:style>
  <w:style w:type="paragraph" w:styleId="a9">
    <w:name w:val="footer"/>
    <w:basedOn w:val="a4"/>
    <w:link w:val="Char0"/>
    <w:uiPriority w:val="99"/>
    <w:unhideWhenUsed/>
    <w:rsid w:val="00D14374"/>
    <w:pPr>
      <w:tabs>
        <w:tab w:val="center" w:pos="4153"/>
        <w:tab w:val="right" w:pos="8306"/>
      </w:tabs>
      <w:snapToGrid w:val="0"/>
      <w:jc w:val="left"/>
    </w:pPr>
    <w:rPr>
      <w:sz w:val="18"/>
      <w:szCs w:val="18"/>
    </w:rPr>
  </w:style>
  <w:style w:type="paragraph" w:styleId="aa">
    <w:name w:val="header"/>
    <w:basedOn w:val="a4"/>
    <w:link w:val="Char1"/>
    <w:uiPriority w:val="99"/>
    <w:unhideWhenUsed/>
    <w:rsid w:val="00D14374"/>
    <w:pPr>
      <w:pBdr>
        <w:bottom w:val="single" w:sz="6" w:space="1" w:color="auto"/>
      </w:pBdr>
      <w:tabs>
        <w:tab w:val="center" w:pos="4153"/>
        <w:tab w:val="right" w:pos="8306"/>
      </w:tabs>
      <w:snapToGrid w:val="0"/>
      <w:jc w:val="center"/>
    </w:pPr>
    <w:rPr>
      <w:sz w:val="18"/>
      <w:szCs w:val="18"/>
    </w:rPr>
  </w:style>
  <w:style w:type="paragraph" w:styleId="ab">
    <w:name w:val="footnote text"/>
    <w:basedOn w:val="a4"/>
    <w:link w:val="Char2"/>
    <w:unhideWhenUsed/>
    <w:qFormat/>
    <w:rsid w:val="00D14374"/>
    <w:pPr>
      <w:snapToGrid w:val="0"/>
      <w:jc w:val="left"/>
    </w:pPr>
    <w:rPr>
      <w:rFonts w:ascii="Calibri" w:eastAsia="宋体" w:hAnsi="Calibri" w:cs="Times New Roman"/>
      <w:sz w:val="18"/>
      <w:szCs w:val="24"/>
    </w:rPr>
  </w:style>
  <w:style w:type="table" w:styleId="ac">
    <w:name w:val="Table Grid"/>
    <w:basedOn w:val="a6"/>
    <w:uiPriority w:val="59"/>
    <w:rsid w:val="00D14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nhideWhenUsed/>
    <w:qFormat/>
    <w:rsid w:val="00D14374"/>
    <w:rPr>
      <w:rFonts w:ascii="Times New Roman" w:eastAsia="宋体" w:hAnsi="Times New Roman" w:cs="Times New Roman"/>
      <w:vertAlign w:val="superscript"/>
    </w:rPr>
  </w:style>
  <w:style w:type="paragraph" w:customStyle="1" w:styleId="a">
    <w:name w:val="一级"/>
    <w:basedOn w:val="ae"/>
    <w:qFormat/>
    <w:rsid w:val="00D14374"/>
    <w:pPr>
      <w:numPr>
        <w:numId w:val="1"/>
      </w:numPr>
      <w:spacing w:line="360" w:lineRule="auto"/>
      <w:ind w:firstLineChars="0" w:firstLine="0"/>
      <w:jc w:val="center"/>
    </w:pPr>
    <w:rPr>
      <w:b/>
      <w:sz w:val="28"/>
    </w:rPr>
  </w:style>
  <w:style w:type="paragraph" w:styleId="ae">
    <w:name w:val="List Paragraph"/>
    <w:basedOn w:val="a4"/>
    <w:uiPriority w:val="34"/>
    <w:qFormat/>
    <w:rsid w:val="00D14374"/>
    <w:pPr>
      <w:ind w:firstLineChars="200" w:firstLine="420"/>
    </w:pPr>
  </w:style>
  <w:style w:type="paragraph" w:customStyle="1" w:styleId="a0">
    <w:name w:val="二级"/>
    <w:basedOn w:val="ae"/>
    <w:qFormat/>
    <w:rsid w:val="00D14374"/>
    <w:pPr>
      <w:numPr>
        <w:ilvl w:val="1"/>
        <w:numId w:val="1"/>
      </w:numPr>
      <w:ind w:firstLineChars="0" w:firstLine="0"/>
    </w:pPr>
    <w:rPr>
      <w:b/>
      <w:sz w:val="28"/>
    </w:rPr>
  </w:style>
  <w:style w:type="paragraph" w:customStyle="1" w:styleId="a1">
    <w:name w:val="三级"/>
    <w:basedOn w:val="ae"/>
    <w:qFormat/>
    <w:rsid w:val="00D14374"/>
    <w:pPr>
      <w:numPr>
        <w:ilvl w:val="2"/>
        <w:numId w:val="1"/>
      </w:numPr>
      <w:ind w:firstLineChars="0" w:firstLine="0"/>
    </w:pPr>
    <w:rPr>
      <w:b/>
      <w:sz w:val="28"/>
    </w:rPr>
  </w:style>
  <w:style w:type="paragraph" w:customStyle="1" w:styleId="a2">
    <w:name w:val="四级"/>
    <w:basedOn w:val="a1"/>
    <w:qFormat/>
    <w:rsid w:val="00D14374"/>
    <w:pPr>
      <w:numPr>
        <w:ilvl w:val="3"/>
      </w:numPr>
    </w:pPr>
  </w:style>
  <w:style w:type="paragraph" w:customStyle="1" w:styleId="a3">
    <w:name w:val="五级"/>
    <w:basedOn w:val="a2"/>
    <w:qFormat/>
    <w:rsid w:val="00D14374"/>
    <w:pPr>
      <w:numPr>
        <w:ilvl w:val="4"/>
      </w:numPr>
    </w:pPr>
    <w:rPr>
      <w:sz w:val="24"/>
    </w:rPr>
  </w:style>
  <w:style w:type="character" w:customStyle="1" w:styleId="Char1">
    <w:name w:val="页眉 Char"/>
    <w:basedOn w:val="a5"/>
    <w:link w:val="aa"/>
    <w:uiPriority w:val="99"/>
    <w:rsid w:val="00D14374"/>
    <w:rPr>
      <w:sz w:val="18"/>
      <w:szCs w:val="18"/>
    </w:rPr>
  </w:style>
  <w:style w:type="character" w:customStyle="1" w:styleId="Char0">
    <w:name w:val="页脚 Char"/>
    <w:basedOn w:val="a5"/>
    <w:link w:val="a9"/>
    <w:uiPriority w:val="99"/>
    <w:rsid w:val="00D14374"/>
    <w:rPr>
      <w:sz w:val="18"/>
      <w:szCs w:val="18"/>
    </w:rPr>
  </w:style>
  <w:style w:type="character" w:customStyle="1" w:styleId="Char">
    <w:name w:val="批注框文本 Char"/>
    <w:basedOn w:val="a5"/>
    <w:link w:val="a8"/>
    <w:uiPriority w:val="99"/>
    <w:semiHidden/>
    <w:rsid w:val="00D14374"/>
    <w:rPr>
      <w:sz w:val="18"/>
      <w:szCs w:val="18"/>
    </w:rPr>
  </w:style>
  <w:style w:type="character" w:styleId="af">
    <w:name w:val="Placeholder Text"/>
    <w:basedOn w:val="a5"/>
    <w:uiPriority w:val="99"/>
    <w:semiHidden/>
    <w:rsid w:val="00D14374"/>
    <w:rPr>
      <w:color w:val="808080"/>
    </w:rPr>
  </w:style>
  <w:style w:type="character" w:customStyle="1" w:styleId="Char2">
    <w:name w:val="脚注文本 Char"/>
    <w:basedOn w:val="a5"/>
    <w:link w:val="ab"/>
    <w:qFormat/>
    <w:rsid w:val="00D14374"/>
    <w:rPr>
      <w:rFonts w:ascii="Calibri" w:eastAsia="宋体" w:hAnsi="Calibri" w:cs="Times New Roman"/>
      <w:sz w:val="18"/>
      <w:szCs w:val="24"/>
    </w:rPr>
  </w:style>
  <w:style w:type="character" w:customStyle="1" w:styleId="1Char">
    <w:name w:val="标题 1 Char"/>
    <w:basedOn w:val="a5"/>
    <w:link w:val="1"/>
    <w:uiPriority w:val="9"/>
    <w:rsid w:val="00D14374"/>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A0963-C10C-4A60-86E5-6612C8BE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2295</Characters>
  <Application>Microsoft Office Word</Application>
  <DocSecurity>4</DocSecurity>
  <Lines>19</Lines>
  <Paragraphs>5</Paragraphs>
  <ScaleCrop>false</ScaleCrop>
  <Company>shenduxitong</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ZHONGM</cp:lastModifiedBy>
  <cp:revision>2</cp:revision>
  <dcterms:created xsi:type="dcterms:W3CDTF">2024-02-07T16:00:00Z</dcterms:created>
  <dcterms:modified xsi:type="dcterms:W3CDTF">2024-02-07T16:00:00Z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