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D6" w:rsidRDefault="007E7ED6">
      <w:pPr>
        <w:autoSpaceDE w:val="0"/>
        <w:autoSpaceDN w:val="0"/>
        <w:adjustRightInd w:val="0"/>
        <w:jc w:val="center"/>
        <w:rPr>
          <w:rFonts w:ascii="方正仿宋简体" w:eastAsia="方正仿宋简体" w:hAnsiTheme="minorEastAsia" w:cs="仿宋_GB2312"/>
          <w:kern w:val="0"/>
          <w:sz w:val="36"/>
          <w:szCs w:val="36"/>
        </w:rPr>
      </w:pPr>
    </w:p>
    <w:p w:rsidR="00D64F08" w:rsidRDefault="00B203D1">
      <w:pPr>
        <w:autoSpaceDE w:val="0"/>
        <w:autoSpaceDN w:val="0"/>
        <w:adjustRightInd w:val="0"/>
        <w:jc w:val="center"/>
        <w:rPr>
          <w:rFonts w:ascii="方正仿宋简体" w:eastAsia="方正仿宋简体" w:hAnsiTheme="minorEastAsia" w:cs="仿宋_GB2312"/>
          <w:kern w:val="0"/>
          <w:sz w:val="36"/>
          <w:szCs w:val="36"/>
        </w:rPr>
      </w:pPr>
      <w:r>
        <w:rPr>
          <w:rFonts w:ascii="方正仿宋简体" w:eastAsia="方正仿宋简体" w:hAnsiTheme="minorEastAsia" w:cs="仿宋_GB2312" w:hint="eastAsia"/>
          <w:kern w:val="0"/>
          <w:sz w:val="36"/>
          <w:szCs w:val="36"/>
        </w:rPr>
        <w:t>华泰紫金智盈债券型证券投资基金</w:t>
      </w:r>
    </w:p>
    <w:p w:rsidR="007E7ED6" w:rsidRDefault="00B203D1">
      <w:pPr>
        <w:autoSpaceDE w:val="0"/>
        <w:autoSpaceDN w:val="0"/>
        <w:adjustRightInd w:val="0"/>
        <w:jc w:val="center"/>
        <w:rPr>
          <w:rFonts w:ascii="方正仿宋简体" w:eastAsia="方正仿宋简体" w:hAnsiTheme="minorEastAsia" w:cs="仿宋_GB2312"/>
          <w:kern w:val="0"/>
          <w:sz w:val="36"/>
          <w:szCs w:val="36"/>
        </w:rPr>
      </w:pPr>
      <w:r>
        <w:rPr>
          <w:rFonts w:ascii="方正仿宋简体" w:eastAsia="方正仿宋简体" w:hAnsiTheme="minorEastAsia" w:cs="仿宋_GB2312" w:hint="eastAsia"/>
          <w:kern w:val="0"/>
          <w:sz w:val="36"/>
          <w:szCs w:val="36"/>
        </w:rPr>
        <w:t>基金产品资料概要更新</w:t>
      </w:r>
    </w:p>
    <w:p w:rsidR="007E7ED6" w:rsidRDefault="00B203D1" w:rsidP="00EC37DB">
      <w:pPr>
        <w:autoSpaceDE w:val="0"/>
        <w:autoSpaceDN w:val="0"/>
        <w:adjustRightInd w:val="0"/>
        <w:jc w:val="center"/>
        <w:rPr>
          <w:rFonts w:ascii="方正仿宋简体" w:eastAsia="方正仿宋简体" w:hAnsi="方正仿宋简体" w:cs="方正仿宋简体"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iCs/>
          <w:sz w:val="24"/>
          <w:szCs w:val="24"/>
        </w:rPr>
        <w:t>编制日期：2024年1月24日</w:t>
      </w:r>
    </w:p>
    <w:p w:rsidR="007E7ED6" w:rsidRDefault="00B203D1">
      <w:pPr>
        <w:autoSpaceDE w:val="0"/>
        <w:autoSpaceDN w:val="0"/>
        <w:adjustRightInd w:val="0"/>
        <w:jc w:val="center"/>
        <w:rPr>
          <w:rFonts w:ascii="方正仿宋简体" w:eastAsia="方正仿宋简体" w:hAnsi="方正仿宋简体" w:cs="方正仿宋简体"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iCs/>
          <w:sz w:val="24"/>
          <w:szCs w:val="24"/>
        </w:rPr>
        <w:t>送出日</w:t>
      </w:r>
      <w:bookmarkStart w:id="0" w:name="_GoBack"/>
      <w:bookmarkEnd w:id="0"/>
      <w:r>
        <w:rPr>
          <w:rFonts w:ascii="方正仿宋简体" w:eastAsia="方正仿宋简体" w:hAnsi="方正仿宋简体" w:cs="方正仿宋简体" w:hint="eastAsia"/>
          <w:iCs/>
          <w:sz w:val="24"/>
          <w:szCs w:val="24"/>
        </w:rPr>
        <w:t>期：2024年2月8日</w:t>
      </w:r>
    </w:p>
    <w:p w:rsidR="007E7ED6" w:rsidRDefault="00B203D1">
      <w:pPr>
        <w:autoSpaceDE w:val="0"/>
        <w:autoSpaceDN w:val="0"/>
        <w:adjustRightInd w:val="0"/>
        <w:spacing w:line="380" w:lineRule="exact"/>
        <w:jc w:val="left"/>
        <w:rPr>
          <w:rFonts w:ascii="方正黑体简体" w:eastAsia="方正黑体简体" w:cs="黑体"/>
          <w:kern w:val="0"/>
          <w:sz w:val="32"/>
          <w:szCs w:val="32"/>
        </w:rPr>
      </w:pPr>
      <w:r>
        <w:rPr>
          <w:rFonts w:ascii="方正黑体简体" w:eastAsia="方正黑体简体" w:cs="黑体" w:hint="eastAsia"/>
          <w:kern w:val="0"/>
          <w:sz w:val="32"/>
          <w:szCs w:val="32"/>
        </w:rPr>
        <w:t>本概要提供本基金的重要信息，是招募说明书的一部分。</w:t>
      </w:r>
    </w:p>
    <w:p w:rsidR="007E7ED6" w:rsidRDefault="00B203D1">
      <w:pPr>
        <w:autoSpaceDE w:val="0"/>
        <w:autoSpaceDN w:val="0"/>
        <w:adjustRightInd w:val="0"/>
        <w:spacing w:line="380" w:lineRule="exact"/>
        <w:jc w:val="left"/>
        <w:rPr>
          <w:rFonts w:ascii="方正黑体简体" w:eastAsia="方正黑体简体" w:cs="黑体"/>
          <w:kern w:val="0"/>
          <w:sz w:val="32"/>
          <w:szCs w:val="32"/>
        </w:rPr>
      </w:pPr>
      <w:r>
        <w:rPr>
          <w:rFonts w:ascii="方正黑体简体" w:eastAsia="方正黑体简体" w:cs="黑体" w:hint="eastAsia"/>
          <w:kern w:val="0"/>
          <w:sz w:val="32"/>
          <w:szCs w:val="32"/>
        </w:rPr>
        <w:t>作出投资决定前，请阅读完整的招募说明书等销售文件。</w:t>
      </w:r>
    </w:p>
    <w:p w:rsidR="007E7ED6" w:rsidRDefault="00B203D1">
      <w:pPr>
        <w:numPr>
          <w:ilvl w:val="0"/>
          <w:numId w:val="10"/>
        </w:numPr>
        <w:spacing w:line="280" w:lineRule="exact"/>
        <w:outlineLvl w:val="0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产品概况</w:t>
      </w: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  <w:insideH w:val="dashSmallGap" w:sz="4" w:space="0" w:color="A6A6A6" w:themeColor="background1" w:themeShade="A6"/>
          <w:insideV w:val="none" w:sz="0" w:space="0" w:color="auto"/>
        </w:tblBorders>
        <w:tblLayout w:type="fixed"/>
        <w:tblLook w:val="04A0"/>
      </w:tblPr>
      <w:tblGrid>
        <w:gridCol w:w="1952"/>
        <w:gridCol w:w="2408"/>
        <w:gridCol w:w="1703"/>
        <w:gridCol w:w="2459"/>
      </w:tblGrid>
      <w:tr w:rsidR="007E7ED6" w:rsidTr="00584DC5">
        <w:trPr>
          <w:trHeight w:val="454"/>
        </w:trPr>
        <w:tc>
          <w:tcPr>
            <w:tcW w:w="1145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基金简称</w:t>
            </w:r>
          </w:p>
        </w:tc>
        <w:tc>
          <w:tcPr>
            <w:tcW w:w="1413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华泰紫金智盈债券</w:t>
            </w:r>
          </w:p>
        </w:tc>
        <w:tc>
          <w:tcPr>
            <w:tcW w:w="999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基金代码</w:t>
            </w:r>
          </w:p>
        </w:tc>
        <w:tc>
          <w:tcPr>
            <w:tcW w:w="1443" w:type="pct"/>
            <w:tcBorders>
              <w:bottom w:val="dashSmallGap" w:sz="4" w:space="0" w:color="A6A6A6" w:themeColor="background1" w:themeShade="A6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005467</w:t>
            </w:r>
          </w:p>
        </w:tc>
      </w:tr>
      <w:tr w:rsidR="007E7ED6" w:rsidTr="00584DC5">
        <w:trPr>
          <w:trHeight w:val="150"/>
        </w:trPr>
        <w:tc>
          <w:tcPr>
            <w:tcW w:w="1145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下属基金简称</w:t>
            </w:r>
          </w:p>
        </w:tc>
        <w:tc>
          <w:tcPr>
            <w:tcW w:w="1413" w:type="pct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/>
                <w:iCs/>
              </w:rPr>
              <w:t>华泰紫金智盈债券A</w:t>
            </w:r>
          </w:p>
        </w:tc>
        <w:tc>
          <w:tcPr>
            <w:tcW w:w="999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下属基金代码</w:t>
            </w:r>
          </w:p>
        </w:tc>
        <w:tc>
          <w:tcPr>
            <w:tcW w:w="1443" w:type="pct"/>
            <w:tcBorders>
              <w:top w:val="dashSmallGap" w:sz="4" w:space="0" w:color="A6A6A6" w:themeColor="background1" w:themeShade="A6"/>
              <w:bottom w:val="nil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005467</w:t>
            </w:r>
          </w:p>
        </w:tc>
      </w:tr>
      <w:tr w:rsidR="007E7ED6" w:rsidTr="00584DC5">
        <w:trPr>
          <w:trHeight w:val="150"/>
        </w:trPr>
        <w:tc>
          <w:tcPr>
            <w:tcW w:w="1145" w:type="pct"/>
            <w:vMerge/>
            <w:vAlign w:val="center"/>
          </w:tcPr>
          <w:p w:rsidR="007E7ED6" w:rsidRDefault="007E7ED6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</w:p>
        </w:tc>
        <w:tc>
          <w:tcPr>
            <w:tcW w:w="1413" w:type="pct"/>
            <w:vMerge w:val="restart"/>
            <w:tcBorders>
              <w:top w:val="nil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/>
                <w:iCs/>
              </w:rPr>
              <w:t>华泰紫金智盈债券C</w:t>
            </w:r>
          </w:p>
        </w:tc>
        <w:tc>
          <w:tcPr>
            <w:tcW w:w="999" w:type="pct"/>
            <w:vMerge/>
            <w:vAlign w:val="center"/>
          </w:tcPr>
          <w:p w:rsidR="007E7ED6" w:rsidRDefault="007E7ED6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</w:p>
        </w:tc>
        <w:tc>
          <w:tcPr>
            <w:tcW w:w="1443" w:type="pct"/>
            <w:tcBorders>
              <w:top w:val="nil"/>
              <w:bottom w:val="nil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005468</w:t>
            </w:r>
          </w:p>
        </w:tc>
      </w:tr>
      <w:tr w:rsidR="007E7ED6" w:rsidTr="005F360D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基金管理人</w:t>
            </w:r>
          </w:p>
        </w:tc>
        <w:tc>
          <w:tcPr>
            <w:tcW w:w="1413" w:type="pct"/>
            <w:tcBorders>
              <w:top w:val="dashSmallGap" w:sz="4" w:space="0" w:color="A6A6A6" w:themeColor="background1" w:themeShade="A6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华泰证券（上海）资产管理有限公司</w:t>
            </w:r>
          </w:p>
        </w:tc>
        <w:tc>
          <w:tcPr>
            <w:tcW w:w="999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基金托管人</w:t>
            </w:r>
          </w:p>
        </w:tc>
        <w:tc>
          <w:tcPr>
            <w:tcW w:w="1443" w:type="pct"/>
            <w:tcBorders>
              <w:top w:val="dashSmallGap" w:sz="4" w:space="0" w:color="A6A6A6" w:themeColor="background1" w:themeShade="A6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 xml:space="preserve">中国建设银行股份有限公司 </w:t>
            </w:r>
          </w:p>
        </w:tc>
      </w:tr>
      <w:tr w:rsidR="007E7ED6" w:rsidTr="005F360D">
        <w:trPr>
          <w:trHeight w:val="454"/>
        </w:trPr>
        <w:tc>
          <w:tcPr>
            <w:tcW w:w="1145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基金合同生效日</w:t>
            </w:r>
          </w:p>
        </w:tc>
        <w:tc>
          <w:tcPr>
            <w:tcW w:w="1413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2018-03-15</w:t>
            </w:r>
          </w:p>
        </w:tc>
        <w:tc>
          <w:tcPr>
            <w:tcW w:w="999" w:type="pct"/>
            <w:vMerge w:val="restart"/>
            <w:vAlign w:val="center"/>
          </w:tcPr>
          <w:p w:rsidR="007E7ED6" w:rsidRDefault="007E7ED6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</w:p>
        </w:tc>
        <w:tc>
          <w:tcPr>
            <w:tcW w:w="1443" w:type="pct"/>
            <w:tcBorders>
              <w:top w:val="dashSmallGap" w:sz="4" w:space="0" w:color="A6A6A6" w:themeColor="background1" w:themeShade="A6"/>
              <w:bottom w:val="nil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 xml:space="preserve"> </w:t>
            </w:r>
          </w:p>
        </w:tc>
      </w:tr>
      <w:tr w:rsidR="007E7ED6" w:rsidTr="005F360D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基金类型</w:t>
            </w:r>
          </w:p>
        </w:tc>
        <w:tc>
          <w:tcPr>
            <w:tcW w:w="1413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债券型</w:t>
            </w:r>
          </w:p>
        </w:tc>
        <w:tc>
          <w:tcPr>
            <w:tcW w:w="999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交易币种</w:t>
            </w:r>
          </w:p>
        </w:tc>
        <w:tc>
          <w:tcPr>
            <w:tcW w:w="1443" w:type="pct"/>
            <w:tcBorders>
              <w:top w:val="dashSmallGap" w:sz="4" w:space="0" w:color="A6A6A6" w:themeColor="background1" w:themeShade="A6"/>
            </w:tcBorders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人民币</w:t>
            </w:r>
          </w:p>
        </w:tc>
      </w:tr>
      <w:tr w:rsidR="007E7ED6" w:rsidTr="005F360D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运作方式</w:t>
            </w:r>
          </w:p>
        </w:tc>
        <w:tc>
          <w:tcPr>
            <w:tcW w:w="1413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普通开放式</w:t>
            </w:r>
          </w:p>
        </w:tc>
        <w:tc>
          <w:tcPr>
            <w:tcW w:w="999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开放频率</w:t>
            </w:r>
          </w:p>
        </w:tc>
        <w:tc>
          <w:tcPr>
            <w:tcW w:w="1443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每个开放日</w:t>
            </w:r>
          </w:p>
        </w:tc>
      </w:tr>
      <w:tr w:rsidR="007E7ED6" w:rsidTr="005F360D">
        <w:trPr>
          <w:trHeight w:val="454"/>
        </w:trPr>
        <w:tc>
          <w:tcPr>
            <w:tcW w:w="1145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基金经理</w:t>
            </w:r>
          </w:p>
        </w:tc>
        <w:tc>
          <w:tcPr>
            <w:tcW w:w="1413" w:type="pct"/>
            <w:vMerge w:val="restar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/>
                <w:iCs/>
              </w:rPr>
              <w:t>李博良</w:t>
            </w:r>
          </w:p>
        </w:tc>
        <w:tc>
          <w:tcPr>
            <w:tcW w:w="999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开始担任本基金基金经理的日期</w:t>
            </w:r>
          </w:p>
        </w:tc>
        <w:tc>
          <w:tcPr>
            <w:tcW w:w="1443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/>
                <w:iCs/>
              </w:rPr>
              <w:t>2018-03-15</w:t>
            </w:r>
          </w:p>
        </w:tc>
      </w:tr>
      <w:tr w:rsidR="007E7ED6" w:rsidTr="005F360D">
        <w:trPr>
          <w:trHeight w:val="454"/>
        </w:trPr>
        <w:tc>
          <w:tcPr>
            <w:tcW w:w="1145" w:type="pct"/>
            <w:vMerge/>
            <w:vAlign w:val="center"/>
          </w:tcPr>
          <w:p w:rsidR="007E7ED6" w:rsidRDefault="007E7ED6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</w:p>
        </w:tc>
        <w:tc>
          <w:tcPr>
            <w:tcW w:w="1413" w:type="pct"/>
            <w:vMerge/>
            <w:vAlign w:val="center"/>
          </w:tcPr>
          <w:p w:rsidR="007E7ED6" w:rsidRDefault="007E7ED6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</w:p>
        </w:tc>
        <w:tc>
          <w:tcPr>
            <w:tcW w:w="999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iCs/>
              </w:rPr>
              <w:t>证券从业日期</w:t>
            </w:r>
          </w:p>
        </w:tc>
        <w:tc>
          <w:tcPr>
            <w:tcW w:w="1443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iCs/>
              </w:rPr>
              <w:t>2013-07-22</w:t>
            </w:r>
          </w:p>
        </w:tc>
      </w:tr>
    </w:tbl>
    <w:p w:rsidR="007E7ED6" w:rsidRDefault="007E7ED6">
      <w:pPr>
        <w:spacing w:line="280" w:lineRule="exact"/>
        <w:rPr>
          <w:rFonts w:ascii="方正仿宋简体" w:eastAsia="方正仿宋简体" w:hAnsiTheme="minorEastAsia" w:cs="仿宋_GB2312"/>
          <w:b/>
          <w:kern w:val="0"/>
          <w:szCs w:val="24"/>
        </w:rPr>
      </w:pPr>
    </w:p>
    <w:p w:rsidR="007E7ED6" w:rsidRDefault="00B203D1">
      <w:pPr>
        <w:numPr>
          <w:ilvl w:val="0"/>
          <w:numId w:val="10"/>
        </w:numPr>
        <w:spacing w:line="280" w:lineRule="exact"/>
        <w:outlineLvl w:val="0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基金投资与净值表现</w:t>
      </w:r>
    </w:p>
    <w:p w:rsidR="007E7ED6" w:rsidRDefault="00B203D1">
      <w:pPr>
        <w:pStyle w:val="a8"/>
        <w:numPr>
          <w:ilvl w:val="0"/>
          <w:numId w:val="15"/>
        </w:numPr>
        <w:spacing w:line="280" w:lineRule="exact"/>
        <w:ind w:firstLineChars="0"/>
        <w:outlineLvl w:val="1"/>
        <w:rPr>
          <w:rFonts w:ascii="方正仿宋简体" w:eastAsia="方正仿宋简体" w:hAnsiTheme="minorEastAsia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投资目标与投资策略</w:t>
      </w:r>
    </w:p>
    <w:tbl>
      <w:tblPr>
        <w:tblStyle w:val="a9"/>
        <w:tblW w:w="5000" w:type="pct"/>
        <w:tblBorders>
          <w:left w:val="none" w:sz="0" w:space="0" w:color="auto"/>
          <w:right w:val="none" w:sz="0" w:space="0" w:color="auto"/>
          <w:insideH w:val="dashSmallGap" w:sz="4" w:space="0" w:color="808080" w:themeColor="background1" w:themeShade="80"/>
          <w:insideV w:val="none" w:sz="0" w:space="0" w:color="auto"/>
        </w:tblBorders>
        <w:tblLook w:val="04A0"/>
      </w:tblPr>
      <w:tblGrid>
        <w:gridCol w:w="1952"/>
        <w:gridCol w:w="6570"/>
      </w:tblGrid>
      <w:tr w:rsidR="007E7ED6" w:rsidTr="004473DA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 w:val="22"/>
                <w:szCs w:val="24"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bCs/>
                <w:iCs/>
                <w:szCs w:val="24"/>
              </w:rPr>
              <w:t>投资目标</w:t>
            </w:r>
          </w:p>
        </w:tc>
        <w:tc>
          <w:tcPr>
            <w:tcW w:w="385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本基金在严格控制风险的前提下，力争获得长期稳定的投资收益。</w:t>
            </w:r>
          </w:p>
        </w:tc>
      </w:tr>
      <w:tr w:rsidR="007E7ED6" w:rsidTr="004473DA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 w:val="22"/>
                <w:szCs w:val="24"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bCs/>
                <w:iCs/>
                <w:szCs w:val="24"/>
              </w:rPr>
              <w:t>投资范围</w:t>
            </w:r>
          </w:p>
        </w:tc>
        <w:tc>
          <w:tcPr>
            <w:tcW w:w="385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本基金的投资范围为具有良好流动性的金融工具，包括国内依法发行上市交易的国债、央行票据、金融债券、企业债券、公司债券、中期票据、短期融资券、超短期融资券、次级债券、政府机构债券、地方政府债券、中小企业私募债、可分离交易可转债中的纯债部分、资产支持证券、债券回购、银行存款（包括协议存款、定期存款及其他银行存款）、同业存单、货币市场工具、国债期货以及经中国证监会允许基金投资的其他金融工具，但需符合中国证监会的相关规定。</w:t>
            </w:r>
          </w:p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如法律法规或监管机构以后允许基金投资其他品种，基金管理人在履行适当程序后，可以将其纳入投资范围。</w:t>
            </w:r>
          </w:p>
        </w:tc>
      </w:tr>
      <w:tr w:rsidR="007E7ED6" w:rsidTr="004473DA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 w:val="22"/>
                <w:szCs w:val="24"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bCs/>
                <w:iCs/>
                <w:szCs w:val="24"/>
              </w:rPr>
              <w:t>主要投资策略</w:t>
            </w:r>
          </w:p>
        </w:tc>
        <w:tc>
          <w:tcPr>
            <w:tcW w:w="385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1、信用债投资策略：</w:t>
            </w:r>
          </w:p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2、收益率曲线策略：</w:t>
            </w:r>
          </w:p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3、杠杆放大策略：</w:t>
            </w:r>
          </w:p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4、资产支持证券投资策略。</w:t>
            </w:r>
          </w:p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5、中小企业私募债券投资策略。</w:t>
            </w:r>
          </w:p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6、国债期货投资策略。</w:t>
            </w:r>
          </w:p>
        </w:tc>
      </w:tr>
      <w:tr w:rsidR="007E7ED6" w:rsidTr="004473DA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 w:val="22"/>
                <w:szCs w:val="24"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bCs/>
                <w:iCs/>
                <w:szCs w:val="24"/>
              </w:rPr>
              <w:lastRenderedPageBreak/>
              <w:t>业绩比较基准</w:t>
            </w:r>
          </w:p>
        </w:tc>
        <w:tc>
          <w:tcPr>
            <w:tcW w:w="385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中债信用债总指数收益率。</w:t>
            </w:r>
          </w:p>
        </w:tc>
      </w:tr>
      <w:tr w:rsidR="007E7ED6" w:rsidTr="004473DA">
        <w:trPr>
          <w:trHeight w:val="454"/>
        </w:trPr>
        <w:tc>
          <w:tcPr>
            <w:tcW w:w="114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 w:val="22"/>
                <w:szCs w:val="24"/>
              </w:rPr>
            </w:pPr>
            <w:r>
              <w:rPr>
                <w:rFonts w:ascii="方正仿宋简体" w:eastAsia="方正仿宋简体" w:hAnsiTheme="minorEastAsia" w:cs="方正仿宋简体" w:hint="eastAsia"/>
                <w:b/>
                <w:bCs/>
                <w:iCs/>
                <w:szCs w:val="24"/>
              </w:rPr>
              <w:t>风险收益特征</w:t>
            </w:r>
          </w:p>
        </w:tc>
        <w:tc>
          <w:tcPr>
            <w:tcW w:w="3855" w:type="pct"/>
            <w:vAlign w:val="center"/>
          </w:tcPr>
          <w:p w:rsidR="007E7ED6" w:rsidRDefault="00B203D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Theme="minorEastAsia" w:cs="仿宋_GB2312"/>
                <w:kern w:val="0"/>
                <w:szCs w:val="24"/>
              </w:rPr>
            </w:pPr>
            <w:r>
              <w:rPr>
                <w:rFonts w:ascii="方正仿宋简体" w:eastAsia="方正仿宋简体" w:hAnsiTheme="minorEastAsia" w:cs="仿宋_GB2312" w:hint="eastAsia"/>
                <w:kern w:val="0"/>
                <w:szCs w:val="24"/>
              </w:rPr>
              <w:t>本基金为债券型基金，预期收益和预期风险高于货币市场基金，但低于混合型基金、股票型基金，属于中低风险/收益的产品。</w:t>
            </w:r>
          </w:p>
        </w:tc>
      </w:tr>
    </w:tbl>
    <w:p w:rsidR="007E7ED6" w:rsidRDefault="007E7ED6">
      <w:pPr>
        <w:spacing w:line="280" w:lineRule="exact"/>
        <w:rPr>
          <w:rFonts w:ascii="方正仿宋简体" w:eastAsia="方正仿宋简体" w:hAnsiTheme="minorEastAsia" w:cs="仿宋_GB2312"/>
          <w:kern w:val="0"/>
          <w:szCs w:val="24"/>
        </w:rPr>
      </w:pPr>
    </w:p>
    <w:p w:rsidR="007E7ED6" w:rsidRDefault="00B203D1">
      <w:pPr>
        <w:pStyle w:val="a8"/>
        <w:numPr>
          <w:ilvl w:val="0"/>
          <w:numId w:val="15"/>
        </w:numPr>
        <w:spacing w:line="280" w:lineRule="exact"/>
        <w:ind w:firstLineChars="0"/>
        <w:outlineLvl w:val="1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投资组合资产配置图表/区域配置图表</w:t>
      </w:r>
    </w:p>
    <w:p w:rsidR="007E7ED6" w:rsidRDefault="00B203D1">
      <w:pPr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投资组合资产配置图表</w:t>
      </w:r>
    </w:p>
    <w:p w:rsidR="007E7ED6" w:rsidRDefault="00B203D1">
      <w:pPr>
        <w:jc w:val="center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/>
          <w:b/>
          <w:iCs/>
          <w:noProof/>
          <w:sz w:val="24"/>
          <w:szCs w:val="24"/>
        </w:rPr>
        <w:drawing>
          <wp:inline distT="0" distB="0" distL="0" distR="0">
            <wp:extent cx="5806800" cy="2903400"/>
            <wp:effectExtent l="0" t="0" r="3810" b="2540"/>
            <wp:docPr id="25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00" cy="29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D6" w:rsidRDefault="001958BF" w:rsidP="001958BF">
      <w:pPr>
        <w:pStyle w:val="a8"/>
        <w:numPr>
          <w:ilvl w:val="0"/>
          <w:numId w:val="15"/>
        </w:numPr>
        <w:spacing w:line="280" w:lineRule="exact"/>
        <w:ind w:firstLineChars="0"/>
        <w:outlineLvl w:val="1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 w:rsidRPr="001958BF"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自基金合同生效以来</w:t>
      </w:r>
      <w:r w:rsidR="00B203D1"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基金每年的净值增长率及与同期业绩比较基准的比较图</w:t>
      </w:r>
    </w:p>
    <w:p w:rsidR="007E7ED6" w:rsidRDefault="00B203D1">
      <w:pPr>
        <w:jc w:val="left"/>
        <w:rPr>
          <w:rFonts w:ascii="方正仿宋简体" w:eastAsia="方正仿宋简体" w:hAnsiTheme="minorEastAsia"/>
        </w:rPr>
      </w:pPr>
      <w:r>
        <w:rPr>
          <w:rFonts w:ascii="方正仿宋简体" w:eastAsia="方正仿宋简体" w:hAnsiTheme="minorEastAsia" w:hint="eastAsia"/>
        </w:rPr>
        <w:t>华泰紫金智盈债券A</w:t>
      </w:r>
    </w:p>
    <w:p w:rsidR="007E7ED6" w:rsidRDefault="00B203D1">
      <w:pPr>
        <w:jc w:val="center"/>
        <w:rPr>
          <w:rFonts w:ascii="方正仿宋简体" w:eastAsia="方正仿宋简体" w:hAnsiTheme="minorEastAsia"/>
        </w:rPr>
      </w:pPr>
      <w:r>
        <w:rPr>
          <w:rFonts w:ascii="方正仿宋简体" w:eastAsia="方正仿宋简体" w:hAnsiTheme="minorEastAsia" w:hint="eastAsia"/>
          <w:noProof/>
        </w:rPr>
        <w:drawing>
          <wp:inline distT="0" distB="0" distL="0" distR="0">
            <wp:extent cx="5806800" cy="2903400"/>
            <wp:effectExtent l="0" t="0" r="3810" b="254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00" cy="29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D6" w:rsidRDefault="00B203D1">
      <w:pPr>
        <w:jc w:val="left"/>
        <w:rPr>
          <w:rFonts w:ascii="方正仿宋简体" w:eastAsia="方正仿宋简体" w:hAnsiTheme="minorEastAsia"/>
        </w:rPr>
      </w:pPr>
      <w:r>
        <w:rPr>
          <w:rFonts w:ascii="方正仿宋简体" w:eastAsia="方正仿宋简体" w:hAnsiTheme="minorEastAsia" w:hint="eastAsia"/>
        </w:rPr>
        <w:t>华泰紫金智盈债券C</w:t>
      </w:r>
    </w:p>
    <w:p w:rsidR="007E7ED6" w:rsidRDefault="00B203D1">
      <w:pPr>
        <w:jc w:val="center"/>
        <w:rPr>
          <w:rFonts w:ascii="方正仿宋简体" w:eastAsia="方正仿宋简体" w:hAnsiTheme="minorEastAsia"/>
        </w:rPr>
      </w:pPr>
      <w:r>
        <w:rPr>
          <w:rFonts w:ascii="方正仿宋简体" w:eastAsia="方正仿宋简体" w:hAnsiTheme="minorEastAsia" w:hint="eastAsia"/>
          <w:noProof/>
        </w:rPr>
        <w:lastRenderedPageBreak/>
        <w:drawing>
          <wp:inline distT="0" distB="0" distL="0" distR="0">
            <wp:extent cx="5806800" cy="2903400"/>
            <wp:effectExtent l="0" t="0" r="3810" b="254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00" cy="29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D6" w:rsidRDefault="00B203D1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 w:hAnsiTheme="minorEastAsia"/>
          <w:color w:val="000000" w:themeColor="text1"/>
        </w:rPr>
      </w:pPr>
      <w:r>
        <w:rPr>
          <w:rFonts w:ascii="方正仿宋简体" w:eastAsia="方正仿宋简体" w:hAnsiTheme="minorEastAsia" w:hint="eastAsia"/>
          <w:color w:val="000000" w:themeColor="text1"/>
        </w:rPr>
        <w:t>注：1、本基金成立于2018年3月15日；2、基金的过往业绩不代表未来表现；3、产品2018年数据非完整年度数据。</w:t>
      </w:r>
    </w:p>
    <w:p w:rsidR="007E7ED6" w:rsidRDefault="007E7ED6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</w:p>
    <w:p w:rsidR="007E7ED6" w:rsidRDefault="00B203D1">
      <w:pPr>
        <w:numPr>
          <w:ilvl w:val="0"/>
          <w:numId w:val="10"/>
        </w:numPr>
        <w:spacing w:line="280" w:lineRule="exact"/>
        <w:outlineLvl w:val="0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投资本基金涉及的费用</w:t>
      </w:r>
    </w:p>
    <w:p w:rsidR="007E7ED6" w:rsidRDefault="00B203D1">
      <w:pPr>
        <w:pStyle w:val="a8"/>
        <w:numPr>
          <w:ilvl w:val="0"/>
          <w:numId w:val="25"/>
        </w:numPr>
        <w:spacing w:line="340" w:lineRule="exact"/>
        <w:ind w:firstLineChars="0"/>
        <w:outlineLvl w:val="1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基金销售相关费用</w:t>
      </w:r>
    </w:p>
    <w:p w:rsidR="007E7ED6" w:rsidRDefault="00B203D1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/>
          <w:color w:val="000000" w:themeColor="text1"/>
        </w:rPr>
      </w:pPr>
      <w:r>
        <w:rPr>
          <w:rFonts w:ascii="方正仿宋简体" w:eastAsia="方正仿宋简体" w:hAnsi="方正仿宋简体" w:cs="方正仿宋简体" w:hint="eastAsia"/>
          <w:iCs/>
          <w:color w:val="000000" w:themeColor="text1"/>
        </w:rPr>
        <w:t>以下费用在申购/赎回基金过程中收取：</w:t>
      </w:r>
    </w:p>
    <w:p w:rsidR="007E7ED6" w:rsidRDefault="00B203D1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 w:hAnsiTheme="minorEastAsia" w:cs="方正仿宋简体"/>
          <w:iCs/>
          <w:color w:val="000000" w:themeColor="text1"/>
        </w:rPr>
      </w:pPr>
      <w:r>
        <w:rPr>
          <w:rFonts w:ascii="方正仿宋简体" w:eastAsia="方正仿宋简体" w:hint="eastAsia"/>
          <w:color w:val="000000" w:themeColor="text1"/>
        </w:rPr>
        <w:t>华泰紫金智盈债券A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dashSmallGap" w:sz="4" w:space="0" w:color="808080" w:themeColor="background1" w:themeShade="80"/>
        </w:tblBorders>
        <w:tblLook w:val="0000"/>
      </w:tblPr>
      <w:tblGrid>
        <w:gridCol w:w="2373"/>
        <w:gridCol w:w="3261"/>
        <w:gridCol w:w="1986"/>
        <w:gridCol w:w="902"/>
      </w:tblGrid>
      <w:tr w:rsidR="007E7ED6" w:rsidTr="0074096A">
        <w:trPr>
          <w:trHeight w:val="454"/>
        </w:trPr>
        <w:tc>
          <w:tcPr>
            <w:tcW w:w="1392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费用类型</w:t>
            </w:r>
          </w:p>
        </w:tc>
        <w:tc>
          <w:tcPr>
            <w:tcW w:w="191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份额（S）或金额（M）</w:t>
            </w:r>
          </w:p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/持有期限（N）</w:t>
            </w:r>
          </w:p>
        </w:tc>
        <w:tc>
          <w:tcPr>
            <w:tcW w:w="1165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收费方式/费率</w:t>
            </w:r>
          </w:p>
        </w:tc>
        <w:tc>
          <w:tcPr>
            <w:tcW w:w="529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备注</w:t>
            </w:r>
          </w:p>
        </w:tc>
      </w:tr>
      <w:tr w:rsidR="007E7ED6" w:rsidTr="0074096A">
        <w:trPr>
          <w:trHeight w:val="454"/>
        </w:trPr>
        <w:tc>
          <w:tcPr>
            <w:tcW w:w="1392" w:type="pct"/>
            <w:vMerge w:val="restar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申购费（前收费）</w:t>
            </w:r>
          </w:p>
        </w:tc>
        <w:tc>
          <w:tcPr>
            <w:tcW w:w="191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  M &lt; 500万元</w:t>
            </w:r>
          </w:p>
        </w:tc>
        <w:tc>
          <w:tcPr>
            <w:tcW w:w="1165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0.20%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74096A">
        <w:trPr>
          <w:trHeight w:val="454"/>
        </w:trPr>
        <w:tc>
          <w:tcPr>
            <w:tcW w:w="1392" w:type="pct"/>
            <w:vMerge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申购费（前收费）</w:t>
            </w:r>
          </w:p>
        </w:tc>
        <w:tc>
          <w:tcPr>
            <w:tcW w:w="191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　 　 M ≥ 500万元</w:t>
            </w:r>
          </w:p>
        </w:tc>
        <w:tc>
          <w:tcPr>
            <w:tcW w:w="1165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  1000元/笔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74096A">
        <w:trPr>
          <w:trHeight w:val="454"/>
        </w:trPr>
        <w:tc>
          <w:tcPr>
            <w:tcW w:w="1392" w:type="pct"/>
            <w:vMerge w:val="restar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赎回费</w:t>
            </w:r>
          </w:p>
        </w:tc>
        <w:tc>
          <w:tcPr>
            <w:tcW w:w="191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  N &lt; 7日 </w:t>
            </w:r>
          </w:p>
        </w:tc>
        <w:tc>
          <w:tcPr>
            <w:tcW w:w="1165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1.50%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74096A">
        <w:trPr>
          <w:trHeight w:val="454"/>
        </w:trPr>
        <w:tc>
          <w:tcPr>
            <w:tcW w:w="1392" w:type="pct"/>
            <w:vMerge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赎回费</w:t>
            </w:r>
          </w:p>
        </w:tc>
        <w:tc>
          <w:tcPr>
            <w:tcW w:w="191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7日 ≤ N &lt; 30日 </w:t>
            </w:r>
          </w:p>
        </w:tc>
        <w:tc>
          <w:tcPr>
            <w:tcW w:w="1165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0.05%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74096A">
        <w:trPr>
          <w:trHeight w:val="454"/>
        </w:trPr>
        <w:tc>
          <w:tcPr>
            <w:tcW w:w="1392" w:type="pct"/>
            <w:vMerge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赎回费</w:t>
            </w:r>
          </w:p>
        </w:tc>
        <w:tc>
          <w:tcPr>
            <w:tcW w:w="191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　 　 N ≥ 30日 </w:t>
            </w:r>
          </w:p>
        </w:tc>
        <w:tc>
          <w:tcPr>
            <w:tcW w:w="1165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0.00%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</w:tbl>
    <w:p w:rsidR="007E7ED6" w:rsidRDefault="00B203D1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/>
          <w:color w:val="000000" w:themeColor="text1"/>
        </w:rPr>
      </w:pPr>
      <w:r>
        <w:rPr>
          <w:rFonts w:ascii="方正仿宋简体" w:eastAsia="方正仿宋简体" w:hAnsi="方正仿宋简体" w:cs="方正仿宋简体" w:hint="eastAsia"/>
          <w:iCs/>
          <w:color w:val="000000" w:themeColor="text1"/>
        </w:rPr>
        <w:t>以下费用在申购/赎回基金过程中收取：</w:t>
      </w:r>
    </w:p>
    <w:p w:rsidR="007E7ED6" w:rsidRDefault="00B203D1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 w:hAnsiTheme="minorEastAsia" w:cs="方正仿宋简体"/>
          <w:iCs/>
          <w:color w:val="000000" w:themeColor="text1"/>
        </w:rPr>
      </w:pPr>
      <w:r>
        <w:rPr>
          <w:rFonts w:ascii="方正仿宋简体" w:eastAsia="方正仿宋简体" w:hint="eastAsia"/>
          <w:color w:val="000000" w:themeColor="text1"/>
        </w:rPr>
        <w:t>华泰紫金智盈债券C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dashSmallGap" w:sz="4" w:space="0" w:color="808080" w:themeColor="background1" w:themeShade="80"/>
        </w:tblBorders>
        <w:tblLook w:val="0000"/>
      </w:tblPr>
      <w:tblGrid>
        <w:gridCol w:w="2376"/>
        <w:gridCol w:w="3262"/>
        <w:gridCol w:w="1982"/>
        <w:gridCol w:w="902"/>
      </w:tblGrid>
      <w:tr w:rsidR="007E7ED6" w:rsidTr="00584DC5">
        <w:trPr>
          <w:trHeight w:val="454"/>
        </w:trPr>
        <w:tc>
          <w:tcPr>
            <w:tcW w:w="1394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费用类型</w:t>
            </w:r>
          </w:p>
        </w:tc>
        <w:tc>
          <w:tcPr>
            <w:tcW w:w="1914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份额（S）或金额（M）</w:t>
            </w:r>
          </w:p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/持有期限（N）</w:t>
            </w:r>
          </w:p>
        </w:tc>
        <w:tc>
          <w:tcPr>
            <w:tcW w:w="116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收费方式/费率</w:t>
            </w:r>
          </w:p>
        </w:tc>
        <w:tc>
          <w:tcPr>
            <w:tcW w:w="529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备注</w:t>
            </w:r>
          </w:p>
        </w:tc>
      </w:tr>
      <w:tr w:rsidR="007E7ED6" w:rsidTr="00584DC5">
        <w:trPr>
          <w:trHeight w:val="454"/>
        </w:trPr>
        <w:tc>
          <w:tcPr>
            <w:tcW w:w="1394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申购费（前收费）</w:t>
            </w:r>
          </w:p>
        </w:tc>
        <w:tc>
          <w:tcPr>
            <w:tcW w:w="1914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>-</w:t>
            </w:r>
          </w:p>
        </w:tc>
        <w:tc>
          <w:tcPr>
            <w:tcW w:w="116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  不收取申购费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584DC5">
        <w:trPr>
          <w:trHeight w:val="454"/>
        </w:trPr>
        <w:tc>
          <w:tcPr>
            <w:tcW w:w="1394" w:type="pct"/>
            <w:vMerge w:val="restar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赎回费</w:t>
            </w:r>
          </w:p>
        </w:tc>
        <w:tc>
          <w:tcPr>
            <w:tcW w:w="1914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  N &lt; 7日 </w:t>
            </w:r>
          </w:p>
        </w:tc>
        <w:tc>
          <w:tcPr>
            <w:tcW w:w="116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1.50%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584DC5">
        <w:trPr>
          <w:trHeight w:val="454"/>
        </w:trPr>
        <w:tc>
          <w:tcPr>
            <w:tcW w:w="1394" w:type="pct"/>
            <w:vMerge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赎回费</w:t>
            </w:r>
          </w:p>
        </w:tc>
        <w:tc>
          <w:tcPr>
            <w:tcW w:w="1914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7日 ≤ N &lt; 30日 </w:t>
            </w:r>
          </w:p>
        </w:tc>
        <w:tc>
          <w:tcPr>
            <w:tcW w:w="116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0.05%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  <w:tr w:rsidR="007E7ED6" w:rsidTr="00584DC5">
        <w:trPr>
          <w:trHeight w:val="454"/>
        </w:trPr>
        <w:tc>
          <w:tcPr>
            <w:tcW w:w="1394" w:type="pct"/>
            <w:vMerge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  <w:color w:val="000000" w:themeColor="text1"/>
              </w:rPr>
              <w:t>赎回费</w:t>
            </w:r>
          </w:p>
        </w:tc>
        <w:tc>
          <w:tcPr>
            <w:tcW w:w="1914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　 　 N ≥ 30日 </w:t>
            </w:r>
          </w:p>
        </w:tc>
        <w:tc>
          <w:tcPr>
            <w:tcW w:w="116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  <w:color w:val="000000" w:themeColor="text1"/>
              </w:rPr>
              <w:t xml:space="preserve">0.00%  </w:t>
            </w:r>
          </w:p>
        </w:tc>
        <w:tc>
          <w:tcPr>
            <w:tcW w:w="529" w:type="pct"/>
            <w:vAlign w:val="center"/>
          </w:tcPr>
          <w:p w:rsidR="007E7ED6" w:rsidRDefault="007E7ED6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  <w:color w:val="000000" w:themeColor="text1"/>
              </w:rPr>
            </w:pPr>
          </w:p>
        </w:tc>
      </w:tr>
    </w:tbl>
    <w:p w:rsidR="007E7ED6" w:rsidRDefault="007E7ED6">
      <w:pPr>
        <w:spacing w:line="280" w:lineRule="exact"/>
        <w:rPr>
          <w:rFonts w:ascii="方正仿宋简体" w:eastAsia="方正仿宋简体" w:hAnsiTheme="minorEastAsia" w:cs="方正仿宋简体"/>
          <w:b/>
          <w:iCs/>
          <w:sz w:val="24"/>
          <w:szCs w:val="24"/>
        </w:rPr>
      </w:pPr>
    </w:p>
    <w:p w:rsidR="007E7ED6" w:rsidRDefault="00B203D1">
      <w:pPr>
        <w:spacing w:line="280" w:lineRule="exact"/>
        <w:outlineLvl w:val="1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（二）基金运作相关费用</w:t>
      </w:r>
    </w:p>
    <w:p w:rsidR="007E7ED6" w:rsidRDefault="00B203D1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int="eastAsia"/>
        </w:rPr>
        <w:t>以下</w:t>
      </w:r>
      <w:r>
        <w:rPr>
          <w:rFonts w:ascii="方正仿宋简体" w:eastAsia="方正仿宋简体" w:hAnsi="方正仿宋简体" w:cs="方正仿宋简体" w:hint="eastAsia"/>
          <w:iCs/>
        </w:rPr>
        <w:t>费用将从基金资产中扣除：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dashSmallGap" w:sz="4" w:space="0" w:color="808080" w:themeColor="background1" w:themeShade="80"/>
        </w:tblBorders>
        <w:tblLook w:val="0000"/>
      </w:tblPr>
      <w:tblGrid>
        <w:gridCol w:w="2517"/>
        <w:gridCol w:w="6005"/>
      </w:tblGrid>
      <w:tr w:rsidR="007E7ED6" w:rsidTr="00A1474F">
        <w:trPr>
          <w:trHeight w:val="454"/>
        </w:trPr>
        <w:tc>
          <w:tcPr>
            <w:tcW w:w="1477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</w:rPr>
              <w:t>费用类别</w:t>
            </w:r>
          </w:p>
        </w:tc>
        <w:tc>
          <w:tcPr>
            <w:tcW w:w="352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i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iCs/>
              </w:rPr>
              <w:t>收费方式/年费率</w:t>
            </w:r>
          </w:p>
        </w:tc>
      </w:tr>
      <w:tr w:rsidR="007E7ED6" w:rsidTr="00A1474F">
        <w:trPr>
          <w:trHeight w:val="454"/>
        </w:trPr>
        <w:tc>
          <w:tcPr>
            <w:tcW w:w="1477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="方正仿宋简体" w:cs="方正仿宋简体"/>
                <w:bCs/>
                <w:i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</w:rPr>
              <w:t>管理费</w:t>
            </w:r>
          </w:p>
        </w:tc>
        <w:tc>
          <w:tcPr>
            <w:tcW w:w="352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Cs/>
                <w:i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iCs/>
              </w:rPr>
              <w:t xml:space="preserve"> 0.30%</w:t>
            </w:r>
          </w:p>
        </w:tc>
      </w:tr>
      <w:tr w:rsidR="007E7ED6" w:rsidTr="00A1474F">
        <w:trPr>
          <w:trHeight w:val="454"/>
        </w:trPr>
        <w:tc>
          <w:tcPr>
            <w:tcW w:w="1477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Theme="minorEastAsia" w:cs="方正仿宋简体"/>
                <w:bCs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Cs/>
                <w:iCs/>
              </w:rPr>
              <w:t>托管费</w:t>
            </w:r>
          </w:p>
        </w:tc>
        <w:tc>
          <w:tcPr>
            <w:tcW w:w="352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Theme="minorEastAsia" w:cs="方正仿宋简体"/>
                <w:bCs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Cs/>
                <w:iCs/>
              </w:rPr>
              <w:t xml:space="preserve"> 0.10%</w:t>
            </w:r>
          </w:p>
        </w:tc>
      </w:tr>
      <w:tr w:rsidR="007E7ED6" w:rsidTr="00A1474F">
        <w:trPr>
          <w:trHeight w:val="454"/>
        </w:trPr>
        <w:tc>
          <w:tcPr>
            <w:tcW w:w="1477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="方正仿宋简体" w:cs="方正仿宋简体"/>
                <w:iCs/>
              </w:rPr>
            </w:pPr>
            <w:r>
              <w:rPr>
                <w:rFonts w:ascii="方正仿宋简体" w:eastAsia="方正仿宋简体" w:hAnsi="方正仿宋简体" w:cs="方正仿宋简体" w:hint="eastAsia"/>
                <w:iCs/>
              </w:rPr>
              <w:t>销售服务费（华泰紫金智盈债券A）</w:t>
            </w:r>
          </w:p>
        </w:tc>
        <w:tc>
          <w:tcPr>
            <w:tcW w:w="352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Theme="minorEastAsia" w:cs="方正仿宋简体"/>
                <w:bCs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Cs/>
                <w:iCs/>
              </w:rPr>
              <w:t xml:space="preserve">不收取销售服务费 </w:t>
            </w:r>
          </w:p>
        </w:tc>
      </w:tr>
      <w:tr w:rsidR="007E7ED6" w:rsidTr="00A1474F">
        <w:trPr>
          <w:trHeight w:val="454"/>
        </w:trPr>
        <w:tc>
          <w:tcPr>
            <w:tcW w:w="1477" w:type="pct"/>
            <w:vAlign w:val="center"/>
          </w:tcPr>
          <w:p w:rsidR="007E7ED6" w:rsidRDefault="00B203D1">
            <w:pPr>
              <w:spacing w:line="280" w:lineRule="exact"/>
              <w:rPr>
                <w:rFonts w:ascii="方正仿宋简体" w:eastAsia="方正仿宋简体" w:hAnsi="方正仿宋简体" w:cs="方正仿宋简体"/>
                <w:iCs/>
              </w:rPr>
            </w:pPr>
            <w:r>
              <w:rPr>
                <w:rFonts w:ascii="方正仿宋简体" w:eastAsia="方正仿宋简体" w:hAnsi="方正仿宋简体" w:cs="方正仿宋简体" w:hint="eastAsia"/>
                <w:iCs/>
              </w:rPr>
              <w:t>销售服务费（华泰紫金智盈债券C）</w:t>
            </w:r>
          </w:p>
        </w:tc>
        <w:tc>
          <w:tcPr>
            <w:tcW w:w="3523" w:type="pct"/>
            <w:vAlign w:val="center"/>
          </w:tcPr>
          <w:p w:rsidR="007E7ED6" w:rsidRDefault="00B203D1">
            <w:pPr>
              <w:spacing w:line="280" w:lineRule="exact"/>
              <w:jc w:val="center"/>
              <w:rPr>
                <w:rFonts w:ascii="方正仿宋简体" w:eastAsia="方正仿宋简体" w:hAnsiTheme="minorEastAsia" w:cs="方正仿宋简体"/>
                <w:bCs/>
                <w:iCs/>
              </w:rPr>
            </w:pPr>
            <w:r>
              <w:rPr>
                <w:rFonts w:ascii="方正仿宋简体" w:eastAsia="方正仿宋简体" w:hAnsiTheme="minorEastAsia" w:cs="方正仿宋简体" w:hint="eastAsia"/>
                <w:bCs/>
                <w:iCs/>
              </w:rPr>
              <w:t xml:space="preserve"> 0.30%</w:t>
            </w:r>
          </w:p>
        </w:tc>
      </w:tr>
    </w:tbl>
    <w:p w:rsidR="007E7ED6" w:rsidRDefault="00B203D1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 w:hAnsi="方正仿宋简体" w:cs="方正仿宋简体"/>
          <w:bCs/>
          <w:iCs/>
        </w:rPr>
      </w:pPr>
      <w:r>
        <w:rPr>
          <w:rFonts w:ascii="方正仿宋简体" w:eastAsia="方正仿宋简体" w:hAnsi="方正仿宋简体" w:cs="方正仿宋简体" w:hint="eastAsia"/>
          <w:bCs/>
          <w:iCs/>
        </w:rPr>
        <w:t>注： 本基金交易证券、基金（如有）等产生的费用和税负，按实际发生额从基金资产扣除。</w:t>
      </w:r>
    </w:p>
    <w:p w:rsidR="007E7ED6" w:rsidRDefault="007E7ED6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 w:hAnsiTheme="minorEastAsia" w:cs="仿宋_GB2312"/>
          <w:kern w:val="0"/>
          <w:szCs w:val="24"/>
        </w:rPr>
      </w:pPr>
    </w:p>
    <w:p w:rsidR="007E7ED6" w:rsidRDefault="00B203D1">
      <w:pPr>
        <w:numPr>
          <w:ilvl w:val="0"/>
          <w:numId w:val="10"/>
        </w:numPr>
        <w:spacing w:line="280" w:lineRule="exact"/>
        <w:outlineLvl w:val="0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风险揭示与重要提示</w:t>
      </w:r>
    </w:p>
    <w:p w:rsidR="007E7ED6" w:rsidRDefault="00B203D1">
      <w:pPr>
        <w:spacing w:line="280" w:lineRule="exact"/>
        <w:outlineLvl w:val="1"/>
        <w:rPr>
          <w:rFonts w:ascii="方正仿宋简体" w:eastAsia="方正仿宋简体" w:hAnsi="宋体"/>
          <w:color w:val="0000FF"/>
          <w:kern w:val="0"/>
          <w:sz w:val="18"/>
        </w:rPr>
      </w:pPr>
      <w:r>
        <w:rPr>
          <w:rFonts w:ascii="方正仿宋简体" w:eastAsia="方正仿宋简体" w:hAnsi="方正仿宋简体" w:cs="方正仿宋简体" w:hint="eastAsia"/>
          <w:b/>
          <w:bCs/>
          <w:iCs/>
          <w:sz w:val="24"/>
          <w:szCs w:val="24"/>
        </w:rPr>
        <w:t>（一）风险揭示</w:t>
      </w:r>
    </w:p>
    <w:p w:rsidR="007E7ED6" w:rsidRDefault="0047319C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Ansi="方正仿宋简体" w:cs="方正仿宋简体" w:hint="eastAsia"/>
          <w:iCs/>
        </w:rPr>
        <w:t>本基金不提供任何保证。投资者可能损失投资本金。投资有风险，投资者购买基金时应认真阅读本基金的《招募说明书》等销售文件。投资于本基金的主要风险有：</w:t>
      </w:r>
    </w:p>
    <w:p w:rsidR="007E7ED6" w:rsidRDefault="0047319C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Ansi="方正仿宋简体" w:cs="方正仿宋简体" w:hint="eastAsia"/>
          <w:iCs/>
        </w:rPr>
        <w:t xml:space="preserve">1、市场风险，主要包括：（1）政策风险；（2）经济周期风险；（3）利率风险；（4）购买力风险；（5）再投资风险；（6）信用风险；（7）债券回购风险；2、管理风险；3、流动性风险；4、合规性风险； </w:t>
      </w:r>
    </w:p>
    <w:p w:rsidR="007E7ED6" w:rsidRDefault="0047319C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Ansi="方正仿宋简体" w:cs="方正仿宋简体" w:hint="eastAsia"/>
          <w:iCs/>
        </w:rPr>
        <w:t>5、本基金的特有风险：（1）各类固定收益证券投资风险；（2）资产支持证券投资风险；（3）中小企业私募债券投资风险；（4）国债期货投资风险；6、其他风险。</w:t>
      </w:r>
    </w:p>
    <w:p w:rsidR="007E7ED6" w:rsidRDefault="00B203D1">
      <w:pPr>
        <w:spacing w:line="280" w:lineRule="exact"/>
        <w:outlineLvl w:val="1"/>
        <w:rPr>
          <w:rFonts w:ascii="方正仿宋简体" w:eastAsia="方正仿宋简体" w:hAnsi="方正仿宋简体" w:cs="方正仿宋简体"/>
          <w:b/>
          <w:iCs/>
          <w:sz w:val="22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（二）重要提示</w:t>
      </w:r>
    </w:p>
    <w:p w:rsidR="007E7ED6" w:rsidRDefault="0047319C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Ansi="方正仿宋简体" w:cs="方正仿宋简体" w:hint="eastAsia"/>
          <w:iCs/>
        </w:rPr>
        <w:t>中国证监会对本基金募集的注册，并不表明其对本基金的价值和收益作出实质性判断或保证，也不表明投资于本基金没有风险。</w:t>
      </w:r>
    </w:p>
    <w:p w:rsidR="007E7ED6" w:rsidRDefault="0047319C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Ansi="方正仿宋简体" w:cs="方正仿宋简体" w:hint="eastAsia"/>
          <w:iCs/>
        </w:rPr>
        <w:t>基金管理人依照恪尽职守、诚实信用、谨慎勤勉的原则管理和运用基金财产，但不保证基金一定盈利，也不保证最低收益。</w:t>
      </w:r>
    </w:p>
    <w:p w:rsidR="007E7ED6" w:rsidRDefault="0047319C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Ansi="方正仿宋简体" w:cs="方正仿宋简体" w:hint="eastAsia"/>
          <w:iCs/>
        </w:rPr>
        <w:t>基金投资者自依基金合同取得基金份额，即成为基金份额持有人和基金合同的当事人。</w:t>
      </w:r>
    </w:p>
    <w:p w:rsidR="007E7ED6" w:rsidRDefault="007E7ED6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/>
        </w:rPr>
      </w:pPr>
    </w:p>
    <w:p w:rsidR="007E7ED6" w:rsidRDefault="00B203D1">
      <w:pPr>
        <w:numPr>
          <w:ilvl w:val="0"/>
          <w:numId w:val="10"/>
        </w:numPr>
        <w:spacing w:line="280" w:lineRule="exact"/>
        <w:outlineLvl w:val="0"/>
        <w:rPr>
          <w:rFonts w:ascii="方正仿宋简体" w:eastAsia="方正仿宋简体" w:hAnsi="方正仿宋简体" w:cs="方正仿宋简体"/>
          <w:b/>
          <w:iCs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iCs/>
          <w:sz w:val="24"/>
          <w:szCs w:val="24"/>
        </w:rPr>
        <w:t>其他资料查询方式</w:t>
      </w:r>
    </w:p>
    <w:p w:rsidR="007E7ED6" w:rsidRDefault="0047319C">
      <w:pPr>
        <w:spacing w:line="280" w:lineRule="exact"/>
        <w:ind w:firstLine="420"/>
        <w:rPr>
          <w:rFonts w:ascii="方正仿宋简体" w:eastAsia="方正仿宋简体" w:hAnsi="方正仿宋简体" w:cs="方正仿宋简体"/>
          <w:iCs/>
        </w:rPr>
      </w:pPr>
      <w:r>
        <w:rPr>
          <w:rFonts w:ascii="方正仿宋简体" w:eastAsia="方正仿宋简体" w:hAnsi="方正仿宋简体" w:cs="方正仿宋简体" w:hint="eastAsia"/>
          <w:iCs/>
        </w:rPr>
        <w:t>以下资料详见基金管理人网站https://htamc.htsc.com.cn/，客服电话：4008895597</w:t>
      </w:r>
    </w:p>
    <w:p w:rsidR="007E7ED6" w:rsidRPr="00EC37DB" w:rsidRDefault="0047319C" w:rsidP="00EC37DB">
      <w:pPr>
        <w:pStyle w:val="a8"/>
        <w:numPr>
          <w:ilvl w:val="0"/>
          <w:numId w:val="26"/>
        </w:numPr>
        <w:spacing w:line="280" w:lineRule="exact"/>
        <w:ind w:firstLineChars="0"/>
        <w:rPr>
          <w:rFonts w:ascii="方正仿宋简体" w:eastAsia="方正仿宋简体" w:hAnsi="方正仿宋简体" w:cs="方正仿宋简体"/>
          <w:iCs/>
        </w:rPr>
      </w:pPr>
      <w:r w:rsidRPr="00EC37DB">
        <w:rPr>
          <w:rFonts w:ascii="方正仿宋简体" w:eastAsia="方正仿宋简体" w:hAnsi="方正仿宋简体" w:cs="方正仿宋简体" w:hint="eastAsia"/>
          <w:iCs/>
        </w:rPr>
        <w:t>基金合同、托管协议、招募说明书</w:t>
      </w:r>
    </w:p>
    <w:p w:rsidR="007E7ED6" w:rsidRPr="00EC37DB" w:rsidRDefault="0047319C" w:rsidP="00EC37DB">
      <w:pPr>
        <w:pStyle w:val="a8"/>
        <w:numPr>
          <w:ilvl w:val="0"/>
          <w:numId w:val="26"/>
        </w:numPr>
        <w:spacing w:line="280" w:lineRule="exact"/>
        <w:ind w:firstLineChars="0"/>
        <w:rPr>
          <w:rFonts w:ascii="方正仿宋简体" w:eastAsia="方正仿宋简体" w:hAnsi="方正仿宋简体" w:cs="方正仿宋简体"/>
          <w:iCs/>
        </w:rPr>
      </w:pPr>
      <w:r w:rsidRPr="00EC37DB">
        <w:rPr>
          <w:rFonts w:ascii="方正仿宋简体" w:eastAsia="方正仿宋简体" w:hAnsi="方正仿宋简体" w:cs="方正仿宋简体" w:hint="eastAsia"/>
          <w:iCs/>
        </w:rPr>
        <w:t>定期报告，包括基金季度报告、中期报告和年度报告</w:t>
      </w:r>
    </w:p>
    <w:p w:rsidR="007E7ED6" w:rsidRPr="00EC37DB" w:rsidRDefault="0047319C" w:rsidP="00EC37DB">
      <w:pPr>
        <w:pStyle w:val="a8"/>
        <w:numPr>
          <w:ilvl w:val="0"/>
          <w:numId w:val="26"/>
        </w:numPr>
        <w:spacing w:line="280" w:lineRule="exact"/>
        <w:ind w:firstLineChars="0"/>
        <w:rPr>
          <w:rFonts w:ascii="方正仿宋简体" w:eastAsia="方正仿宋简体" w:hAnsi="方正仿宋简体" w:cs="方正仿宋简体"/>
          <w:iCs/>
        </w:rPr>
      </w:pPr>
      <w:r w:rsidRPr="00EC37DB">
        <w:rPr>
          <w:rFonts w:ascii="方正仿宋简体" w:eastAsia="方正仿宋简体" w:hAnsi="方正仿宋简体" w:cs="方正仿宋简体" w:hint="eastAsia"/>
          <w:iCs/>
        </w:rPr>
        <w:t>基金份额净值</w:t>
      </w:r>
    </w:p>
    <w:p w:rsidR="007E7ED6" w:rsidRPr="00EC37DB" w:rsidRDefault="0047319C" w:rsidP="00EC37DB">
      <w:pPr>
        <w:pStyle w:val="a8"/>
        <w:numPr>
          <w:ilvl w:val="0"/>
          <w:numId w:val="26"/>
        </w:numPr>
        <w:spacing w:line="280" w:lineRule="exact"/>
        <w:ind w:firstLineChars="0"/>
        <w:rPr>
          <w:rFonts w:ascii="方正仿宋简体" w:eastAsia="方正仿宋简体" w:hAnsi="方正仿宋简体" w:cs="方正仿宋简体"/>
          <w:iCs/>
        </w:rPr>
      </w:pPr>
      <w:r w:rsidRPr="00EC37DB">
        <w:rPr>
          <w:rFonts w:ascii="方正仿宋简体" w:eastAsia="方正仿宋简体" w:hAnsi="方正仿宋简体" w:cs="方正仿宋简体" w:hint="eastAsia"/>
          <w:iCs/>
        </w:rPr>
        <w:t>基金销售机构及联系方式</w:t>
      </w:r>
    </w:p>
    <w:p w:rsidR="007E7ED6" w:rsidRPr="00EC37DB" w:rsidRDefault="0047319C" w:rsidP="00EC37DB">
      <w:pPr>
        <w:pStyle w:val="a8"/>
        <w:numPr>
          <w:ilvl w:val="0"/>
          <w:numId w:val="26"/>
        </w:numPr>
        <w:spacing w:line="280" w:lineRule="exact"/>
        <w:ind w:firstLineChars="0"/>
        <w:rPr>
          <w:rFonts w:ascii="方正仿宋简体" w:eastAsia="方正仿宋简体" w:hAnsi="方正仿宋简体" w:cs="方正仿宋简体"/>
          <w:iCs/>
        </w:rPr>
      </w:pPr>
      <w:r w:rsidRPr="00EC37DB">
        <w:rPr>
          <w:rFonts w:ascii="方正仿宋简体" w:eastAsia="方正仿宋简体" w:hAnsi="方正仿宋简体" w:cs="方正仿宋简体" w:hint="eastAsia"/>
          <w:iCs/>
        </w:rPr>
        <w:t>其他重要资料</w:t>
      </w:r>
    </w:p>
    <w:p w:rsidR="007E7ED6" w:rsidRDefault="007E7ED6">
      <w:pPr>
        <w:autoSpaceDE w:val="0"/>
        <w:autoSpaceDN w:val="0"/>
        <w:adjustRightInd w:val="0"/>
        <w:spacing w:line="280" w:lineRule="exact"/>
        <w:jc w:val="left"/>
        <w:rPr>
          <w:rFonts w:ascii="方正仿宋简体" w:eastAsia="方正仿宋简体"/>
        </w:rPr>
      </w:pPr>
    </w:p>
    <w:sectPr w:rsidR="007E7ED6" w:rsidSect="00FA05E6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E5" w:rsidRDefault="003057E5" w:rsidP="0092395F">
      <w:r>
        <w:separator/>
      </w:r>
    </w:p>
  </w:endnote>
  <w:endnote w:type="continuationSeparator" w:id="0">
    <w:p w:rsidR="003057E5" w:rsidRDefault="003057E5" w:rsidP="0092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75103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20E8F" w:rsidRDefault="00E20E8F" w:rsidP="0025315A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 w:rsidR="00FA05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A05E6">
              <w:rPr>
                <w:b/>
                <w:bCs/>
                <w:sz w:val="24"/>
                <w:szCs w:val="24"/>
              </w:rPr>
              <w:fldChar w:fldCharType="separate"/>
            </w:r>
            <w:r w:rsidR="00E92C7A">
              <w:rPr>
                <w:b/>
                <w:bCs/>
                <w:noProof/>
              </w:rPr>
              <w:t>1</w:t>
            </w:r>
            <w:r w:rsidR="00FA05E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A05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A05E6">
              <w:rPr>
                <w:b/>
                <w:bCs/>
                <w:sz w:val="24"/>
                <w:szCs w:val="24"/>
              </w:rPr>
              <w:fldChar w:fldCharType="separate"/>
            </w:r>
            <w:r w:rsidR="00E92C7A">
              <w:rPr>
                <w:b/>
                <w:bCs/>
                <w:noProof/>
              </w:rPr>
              <w:t>3</w:t>
            </w:r>
            <w:r w:rsidR="00FA05E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0E8F" w:rsidRDefault="00E20E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E5" w:rsidRDefault="003057E5" w:rsidP="0092395F">
      <w:r>
        <w:separator/>
      </w:r>
    </w:p>
  </w:footnote>
  <w:footnote w:type="continuationSeparator" w:id="0">
    <w:p w:rsidR="003057E5" w:rsidRDefault="003057E5" w:rsidP="00923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FE4B0C"/>
    <w:multiLevelType w:val="hybridMultilevel"/>
    <w:tmpl w:val="7C9AB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716C97"/>
    <w:multiLevelType w:val="multilevel"/>
    <w:tmpl w:val="71147312"/>
    <w:lvl w:ilvl="0">
      <w:start w:val="1"/>
      <w:numFmt w:val="decimal"/>
      <w:pStyle w:val="a"/>
      <w:lvlText w:val="§%1"/>
      <w:lvlJc w:val="left"/>
      <w:pPr>
        <w:ind w:left="420" w:hanging="420"/>
      </w:pPr>
      <w:rPr>
        <w:rFonts w:eastAsia="宋体" w:hint="default"/>
        <w:b/>
        <w:i w:val="0"/>
        <w:sz w:val="28"/>
      </w:rPr>
    </w:lvl>
    <w:lvl w:ilvl="1">
      <w:start w:val="1"/>
      <w:numFmt w:val="decimal"/>
      <w:pStyle w:val="a0"/>
      <w:suff w:val="space"/>
      <w:lvlText w:val="%1.%2"/>
      <w:lvlJc w:val="left"/>
      <w:pPr>
        <w:ind w:left="284" w:hanging="284"/>
      </w:pPr>
      <w:rPr>
        <w:rFonts w:hint="eastAsia"/>
      </w:rPr>
    </w:lvl>
    <w:lvl w:ilvl="2">
      <w:start w:val="1"/>
      <w:numFmt w:val="decimal"/>
      <w:pStyle w:val="a1"/>
      <w:suff w:val="space"/>
      <w:lvlText w:val="%1.%2.%3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pStyle w:val="a2"/>
      <w:suff w:val="space"/>
      <w:lvlText w:val="%1.%2.%3.%4"/>
      <w:lvlJc w:val="left"/>
      <w:pPr>
        <w:ind w:left="284" w:hanging="284"/>
      </w:pPr>
      <w:rPr>
        <w:rFonts w:hint="eastAsia"/>
      </w:rPr>
    </w:lvl>
    <w:lvl w:ilvl="4">
      <w:start w:val="1"/>
      <w:numFmt w:val="decimal"/>
      <w:pStyle w:val="a3"/>
      <w:suff w:val="space"/>
      <w:lvlText w:val="%1.%2.%3.%4.%5"/>
      <w:lvlJc w:val="left"/>
      <w:pPr>
        <w:ind w:left="284" w:hanging="284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1ED76697"/>
    <w:multiLevelType w:val="hybridMultilevel"/>
    <w:tmpl w:val="D3A4E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D645D5"/>
    <w:multiLevelType w:val="hybridMultilevel"/>
    <w:tmpl w:val="185A7A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E92779"/>
    <w:multiLevelType w:val="hybridMultilevel"/>
    <w:tmpl w:val="ECF8858C"/>
    <w:lvl w:ilvl="0" w:tplc="7BA85C1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261F86"/>
    <w:multiLevelType w:val="hybridMultilevel"/>
    <w:tmpl w:val="4D7ABA1E"/>
    <w:lvl w:ilvl="0" w:tplc="D16CA794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E14934"/>
    <w:multiLevelType w:val="hybridMultilevel"/>
    <w:tmpl w:val="085C19D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C90ECC"/>
    <w:multiLevelType w:val="hybridMultilevel"/>
    <w:tmpl w:val="CB2AB49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478E6770"/>
    <w:multiLevelType w:val="hybridMultilevel"/>
    <w:tmpl w:val="C2F49F6C"/>
    <w:lvl w:ilvl="0" w:tplc="1F267F08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5A355F"/>
    <w:multiLevelType w:val="hybridMultilevel"/>
    <w:tmpl w:val="95ECFCF8"/>
    <w:lvl w:ilvl="0" w:tplc="266A3D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53134E67"/>
    <w:multiLevelType w:val="hybridMultilevel"/>
    <w:tmpl w:val="351E4340"/>
    <w:lvl w:ilvl="0" w:tplc="266A3D9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5AC33CF0"/>
    <w:multiLevelType w:val="singleLevel"/>
    <w:tmpl w:val="D92264B0"/>
    <w:lvl w:ilvl="0">
      <w:start w:val="1"/>
      <w:numFmt w:val="chineseCounting"/>
      <w:suff w:val="nothing"/>
      <w:lvlText w:val="%1、"/>
      <w:lvlJc w:val="left"/>
      <w:rPr>
        <w:rFonts w:asciiTheme="minorEastAsia" w:eastAsiaTheme="minorEastAsia" w:hAnsiTheme="minorEastAsia"/>
      </w:rPr>
    </w:lvl>
  </w:abstractNum>
  <w:abstractNum w:abstractNumId="13">
    <w:nsid w:val="5C0D21E1"/>
    <w:multiLevelType w:val="hybridMultilevel"/>
    <w:tmpl w:val="48A8A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C21FE0E"/>
    <w:multiLevelType w:val="singleLevel"/>
    <w:tmpl w:val="5C21FE0E"/>
    <w:lvl w:ilvl="0">
      <w:start w:val="2"/>
      <w:numFmt w:val="chineseCounting"/>
      <w:suff w:val="nothing"/>
      <w:lvlText w:val="（%1）"/>
      <w:lvlJc w:val="left"/>
    </w:lvl>
  </w:abstractNum>
  <w:abstractNum w:abstractNumId="15">
    <w:nsid w:val="5FA6352B"/>
    <w:multiLevelType w:val="hybridMultilevel"/>
    <w:tmpl w:val="058E5C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61DC744B"/>
    <w:multiLevelType w:val="hybridMultilevel"/>
    <w:tmpl w:val="89C483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5BF0EEF"/>
    <w:multiLevelType w:val="hybridMultilevel"/>
    <w:tmpl w:val="35B27F62"/>
    <w:lvl w:ilvl="0" w:tplc="0A2C82E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6B4E644F"/>
    <w:multiLevelType w:val="hybridMultilevel"/>
    <w:tmpl w:val="CAEEB7E6"/>
    <w:lvl w:ilvl="0" w:tplc="86862142">
      <w:start w:val="1"/>
      <w:numFmt w:val="chineseCountingThousand"/>
      <w:lvlText w:val="%1."/>
      <w:lvlJc w:val="left"/>
      <w:pPr>
        <w:ind w:left="420" w:hanging="420"/>
      </w:pPr>
      <w:rPr>
        <w:rFonts w:ascii="仿宋" w:eastAsia="仿宋" w:hAnsi="仿宋" w:hint="eastAsia"/>
        <w:b/>
        <w:sz w:val="28"/>
      </w:rPr>
    </w:lvl>
    <w:lvl w:ilvl="1" w:tplc="04090017">
      <w:start w:val="1"/>
      <w:numFmt w:val="chineseCountingThousand"/>
      <w:lvlText w:val="(%2)"/>
      <w:lvlJc w:val="left"/>
      <w:pPr>
        <w:ind w:left="562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5EA52E6"/>
    <w:multiLevelType w:val="hybridMultilevel"/>
    <w:tmpl w:val="B6123D46"/>
    <w:lvl w:ilvl="0" w:tplc="4A7A9DF2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655B42"/>
    <w:multiLevelType w:val="hybridMultilevel"/>
    <w:tmpl w:val="06427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D0D3582"/>
    <w:multiLevelType w:val="hybridMultilevel"/>
    <w:tmpl w:val="256C1A40"/>
    <w:lvl w:ilvl="0" w:tplc="898E9CDC">
      <w:start w:val="1"/>
      <w:numFmt w:val="chineseCountingThousand"/>
      <w:suff w:val="space"/>
      <w:lvlText w:val="(%1)"/>
      <w:lvlJc w:val="left"/>
      <w:pPr>
        <w:ind w:left="284" w:hanging="284"/>
      </w:pPr>
      <w:rPr>
        <w:rFonts w:asciiTheme="minorEastAsia" w:eastAsia="宋体" w:hAnsiTheme="minorEastAsia" w:hint="eastAsia"/>
        <w:b/>
      </w:rPr>
    </w:lvl>
    <w:lvl w:ilvl="1" w:tplc="7BA85C1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8"/>
  </w:num>
  <w:num w:numId="7">
    <w:abstractNumId w:val="7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0"/>
  </w:num>
  <w:num w:numId="13">
    <w:abstractNumId w:val="3"/>
  </w:num>
  <w:num w:numId="14">
    <w:abstractNumId w:val="4"/>
  </w:num>
  <w:num w:numId="15">
    <w:abstractNumId w:val="21"/>
  </w:num>
  <w:num w:numId="16">
    <w:abstractNumId w:val="6"/>
  </w:num>
  <w:num w:numId="17">
    <w:abstractNumId w:val="16"/>
  </w:num>
  <w:num w:numId="18">
    <w:abstractNumId w:val="8"/>
  </w:num>
  <w:num w:numId="19">
    <w:abstractNumId w:val="11"/>
  </w:num>
  <w:num w:numId="20">
    <w:abstractNumId w:val="1"/>
  </w:num>
  <w:num w:numId="21">
    <w:abstractNumId w:val="5"/>
  </w:num>
  <w:num w:numId="22">
    <w:abstractNumId w:val="10"/>
  </w:num>
  <w:num w:numId="23">
    <w:abstractNumId w:val="17"/>
  </w:num>
  <w:num w:numId="24">
    <w:abstractNumId w:val="19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isclosure_Version" w:val="true"/>
  </w:docVars>
  <w:rsids>
    <w:rsidRoot w:val="007B3B56"/>
    <w:rsid w:val="00002B50"/>
    <w:rsid w:val="00002F33"/>
    <w:rsid w:val="000034E5"/>
    <w:rsid w:val="00003561"/>
    <w:rsid w:val="000035EA"/>
    <w:rsid w:val="00004180"/>
    <w:rsid w:val="00006EAF"/>
    <w:rsid w:val="0000736D"/>
    <w:rsid w:val="0000782B"/>
    <w:rsid w:val="00010B3E"/>
    <w:rsid w:val="00015DD4"/>
    <w:rsid w:val="00017721"/>
    <w:rsid w:val="00022B9A"/>
    <w:rsid w:val="00024497"/>
    <w:rsid w:val="00024BB1"/>
    <w:rsid w:val="00030595"/>
    <w:rsid w:val="000315CE"/>
    <w:rsid w:val="00035A85"/>
    <w:rsid w:val="000431A9"/>
    <w:rsid w:val="0004462C"/>
    <w:rsid w:val="00045BE4"/>
    <w:rsid w:val="00046C88"/>
    <w:rsid w:val="00047F4E"/>
    <w:rsid w:val="0005053E"/>
    <w:rsid w:val="00052BDA"/>
    <w:rsid w:val="00053B2F"/>
    <w:rsid w:val="00054711"/>
    <w:rsid w:val="00056380"/>
    <w:rsid w:val="000567E4"/>
    <w:rsid w:val="000571BD"/>
    <w:rsid w:val="0005794F"/>
    <w:rsid w:val="00060B05"/>
    <w:rsid w:val="000612DA"/>
    <w:rsid w:val="00061AF3"/>
    <w:rsid w:val="00062543"/>
    <w:rsid w:val="0006363D"/>
    <w:rsid w:val="0006546B"/>
    <w:rsid w:val="00065CA6"/>
    <w:rsid w:val="0006758E"/>
    <w:rsid w:val="000676AA"/>
    <w:rsid w:val="00070564"/>
    <w:rsid w:val="00071412"/>
    <w:rsid w:val="00075ECF"/>
    <w:rsid w:val="00076810"/>
    <w:rsid w:val="00077F97"/>
    <w:rsid w:val="0008034A"/>
    <w:rsid w:val="0008034B"/>
    <w:rsid w:val="00080C9E"/>
    <w:rsid w:val="00080D0F"/>
    <w:rsid w:val="00082C7C"/>
    <w:rsid w:val="00085A7A"/>
    <w:rsid w:val="00086076"/>
    <w:rsid w:val="000862CB"/>
    <w:rsid w:val="00086FAF"/>
    <w:rsid w:val="00087A00"/>
    <w:rsid w:val="00090D03"/>
    <w:rsid w:val="00090E1B"/>
    <w:rsid w:val="00090E7D"/>
    <w:rsid w:val="000915A1"/>
    <w:rsid w:val="00092664"/>
    <w:rsid w:val="0009280C"/>
    <w:rsid w:val="000948A5"/>
    <w:rsid w:val="00095DA1"/>
    <w:rsid w:val="00096ECA"/>
    <w:rsid w:val="000A25FC"/>
    <w:rsid w:val="000A27CB"/>
    <w:rsid w:val="000A4485"/>
    <w:rsid w:val="000A69FE"/>
    <w:rsid w:val="000A6C27"/>
    <w:rsid w:val="000A6E34"/>
    <w:rsid w:val="000A71C1"/>
    <w:rsid w:val="000A7FF9"/>
    <w:rsid w:val="000B672F"/>
    <w:rsid w:val="000C0D50"/>
    <w:rsid w:val="000C3D2A"/>
    <w:rsid w:val="000C3D96"/>
    <w:rsid w:val="000C4A85"/>
    <w:rsid w:val="000C52B6"/>
    <w:rsid w:val="000C63E1"/>
    <w:rsid w:val="000C6C14"/>
    <w:rsid w:val="000D14A1"/>
    <w:rsid w:val="000D21EE"/>
    <w:rsid w:val="000D36AB"/>
    <w:rsid w:val="000D3D44"/>
    <w:rsid w:val="000D4535"/>
    <w:rsid w:val="000D516E"/>
    <w:rsid w:val="000D6088"/>
    <w:rsid w:val="000D6D52"/>
    <w:rsid w:val="000D6F1A"/>
    <w:rsid w:val="000D7961"/>
    <w:rsid w:val="000D7CDD"/>
    <w:rsid w:val="000D7E62"/>
    <w:rsid w:val="000E0465"/>
    <w:rsid w:val="000E1B15"/>
    <w:rsid w:val="000E2DA3"/>
    <w:rsid w:val="000E3CDB"/>
    <w:rsid w:val="000E44EE"/>
    <w:rsid w:val="000E56AA"/>
    <w:rsid w:val="000E7720"/>
    <w:rsid w:val="000E7A0D"/>
    <w:rsid w:val="000F1A6B"/>
    <w:rsid w:val="000F2324"/>
    <w:rsid w:val="000F35E6"/>
    <w:rsid w:val="000F3A56"/>
    <w:rsid w:val="000F3B8E"/>
    <w:rsid w:val="000F4870"/>
    <w:rsid w:val="000F4ADF"/>
    <w:rsid w:val="000F600C"/>
    <w:rsid w:val="000F650C"/>
    <w:rsid w:val="00101AE7"/>
    <w:rsid w:val="00101E69"/>
    <w:rsid w:val="001026B3"/>
    <w:rsid w:val="00103453"/>
    <w:rsid w:val="00104223"/>
    <w:rsid w:val="001042DD"/>
    <w:rsid w:val="00104B7B"/>
    <w:rsid w:val="001064D8"/>
    <w:rsid w:val="00106EB0"/>
    <w:rsid w:val="00107BDE"/>
    <w:rsid w:val="00107C68"/>
    <w:rsid w:val="00110D35"/>
    <w:rsid w:val="0011161D"/>
    <w:rsid w:val="00111992"/>
    <w:rsid w:val="00114B35"/>
    <w:rsid w:val="00116CA0"/>
    <w:rsid w:val="00117377"/>
    <w:rsid w:val="00117831"/>
    <w:rsid w:val="00120454"/>
    <w:rsid w:val="00120E44"/>
    <w:rsid w:val="0012116F"/>
    <w:rsid w:val="00124437"/>
    <w:rsid w:val="0012454F"/>
    <w:rsid w:val="001302B4"/>
    <w:rsid w:val="0013061B"/>
    <w:rsid w:val="00130F4D"/>
    <w:rsid w:val="00132DDC"/>
    <w:rsid w:val="0013367D"/>
    <w:rsid w:val="001351D1"/>
    <w:rsid w:val="00135D07"/>
    <w:rsid w:val="00136038"/>
    <w:rsid w:val="0013609D"/>
    <w:rsid w:val="00137185"/>
    <w:rsid w:val="001373AB"/>
    <w:rsid w:val="0014192C"/>
    <w:rsid w:val="00142D38"/>
    <w:rsid w:val="00142FAC"/>
    <w:rsid w:val="00143189"/>
    <w:rsid w:val="00143519"/>
    <w:rsid w:val="001443DA"/>
    <w:rsid w:val="00144C18"/>
    <w:rsid w:val="001458B8"/>
    <w:rsid w:val="00150641"/>
    <w:rsid w:val="001506D6"/>
    <w:rsid w:val="00150A06"/>
    <w:rsid w:val="00150F72"/>
    <w:rsid w:val="00151549"/>
    <w:rsid w:val="0015352E"/>
    <w:rsid w:val="001546D4"/>
    <w:rsid w:val="001549B1"/>
    <w:rsid w:val="001552A2"/>
    <w:rsid w:val="001559E1"/>
    <w:rsid w:val="00160476"/>
    <w:rsid w:val="001608BD"/>
    <w:rsid w:val="00160EB7"/>
    <w:rsid w:val="00163632"/>
    <w:rsid w:val="0016394B"/>
    <w:rsid w:val="00163A1B"/>
    <w:rsid w:val="00165561"/>
    <w:rsid w:val="001664CE"/>
    <w:rsid w:val="00166CB3"/>
    <w:rsid w:val="00171A01"/>
    <w:rsid w:val="00172DE2"/>
    <w:rsid w:val="001735C4"/>
    <w:rsid w:val="00174334"/>
    <w:rsid w:val="001752EA"/>
    <w:rsid w:val="00176B87"/>
    <w:rsid w:val="00177627"/>
    <w:rsid w:val="001777C9"/>
    <w:rsid w:val="00177C56"/>
    <w:rsid w:val="00177DFE"/>
    <w:rsid w:val="00183372"/>
    <w:rsid w:val="00184B5C"/>
    <w:rsid w:val="0018735D"/>
    <w:rsid w:val="00187ADF"/>
    <w:rsid w:val="00190373"/>
    <w:rsid w:val="00191262"/>
    <w:rsid w:val="0019128C"/>
    <w:rsid w:val="001916CF"/>
    <w:rsid w:val="00193370"/>
    <w:rsid w:val="001958BF"/>
    <w:rsid w:val="00196878"/>
    <w:rsid w:val="001976C2"/>
    <w:rsid w:val="001A28F4"/>
    <w:rsid w:val="001A450C"/>
    <w:rsid w:val="001A45B4"/>
    <w:rsid w:val="001A4E24"/>
    <w:rsid w:val="001A4FC5"/>
    <w:rsid w:val="001A77C2"/>
    <w:rsid w:val="001A7E7C"/>
    <w:rsid w:val="001B2359"/>
    <w:rsid w:val="001B2C1A"/>
    <w:rsid w:val="001B525D"/>
    <w:rsid w:val="001C19CC"/>
    <w:rsid w:val="001C1A3B"/>
    <w:rsid w:val="001C1CAE"/>
    <w:rsid w:val="001C1D13"/>
    <w:rsid w:val="001C1F54"/>
    <w:rsid w:val="001C27FC"/>
    <w:rsid w:val="001C285F"/>
    <w:rsid w:val="001C2C37"/>
    <w:rsid w:val="001C3861"/>
    <w:rsid w:val="001C4114"/>
    <w:rsid w:val="001C44C3"/>
    <w:rsid w:val="001C55FF"/>
    <w:rsid w:val="001D1811"/>
    <w:rsid w:val="001D31F4"/>
    <w:rsid w:val="001D4A4E"/>
    <w:rsid w:val="001D4FBE"/>
    <w:rsid w:val="001D6241"/>
    <w:rsid w:val="001D6EC7"/>
    <w:rsid w:val="001E0982"/>
    <w:rsid w:val="001E27BF"/>
    <w:rsid w:val="001E3862"/>
    <w:rsid w:val="001E3F34"/>
    <w:rsid w:val="001E430F"/>
    <w:rsid w:val="001E61DC"/>
    <w:rsid w:val="001E6DE4"/>
    <w:rsid w:val="001F0651"/>
    <w:rsid w:val="001F33FD"/>
    <w:rsid w:val="001F3AEC"/>
    <w:rsid w:val="001F63FB"/>
    <w:rsid w:val="001F6C89"/>
    <w:rsid w:val="001F7FD1"/>
    <w:rsid w:val="0020147E"/>
    <w:rsid w:val="00205053"/>
    <w:rsid w:val="002056E7"/>
    <w:rsid w:val="00206017"/>
    <w:rsid w:val="002067FB"/>
    <w:rsid w:val="00206D9B"/>
    <w:rsid w:val="00207C8C"/>
    <w:rsid w:val="00211393"/>
    <w:rsid w:val="002113D2"/>
    <w:rsid w:val="00212DAC"/>
    <w:rsid w:val="00216A96"/>
    <w:rsid w:val="0022157A"/>
    <w:rsid w:val="0022206C"/>
    <w:rsid w:val="002226D8"/>
    <w:rsid w:val="00222EBF"/>
    <w:rsid w:val="00223123"/>
    <w:rsid w:val="00223E6A"/>
    <w:rsid w:val="0022487F"/>
    <w:rsid w:val="00225B28"/>
    <w:rsid w:val="00226C77"/>
    <w:rsid w:val="00226D4F"/>
    <w:rsid w:val="002271D8"/>
    <w:rsid w:val="0023065E"/>
    <w:rsid w:val="00231814"/>
    <w:rsid w:val="00233FB5"/>
    <w:rsid w:val="002340C5"/>
    <w:rsid w:val="002343A0"/>
    <w:rsid w:val="002343D4"/>
    <w:rsid w:val="002349DA"/>
    <w:rsid w:val="00234D6F"/>
    <w:rsid w:val="0023676C"/>
    <w:rsid w:val="00236E18"/>
    <w:rsid w:val="002374DD"/>
    <w:rsid w:val="00240A33"/>
    <w:rsid w:val="002419CF"/>
    <w:rsid w:val="00243408"/>
    <w:rsid w:val="00243552"/>
    <w:rsid w:val="00243C17"/>
    <w:rsid w:val="0024571E"/>
    <w:rsid w:val="00246C1A"/>
    <w:rsid w:val="00246DC3"/>
    <w:rsid w:val="00247F81"/>
    <w:rsid w:val="00250329"/>
    <w:rsid w:val="00250BCA"/>
    <w:rsid w:val="00252624"/>
    <w:rsid w:val="00252FAA"/>
    <w:rsid w:val="0025315A"/>
    <w:rsid w:val="00253E38"/>
    <w:rsid w:val="00256B43"/>
    <w:rsid w:val="00257D0E"/>
    <w:rsid w:val="00257F1F"/>
    <w:rsid w:val="00261721"/>
    <w:rsid w:val="002618F7"/>
    <w:rsid w:val="0026413B"/>
    <w:rsid w:val="00265B51"/>
    <w:rsid w:val="00266322"/>
    <w:rsid w:val="00267819"/>
    <w:rsid w:val="00270CFD"/>
    <w:rsid w:val="00271658"/>
    <w:rsid w:val="002724DA"/>
    <w:rsid w:val="00273BF8"/>
    <w:rsid w:val="00274372"/>
    <w:rsid w:val="002761C7"/>
    <w:rsid w:val="00276226"/>
    <w:rsid w:val="002767C0"/>
    <w:rsid w:val="0027718A"/>
    <w:rsid w:val="0028090B"/>
    <w:rsid w:val="00280B89"/>
    <w:rsid w:val="0028191B"/>
    <w:rsid w:val="0028218E"/>
    <w:rsid w:val="00284817"/>
    <w:rsid w:val="0028728C"/>
    <w:rsid w:val="00287867"/>
    <w:rsid w:val="00287FF4"/>
    <w:rsid w:val="00291912"/>
    <w:rsid w:val="00292B75"/>
    <w:rsid w:val="00292F69"/>
    <w:rsid w:val="00293DD2"/>
    <w:rsid w:val="002956E1"/>
    <w:rsid w:val="00296495"/>
    <w:rsid w:val="00296A84"/>
    <w:rsid w:val="00296D6A"/>
    <w:rsid w:val="00296F28"/>
    <w:rsid w:val="002A049B"/>
    <w:rsid w:val="002A2023"/>
    <w:rsid w:val="002A25FA"/>
    <w:rsid w:val="002A273F"/>
    <w:rsid w:val="002A29D8"/>
    <w:rsid w:val="002A2FFE"/>
    <w:rsid w:val="002A3B92"/>
    <w:rsid w:val="002A3CBD"/>
    <w:rsid w:val="002A4280"/>
    <w:rsid w:val="002A4FFB"/>
    <w:rsid w:val="002A56F1"/>
    <w:rsid w:val="002B0143"/>
    <w:rsid w:val="002B3337"/>
    <w:rsid w:val="002B3AF5"/>
    <w:rsid w:val="002B4008"/>
    <w:rsid w:val="002B4E46"/>
    <w:rsid w:val="002B73E3"/>
    <w:rsid w:val="002B7FB5"/>
    <w:rsid w:val="002C001B"/>
    <w:rsid w:val="002C32E0"/>
    <w:rsid w:val="002C5189"/>
    <w:rsid w:val="002C64BD"/>
    <w:rsid w:val="002C6C9F"/>
    <w:rsid w:val="002C7128"/>
    <w:rsid w:val="002C7D40"/>
    <w:rsid w:val="002C7DBB"/>
    <w:rsid w:val="002D3460"/>
    <w:rsid w:val="002D3E31"/>
    <w:rsid w:val="002D53F1"/>
    <w:rsid w:val="002D6593"/>
    <w:rsid w:val="002D670B"/>
    <w:rsid w:val="002E1107"/>
    <w:rsid w:val="002E1288"/>
    <w:rsid w:val="002E268C"/>
    <w:rsid w:val="002E2B66"/>
    <w:rsid w:val="002E2DCB"/>
    <w:rsid w:val="002E4201"/>
    <w:rsid w:val="002E484E"/>
    <w:rsid w:val="002E6B76"/>
    <w:rsid w:val="002F0445"/>
    <w:rsid w:val="002F17B6"/>
    <w:rsid w:val="002F1D8A"/>
    <w:rsid w:val="002F22A9"/>
    <w:rsid w:val="002F280A"/>
    <w:rsid w:val="002F3F0D"/>
    <w:rsid w:val="002F55A5"/>
    <w:rsid w:val="002F6F97"/>
    <w:rsid w:val="002F715D"/>
    <w:rsid w:val="002F7A30"/>
    <w:rsid w:val="00301A05"/>
    <w:rsid w:val="00303D91"/>
    <w:rsid w:val="00304D8E"/>
    <w:rsid w:val="00305382"/>
    <w:rsid w:val="003057E5"/>
    <w:rsid w:val="00305DFF"/>
    <w:rsid w:val="003069AA"/>
    <w:rsid w:val="00311BB3"/>
    <w:rsid w:val="00314524"/>
    <w:rsid w:val="00317576"/>
    <w:rsid w:val="00317FCB"/>
    <w:rsid w:val="00320127"/>
    <w:rsid w:val="00321387"/>
    <w:rsid w:val="00322043"/>
    <w:rsid w:val="003253B4"/>
    <w:rsid w:val="0032576F"/>
    <w:rsid w:val="0032656E"/>
    <w:rsid w:val="00327198"/>
    <w:rsid w:val="00327D04"/>
    <w:rsid w:val="003310CE"/>
    <w:rsid w:val="00332BE9"/>
    <w:rsid w:val="00332EC1"/>
    <w:rsid w:val="00333E7C"/>
    <w:rsid w:val="00335522"/>
    <w:rsid w:val="00335C3C"/>
    <w:rsid w:val="00335FDC"/>
    <w:rsid w:val="00342D67"/>
    <w:rsid w:val="00343096"/>
    <w:rsid w:val="0034383A"/>
    <w:rsid w:val="00343D44"/>
    <w:rsid w:val="00345A65"/>
    <w:rsid w:val="00351D5C"/>
    <w:rsid w:val="00351F88"/>
    <w:rsid w:val="00351FDD"/>
    <w:rsid w:val="003526A1"/>
    <w:rsid w:val="00353DF4"/>
    <w:rsid w:val="00355045"/>
    <w:rsid w:val="003553B7"/>
    <w:rsid w:val="0035595E"/>
    <w:rsid w:val="00357BB4"/>
    <w:rsid w:val="00360359"/>
    <w:rsid w:val="00360E9D"/>
    <w:rsid w:val="003616AB"/>
    <w:rsid w:val="00364FA7"/>
    <w:rsid w:val="003665BF"/>
    <w:rsid w:val="003667EC"/>
    <w:rsid w:val="00367E76"/>
    <w:rsid w:val="00367F65"/>
    <w:rsid w:val="00370C84"/>
    <w:rsid w:val="003712CC"/>
    <w:rsid w:val="00373CC2"/>
    <w:rsid w:val="003744FE"/>
    <w:rsid w:val="0037519F"/>
    <w:rsid w:val="00375483"/>
    <w:rsid w:val="003800E8"/>
    <w:rsid w:val="00380BCD"/>
    <w:rsid w:val="00381CFE"/>
    <w:rsid w:val="00382845"/>
    <w:rsid w:val="00386A7F"/>
    <w:rsid w:val="00390A07"/>
    <w:rsid w:val="00390F2A"/>
    <w:rsid w:val="003914C0"/>
    <w:rsid w:val="0039181C"/>
    <w:rsid w:val="00391FAF"/>
    <w:rsid w:val="00396FFE"/>
    <w:rsid w:val="003978D5"/>
    <w:rsid w:val="003A005F"/>
    <w:rsid w:val="003A0571"/>
    <w:rsid w:val="003A0ACD"/>
    <w:rsid w:val="003A1255"/>
    <w:rsid w:val="003A1F45"/>
    <w:rsid w:val="003A2523"/>
    <w:rsid w:val="003A56C9"/>
    <w:rsid w:val="003A698A"/>
    <w:rsid w:val="003B0BD0"/>
    <w:rsid w:val="003B0EDE"/>
    <w:rsid w:val="003B0FB4"/>
    <w:rsid w:val="003B2295"/>
    <w:rsid w:val="003B3103"/>
    <w:rsid w:val="003B3B69"/>
    <w:rsid w:val="003B47EF"/>
    <w:rsid w:val="003B4A12"/>
    <w:rsid w:val="003B5F1C"/>
    <w:rsid w:val="003B6B11"/>
    <w:rsid w:val="003B7E49"/>
    <w:rsid w:val="003C1C5E"/>
    <w:rsid w:val="003C1CC4"/>
    <w:rsid w:val="003C2452"/>
    <w:rsid w:val="003C570B"/>
    <w:rsid w:val="003C6D4B"/>
    <w:rsid w:val="003C6FDD"/>
    <w:rsid w:val="003C79EE"/>
    <w:rsid w:val="003D0705"/>
    <w:rsid w:val="003D0B6F"/>
    <w:rsid w:val="003D1060"/>
    <w:rsid w:val="003D2954"/>
    <w:rsid w:val="003E0BE3"/>
    <w:rsid w:val="003E11A4"/>
    <w:rsid w:val="003E4F18"/>
    <w:rsid w:val="003E66A5"/>
    <w:rsid w:val="003E6956"/>
    <w:rsid w:val="003E78BD"/>
    <w:rsid w:val="003E7F21"/>
    <w:rsid w:val="003F1DE3"/>
    <w:rsid w:val="003F324E"/>
    <w:rsid w:val="003F42E1"/>
    <w:rsid w:val="003F56C3"/>
    <w:rsid w:val="003F6EF3"/>
    <w:rsid w:val="00401E99"/>
    <w:rsid w:val="00402B28"/>
    <w:rsid w:val="00403885"/>
    <w:rsid w:val="004103D9"/>
    <w:rsid w:val="004106A5"/>
    <w:rsid w:val="00411B1E"/>
    <w:rsid w:val="00411C1F"/>
    <w:rsid w:val="00415142"/>
    <w:rsid w:val="00416169"/>
    <w:rsid w:val="00417B28"/>
    <w:rsid w:val="00420623"/>
    <w:rsid w:val="00421441"/>
    <w:rsid w:val="004225D8"/>
    <w:rsid w:val="004241F4"/>
    <w:rsid w:val="00426A9B"/>
    <w:rsid w:val="00430064"/>
    <w:rsid w:val="00430BE8"/>
    <w:rsid w:val="0043184A"/>
    <w:rsid w:val="00432222"/>
    <w:rsid w:val="004324B8"/>
    <w:rsid w:val="004335EC"/>
    <w:rsid w:val="00435F11"/>
    <w:rsid w:val="00437CC4"/>
    <w:rsid w:val="0044078C"/>
    <w:rsid w:val="00440F0C"/>
    <w:rsid w:val="004428A7"/>
    <w:rsid w:val="00443386"/>
    <w:rsid w:val="0044426B"/>
    <w:rsid w:val="00444874"/>
    <w:rsid w:val="0044609F"/>
    <w:rsid w:val="004473DA"/>
    <w:rsid w:val="004504DB"/>
    <w:rsid w:val="0045198C"/>
    <w:rsid w:val="00456164"/>
    <w:rsid w:val="00457457"/>
    <w:rsid w:val="00461408"/>
    <w:rsid w:val="00462FAF"/>
    <w:rsid w:val="00463DA7"/>
    <w:rsid w:val="00464A9D"/>
    <w:rsid w:val="00464C4E"/>
    <w:rsid w:val="00466F82"/>
    <w:rsid w:val="004709CA"/>
    <w:rsid w:val="00470B24"/>
    <w:rsid w:val="0047161C"/>
    <w:rsid w:val="004727B4"/>
    <w:rsid w:val="0047319C"/>
    <w:rsid w:val="00475599"/>
    <w:rsid w:val="00475E21"/>
    <w:rsid w:val="004761F4"/>
    <w:rsid w:val="00477547"/>
    <w:rsid w:val="00477F83"/>
    <w:rsid w:val="00487376"/>
    <w:rsid w:val="00487514"/>
    <w:rsid w:val="00494113"/>
    <w:rsid w:val="00497075"/>
    <w:rsid w:val="004972B7"/>
    <w:rsid w:val="004974D6"/>
    <w:rsid w:val="00497942"/>
    <w:rsid w:val="004A03E3"/>
    <w:rsid w:val="004A166C"/>
    <w:rsid w:val="004A1CE8"/>
    <w:rsid w:val="004A214B"/>
    <w:rsid w:val="004A28A8"/>
    <w:rsid w:val="004A3A2B"/>
    <w:rsid w:val="004A47CE"/>
    <w:rsid w:val="004A6488"/>
    <w:rsid w:val="004B35A1"/>
    <w:rsid w:val="004B3925"/>
    <w:rsid w:val="004B5C77"/>
    <w:rsid w:val="004B5D91"/>
    <w:rsid w:val="004C2008"/>
    <w:rsid w:val="004C4116"/>
    <w:rsid w:val="004C4D70"/>
    <w:rsid w:val="004C5B50"/>
    <w:rsid w:val="004C6220"/>
    <w:rsid w:val="004D0CA3"/>
    <w:rsid w:val="004D1BE1"/>
    <w:rsid w:val="004D1CFD"/>
    <w:rsid w:val="004D4317"/>
    <w:rsid w:val="004D5927"/>
    <w:rsid w:val="004E01B5"/>
    <w:rsid w:val="004E0E97"/>
    <w:rsid w:val="004E1F62"/>
    <w:rsid w:val="004E275A"/>
    <w:rsid w:val="004E29D3"/>
    <w:rsid w:val="004E46D3"/>
    <w:rsid w:val="004E55B4"/>
    <w:rsid w:val="004E5A80"/>
    <w:rsid w:val="004E736F"/>
    <w:rsid w:val="004E7553"/>
    <w:rsid w:val="004F0DA7"/>
    <w:rsid w:val="004F157A"/>
    <w:rsid w:val="004F21FC"/>
    <w:rsid w:val="004F2EA3"/>
    <w:rsid w:val="004F38D7"/>
    <w:rsid w:val="004F4959"/>
    <w:rsid w:val="004F51E5"/>
    <w:rsid w:val="004F7753"/>
    <w:rsid w:val="0050081D"/>
    <w:rsid w:val="00502133"/>
    <w:rsid w:val="005026AC"/>
    <w:rsid w:val="005033AE"/>
    <w:rsid w:val="0050479A"/>
    <w:rsid w:val="00511D3A"/>
    <w:rsid w:val="00514055"/>
    <w:rsid w:val="00514D50"/>
    <w:rsid w:val="00516B14"/>
    <w:rsid w:val="00516E4A"/>
    <w:rsid w:val="005173DE"/>
    <w:rsid w:val="0052053C"/>
    <w:rsid w:val="00522E7E"/>
    <w:rsid w:val="00523969"/>
    <w:rsid w:val="00523DE3"/>
    <w:rsid w:val="00524640"/>
    <w:rsid w:val="00526D03"/>
    <w:rsid w:val="005303D3"/>
    <w:rsid w:val="00530D39"/>
    <w:rsid w:val="0053188C"/>
    <w:rsid w:val="00532E71"/>
    <w:rsid w:val="005341C9"/>
    <w:rsid w:val="00534441"/>
    <w:rsid w:val="00536BA8"/>
    <w:rsid w:val="00536BCB"/>
    <w:rsid w:val="00536C05"/>
    <w:rsid w:val="00537A33"/>
    <w:rsid w:val="00537D22"/>
    <w:rsid w:val="0054307D"/>
    <w:rsid w:val="00543811"/>
    <w:rsid w:val="005438D4"/>
    <w:rsid w:val="005442A7"/>
    <w:rsid w:val="005445C1"/>
    <w:rsid w:val="00544653"/>
    <w:rsid w:val="00544EBD"/>
    <w:rsid w:val="005451CF"/>
    <w:rsid w:val="00545943"/>
    <w:rsid w:val="00550A83"/>
    <w:rsid w:val="00551F7A"/>
    <w:rsid w:val="0055285B"/>
    <w:rsid w:val="00553DB0"/>
    <w:rsid w:val="005540D2"/>
    <w:rsid w:val="00554969"/>
    <w:rsid w:val="00555C70"/>
    <w:rsid w:val="005610BB"/>
    <w:rsid w:val="005622C8"/>
    <w:rsid w:val="005626F8"/>
    <w:rsid w:val="00562E85"/>
    <w:rsid w:val="00563BCF"/>
    <w:rsid w:val="00563EC0"/>
    <w:rsid w:val="0056468E"/>
    <w:rsid w:val="00565C2C"/>
    <w:rsid w:val="00571BD4"/>
    <w:rsid w:val="00571F09"/>
    <w:rsid w:val="00572E76"/>
    <w:rsid w:val="005778C5"/>
    <w:rsid w:val="00581429"/>
    <w:rsid w:val="005815B2"/>
    <w:rsid w:val="00581EE1"/>
    <w:rsid w:val="005846C3"/>
    <w:rsid w:val="00584DC5"/>
    <w:rsid w:val="00585183"/>
    <w:rsid w:val="00585DE1"/>
    <w:rsid w:val="0058643A"/>
    <w:rsid w:val="00590020"/>
    <w:rsid w:val="005900FF"/>
    <w:rsid w:val="00590AB6"/>
    <w:rsid w:val="0059107C"/>
    <w:rsid w:val="00591262"/>
    <w:rsid w:val="00591310"/>
    <w:rsid w:val="0059257B"/>
    <w:rsid w:val="0059394B"/>
    <w:rsid w:val="00594641"/>
    <w:rsid w:val="005973D3"/>
    <w:rsid w:val="005A0A2F"/>
    <w:rsid w:val="005A3B9B"/>
    <w:rsid w:val="005A48A0"/>
    <w:rsid w:val="005A549D"/>
    <w:rsid w:val="005A65CD"/>
    <w:rsid w:val="005B0619"/>
    <w:rsid w:val="005B38BC"/>
    <w:rsid w:val="005B472E"/>
    <w:rsid w:val="005B66AE"/>
    <w:rsid w:val="005B68DF"/>
    <w:rsid w:val="005B6AFF"/>
    <w:rsid w:val="005B70B9"/>
    <w:rsid w:val="005B755C"/>
    <w:rsid w:val="005C1A5C"/>
    <w:rsid w:val="005C24CC"/>
    <w:rsid w:val="005C5197"/>
    <w:rsid w:val="005C64D0"/>
    <w:rsid w:val="005C65CA"/>
    <w:rsid w:val="005C6897"/>
    <w:rsid w:val="005C68EB"/>
    <w:rsid w:val="005C7259"/>
    <w:rsid w:val="005C75B8"/>
    <w:rsid w:val="005C77E0"/>
    <w:rsid w:val="005D013C"/>
    <w:rsid w:val="005D2905"/>
    <w:rsid w:val="005D45F5"/>
    <w:rsid w:val="005E06A1"/>
    <w:rsid w:val="005E3245"/>
    <w:rsid w:val="005E41D1"/>
    <w:rsid w:val="005E539C"/>
    <w:rsid w:val="005E6746"/>
    <w:rsid w:val="005E6DA7"/>
    <w:rsid w:val="005E7F1E"/>
    <w:rsid w:val="005F360D"/>
    <w:rsid w:val="005F45F8"/>
    <w:rsid w:val="005F46B9"/>
    <w:rsid w:val="005F5295"/>
    <w:rsid w:val="005F564F"/>
    <w:rsid w:val="005F7400"/>
    <w:rsid w:val="005F794C"/>
    <w:rsid w:val="005F7CEE"/>
    <w:rsid w:val="005F7E06"/>
    <w:rsid w:val="00600EE5"/>
    <w:rsid w:val="00601775"/>
    <w:rsid w:val="00601B0A"/>
    <w:rsid w:val="00601F54"/>
    <w:rsid w:val="0060316A"/>
    <w:rsid w:val="00605BCB"/>
    <w:rsid w:val="006112A2"/>
    <w:rsid w:val="00611FAF"/>
    <w:rsid w:val="0061345D"/>
    <w:rsid w:val="00614CA3"/>
    <w:rsid w:val="00620211"/>
    <w:rsid w:val="0062158C"/>
    <w:rsid w:val="006224B1"/>
    <w:rsid w:val="0062290A"/>
    <w:rsid w:val="00623286"/>
    <w:rsid w:val="00627395"/>
    <w:rsid w:val="006273A4"/>
    <w:rsid w:val="00627544"/>
    <w:rsid w:val="00627DF0"/>
    <w:rsid w:val="0063129E"/>
    <w:rsid w:val="00632D3B"/>
    <w:rsid w:val="00633283"/>
    <w:rsid w:val="00634B58"/>
    <w:rsid w:val="00636AC5"/>
    <w:rsid w:val="0064010F"/>
    <w:rsid w:val="00640AE8"/>
    <w:rsid w:val="00641BA0"/>
    <w:rsid w:val="00642A45"/>
    <w:rsid w:val="00642C8D"/>
    <w:rsid w:val="00643F76"/>
    <w:rsid w:val="006455FB"/>
    <w:rsid w:val="0064578E"/>
    <w:rsid w:val="0064728C"/>
    <w:rsid w:val="00651936"/>
    <w:rsid w:val="00652174"/>
    <w:rsid w:val="00652881"/>
    <w:rsid w:val="006529EB"/>
    <w:rsid w:val="00654A93"/>
    <w:rsid w:val="00654DF0"/>
    <w:rsid w:val="0065679F"/>
    <w:rsid w:val="006603E5"/>
    <w:rsid w:val="00660F5F"/>
    <w:rsid w:val="00660FD6"/>
    <w:rsid w:val="006613FB"/>
    <w:rsid w:val="0066183D"/>
    <w:rsid w:val="00661D67"/>
    <w:rsid w:val="006633F2"/>
    <w:rsid w:val="00665726"/>
    <w:rsid w:val="006658F5"/>
    <w:rsid w:val="00666C3D"/>
    <w:rsid w:val="00667E4B"/>
    <w:rsid w:val="00670B3A"/>
    <w:rsid w:val="006710A4"/>
    <w:rsid w:val="00673295"/>
    <w:rsid w:val="0067358F"/>
    <w:rsid w:val="00675942"/>
    <w:rsid w:val="00676029"/>
    <w:rsid w:val="006762E2"/>
    <w:rsid w:val="00677271"/>
    <w:rsid w:val="00680FB6"/>
    <w:rsid w:val="00681669"/>
    <w:rsid w:val="0068168C"/>
    <w:rsid w:val="006825C9"/>
    <w:rsid w:val="00683266"/>
    <w:rsid w:val="00683640"/>
    <w:rsid w:val="00683944"/>
    <w:rsid w:val="006844DC"/>
    <w:rsid w:val="006846F3"/>
    <w:rsid w:val="00685873"/>
    <w:rsid w:val="006863A2"/>
    <w:rsid w:val="00686A1D"/>
    <w:rsid w:val="00687021"/>
    <w:rsid w:val="006909BD"/>
    <w:rsid w:val="00690ABF"/>
    <w:rsid w:val="00690BAF"/>
    <w:rsid w:val="006919C2"/>
    <w:rsid w:val="00691DF1"/>
    <w:rsid w:val="006924B3"/>
    <w:rsid w:val="0069320A"/>
    <w:rsid w:val="006958E7"/>
    <w:rsid w:val="00697FD6"/>
    <w:rsid w:val="006A0F1D"/>
    <w:rsid w:val="006A1F36"/>
    <w:rsid w:val="006A2869"/>
    <w:rsid w:val="006A409B"/>
    <w:rsid w:val="006A417D"/>
    <w:rsid w:val="006A476E"/>
    <w:rsid w:val="006A48A9"/>
    <w:rsid w:val="006A4E44"/>
    <w:rsid w:val="006A6105"/>
    <w:rsid w:val="006A6462"/>
    <w:rsid w:val="006A668D"/>
    <w:rsid w:val="006A7AFE"/>
    <w:rsid w:val="006B1B03"/>
    <w:rsid w:val="006B26D3"/>
    <w:rsid w:val="006B2E95"/>
    <w:rsid w:val="006B3403"/>
    <w:rsid w:val="006B697B"/>
    <w:rsid w:val="006C0AB1"/>
    <w:rsid w:val="006C0D66"/>
    <w:rsid w:val="006C12FF"/>
    <w:rsid w:val="006C37EF"/>
    <w:rsid w:val="006C3D12"/>
    <w:rsid w:val="006C608C"/>
    <w:rsid w:val="006C66E0"/>
    <w:rsid w:val="006C677F"/>
    <w:rsid w:val="006C7DB7"/>
    <w:rsid w:val="006D13D9"/>
    <w:rsid w:val="006D1C04"/>
    <w:rsid w:val="006D1DEF"/>
    <w:rsid w:val="006D5620"/>
    <w:rsid w:val="006D580F"/>
    <w:rsid w:val="006D7011"/>
    <w:rsid w:val="006E09F9"/>
    <w:rsid w:val="006E4302"/>
    <w:rsid w:val="006E4D7F"/>
    <w:rsid w:val="006E4F54"/>
    <w:rsid w:val="006F3B05"/>
    <w:rsid w:val="006F5DDA"/>
    <w:rsid w:val="006F6174"/>
    <w:rsid w:val="006F644F"/>
    <w:rsid w:val="006F7A73"/>
    <w:rsid w:val="00700B21"/>
    <w:rsid w:val="00703359"/>
    <w:rsid w:val="00704D47"/>
    <w:rsid w:val="00710EE8"/>
    <w:rsid w:val="00710FD8"/>
    <w:rsid w:val="00711527"/>
    <w:rsid w:val="0071264A"/>
    <w:rsid w:val="00713D57"/>
    <w:rsid w:val="00714D53"/>
    <w:rsid w:val="00716B37"/>
    <w:rsid w:val="00717C5D"/>
    <w:rsid w:val="007262A0"/>
    <w:rsid w:val="00726BDA"/>
    <w:rsid w:val="00726D06"/>
    <w:rsid w:val="00727EC8"/>
    <w:rsid w:val="00730159"/>
    <w:rsid w:val="00731B5B"/>
    <w:rsid w:val="00732732"/>
    <w:rsid w:val="0073322B"/>
    <w:rsid w:val="00733A45"/>
    <w:rsid w:val="00733BBD"/>
    <w:rsid w:val="00735135"/>
    <w:rsid w:val="00735E04"/>
    <w:rsid w:val="00735F21"/>
    <w:rsid w:val="007367CA"/>
    <w:rsid w:val="00737FC3"/>
    <w:rsid w:val="007406DF"/>
    <w:rsid w:val="0074096A"/>
    <w:rsid w:val="007409DD"/>
    <w:rsid w:val="00745751"/>
    <w:rsid w:val="00746BC6"/>
    <w:rsid w:val="00750319"/>
    <w:rsid w:val="00751532"/>
    <w:rsid w:val="00752B07"/>
    <w:rsid w:val="00752C48"/>
    <w:rsid w:val="00753981"/>
    <w:rsid w:val="00754473"/>
    <w:rsid w:val="00754857"/>
    <w:rsid w:val="00754FB5"/>
    <w:rsid w:val="007570EE"/>
    <w:rsid w:val="00760071"/>
    <w:rsid w:val="007607AB"/>
    <w:rsid w:val="00760936"/>
    <w:rsid w:val="007613C9"/>
    <w:rsid w:val="007632D4"/>
    <w:rsid w:val="0076354E"/>
    <w:rsid w:val="007635F6"/>
    <w:rsid w:val="00763D1C"/>
    <w:rsid w:val="00763D5D"/>
    <w:rsid w:val="0076533D"/>
    <w:rsid w:val="0076546F"/>
    <w:rsid w:val="0076590C"/>
    <w:rsid w:val="00765B54"/>
    <w:rsid w:val="00767617"/>
    <w:rsid w:val="0076779F"/>
    <w:rsid w:val="00770121"/>
    <w:rsid w:val="007706A6"/>
    <w:rsid w:val="00770C2F"/>
    <w:rsid w:val="0077542A"/>
    <w:rsid w:val="00775C2B"/>
    <w:rsid w:val="00775CBB"/>
    <w:rsid w:val="00776054"/>
    <w:rsid w:val="007801AD"/>
    <w:rsid w:val="007801CE"/>
    <w:rsid w:val="0078092F"/>
    <w:rsid w:val="00781198"/>
    <w:rsid w:val="007817A1"/>
    <w:rsid w:val="00781DF5"/>
    <w:rsid w:val="00782B4D"/>
    <w:rsid w:val="00782CE1"/>
    <w:rsid w:val="00783141"/>
    <w:rsid w:val="00783176"/>
    <w:rsid w:val="0078384B"/>
    <w:rsid w:val="007862E9"/>
    <w:rsid w:val="00787B68"/>
    <w:rsid w:val="0079221A"/>
    <w:rsid w:val="00792A98"/>
    <w:rsid w:val="00792C6C"/>
    <w:rsid w:val="00795584"/>
    <w:rsid w:val="007A1BF5"/>
    <w:rsid w:val="007A3AAC"/>
    <w:rsid w:val="007A467F"/>
    <w:rsid w:val="007A5BAB"/>
    <w:rsid w:val="007A6BA1"/>
    <w:rsid w:val="007A6C09"/>
    <w:rsid w:val="007B0632"/>
    <w:rsid w:val="007B1E0F"/>
    <w:rsid w:val="007B23C7"/>
    <w:rsid w:val="007B3B56"/>
    <w:rsid w:val="007B3EC6"/>
    <w:rsid w:val="007B487D"/>
    <w:rsid w:val="007B4E50"/>
    <w:rsid w:val="007B693B"/>
    <w:rsid w:val="007B6F65"/>
    <w:rsid w:val="007C0C2E"/>
    <w:rsid w:val="007C0E0D"/>
    <w:rsid w:val="007C6958"/>
    <w:rsid w:val="007D075F"/>
    <w:rsid w:val="007D0982"/>
    <w:rsid w:val="007D2784"/>
    <w:rsid w:val="007D4128"/>
    <w:rsid w:val="007D7674"/>
    <w:rsid w:val="007E1A14"/>
    <w:rsid w:val="007E1A79"/>
    <w:rsid w:val="007E27A0"/>
    <w:rsid w:val="007E3C1E"/>
    <w:rsid w:val="007E3F9D"/>
    <w:rsid w:val="007E402B"/>
    <w:rsid w:val="007E5665"/>
    <w:rsid w:val="007E6D53"/>
    <w:rsid w:val="007E7ED6"/>
    <w:rsid w:val="007F0E3B"/>
    <w:rsid w:val="007F18C3"/>
    <w:rsid w:val="007F39B7"/>
    <w:rsid w:val="007F3A09"/>
    <w:rsid w:val="007F408E"/>
    <w:rsid w:val="007F4E29"/>
    <w:rsid w:val="007F5E08"/>
    <w:rsid w:val="007F6315"/>
    <w:rsid w:val="007F681B"/>
    <w:rsid w:val="007F746D"/>
    <w:rsid w:val="007F770C"/>
    <w:rsid w:val="00801385"/>
    <w:rsid w:val="008018D1"/>
    <w:rsid w:val="00801E18"/>
    <w:rsid w:val="00804BAB"/>
    <w:rsid w:val="00805DFA"/>
    <w:rsid w:val="008064A9"/>
    <w:rsid w:val="008069ED"/>
    <w:rsid w:val="008122BD"/>
    <w:rsid w:val="00812E6B"/>
    <w:rsid w:val="00813E00"/>
    <w:rsid w:val="00815911"/>
    <w:rsid w:val="00815EFB"/>
    <w:rsid w:val="00816AFF"/>
    <w:rsid w:val="00817F10"/>
    <w:rsid w:val="00817F66"/>
    <w:rsid w:val="00820E3A"/>
    <w:rsid w:val="00821679"/>
    <w:rsid w:val="00822A86"/>
    <w:rsid w:val="00822D82"/>
    <w:rsid w:val="008232C0"/>
    <w:rsid w:val="00823822"/>
    <w:rsid w:val="00825D6B"/>
    <w:rsid w:val="0083024B"/>
    <w:rsid w:val="00830C08"/>
    <w:rsid w:val="00833BAF"/>
    <w:rsid w:val="008342E9"/>
    <w:rsid w:val="00836777"/>
    <w:rsid w:val="008410D4"/>
    <w:rsid w:val="00842753"/>
    <w:rsid w:val="00842811"/>
    <w:rsid w:val="00842FAE"/>
    <w:rsid w:val="00843FF1"/>
    <w:rsid w:val="008473B0"/>
    <w:rsid w:val="00847637"/>
    <w:rsid w:val="008503E1"/>
    <w:rsid w:val="00850420"/>
    <w:rsid w:val="00850654"/>
    <w:rsid w:val="00852E5B"/>
    <w:rsid w:val="00854596"/>
    <w:rsid w:val="00855452"/>
    <w:rsid w:val="008560FF"/>
    <w:rsid w:val="00856354"/>
    <w:rsid w:val="008572FE"/>
    <w:rsid w:val="00860FBB"/>
    <w:rsid w:val="008612FD"/>
    <w:rsid w:val="00861806"/>
    <w:rsid w:val="00862688"/>
    <w:rsid w:val="008637BE"/>
    <w:rsid w:val="008646B2"/>
    <w:rsid w:val="00867328"/>
    <w:rsid w:val="00867C31"/>
    <w:rsid w:val="00870140"/>
    <w:rsid w:val="00872076"/>
    <w:rsid w:val="00872D80"/>
    <w:rsid w:val="0087307E"/>
    <w:rsid w:val="0087384F"/>
    <w:rsid w:val="00873A0F"/>
    <w:rsid w:val="008740C8"/>
    <w:rsid w:val="008745A1"/>
    <w:rsid w:val="008746AF"/>
    <w:rsid w:val="0087523D"/>
    <w:rsid w:val="00877A01"/>
    <w:rsid w:val="0088032D"/>
    <w:rsid w:val="00882A29"/>
    <w:rsid w:val="00882B51"/>
    <w:rsid w:val="00882D76"/>
    <w:rsid w:val="00883039"/>
    <w:rsid w:val="008837AC"/>
    <w:rsid w:val="00884104"/>
    <w:rsid w:val="008844E4"/>
    <w:rsid w:val="00884CBE"/>
    <w:rsid w:val="008903F8"/>
    <w:rsid w:val="00890E27"/>
    <w:rsid w:val="008926FD"/>
    <w:rsid w:val="00893919"/>
    <w:rsid w:val="00895708"/>
    <w:rsid w:val="00896A9C"/>
    <w:rsid w:val="00896F7D"/>
    <w:rsid w:val="00897522"/>
    <w:rsid w:val="008A036F"/>
    <w:rsid w:val="008A1173"/>
    <w:rsid w:val="008A13A2"/>
    <w:rsid w:val="008A1CB3"/>
    <w:rsid w:val="008A1D50"/>
    <w:rsid w:val="008A4638"/>
    <w:rsid w:val="008A46F0"/>
    <w:rsid w:val="008A492B"/>
    <w:rsid w:val="008A59EF"/>
    <w:rsid w:val="008B2736"/>
    <w:rsid w:val="008B304E"/>
    <w:rsid w:val="008B41BB"/>
    <w:rsid w:val="008B5922"/>
    <w:rsid w:val="008B70EB"/>
    <w:rsid w:val="008B7E39"/>
    <w:rsid w:val="008C13E2"/>
    <w:rsid w:val="008C3B45"/>
    <w:rsid w:val="008C513D"/>
    <w:rsid w:val="008C69C2"/>
    <w:rsid w:val="008C7E7C"/>
    <w:rsid w:val="008D143A"/>
    <w:rsid w:val="008D18CA"/>
    <w:rsid w:val="008D1976"/>
    <w:rsid w:val="008D1E8A"/>
    <w:rsid w:val="008D2A52"/>
    <w:rsid w:val="008D2E30"/>
    <w:rsid w:val="008D30AD"/>
    <w:rsid w:val="008D52F5"/>
    <w:rsid w:val="008D530A"/>
    <w:rsid w:val="008D5516"/>
    <w:rsid w:val="008D6FCA"/>
    <w:rsid w:val="008E2637"/>
    <w:rsid w:val="008E29C1"/>
    <w:rsid w:val="008E2D43"/>
    <w:rsid w:val="008E3637"/>
    <w:rsid w:val="008E4D3D"/>
    <w:rsid w:val="008E6ABC"/>
    <w:rsid w:val="008E7A33"/>
    <w:rsid w:val="008F03BA"/>
    <w:rsid w:val="008F11F0"/>
    <w:rsid w:val="008F1E7B"/>
    <w:rsid w:val="008F29BC"/>
    <w:rsid w:val="008F3532"/>
    <w:rsid w:val="008F6139"/>
    <w:rsid w:val="008F66CB"/>
    <w:rsid w:val="008F7C89"/>
    <w:rsid w:val="00900B89"/>
    <w:rsid w:val="00900F97"/>
    <w:rsid w:val="00901015"/>
    <w:rsid w:val="00901138"/>
    <w:rsid w:val="009022DA"/>
    <w:rsid w:val="00902310"/>
    <w:rsid w:val="00903355"/>
    <w:rsid w:val="009037B3"/>
    <w:rsid w:val="00903FCA"/>
    <w:rsid w:val="00904C29"/>
    <w:rsid w:val="00904E19"/>
    <w:rsid w:val="00905F05"/>
    <w:rsid w:val="00910138"/>
    <w:rsid w:val="0091166C"/>
    <w:rsid w:val="0091221A"/>
    <w:rsid w:val="009122C0"/>
    <w:rsid w:val="009128A4"/>
    <w:rsid w:val="0091462D"/>
    <w:rsid w:val="00914A03"/>
    <w:rsid w:val="00916338"/>
    <w:rsid w:val="009169B1"/>
    <w:rsid w:val="0091716E"/>
    <w:rsid w:val="0092395F"/>
    <w:rsid w:val="00923F07"/>
    <w:rsid w:val="009253B1"/>
    <w:rsid w:val="0092719C"/>
    <w:rsid w:val="00930EE7"/>
    <w:rsid w:val="00932986"/>
    <w:rsid w:val="009367C5"/>
    <w:rsid w:val="00936ACE"/>
    <w:rsid w:val="00940A06"/>
    <w:rsid w:val="009413BB"/>
    <w:rsid w:val="00941CE2"/>
    <w:rsid w:val="009429BE"/>
    <w:rsid w:val="0094361C"/>
    <w:rsid w:val="009460FF"/>
    <w:rsid w:val="009463E9"/>
    <w:rsid w:val="00946AF0"/>
    <w:rsid w:val="00947D58"/>
    <w:rsid w:val="0095164B"/>
    <w:rsid w:val="009523E8"/>
    <w:rsid w:val="009526DD"/>
    <w:rsid w:val="00952E6A"/>
    <w:rsid w:val="00954A20"/>
    <w:rsid w:val="00960CF6"/>
    <w:rsid w:val="0096346C"/>
    <w:rsid w:val="00963CB7"/>
    <w:rsid w:val="0096418D"/>
    <w:rsid w:val="00964431"/>
    <w:rsid w:val="009647A6"/>
    <w:rsid w:val="009659C5"/>
    <w:rsid w:val="00970185"/>
    <w:rsid w:val="0097091A"/>
    <w:rsid w:val="009716F7"/>
    <w:rsid w:val="00972935"/>
    <w:rsid w:val="00972DF8"/>
    <w:rsid w:val="009743FC"/>
    <w:rsid w:val="009751A2"/>
    <w:rsid w:val="009768DC"/>
    <w:rsid w:val="00977308"/>
    <w:rsid w:val="00977790"/>
    <w:rsid w:val="00980E2C"/>
    <w:rsid w:val="00981A67"/>
    <w:rsid w:val="00982537"/>
    <w:rsid w:val="009835A3"/>
    <w:rsid w:val="0098360E"/>
    <w:rsid w:val="0098401F"/>
    <w:rsid w:val="00985731"/>
    <w:rsid w:val="00985F4D"/>
    <w:rsid w:val="0098659B"/>
    <w:rsid w:val="00986AD6"/>
    <w:rsid w:val="009918D1"/>
    <w:rsid w:val="00992964"/>
    <w:rsid w:val="009929F9"/>
    <w:rsid w:val="00992A0F"/>
    <w:rsid w:val="0099324A"/>
    <w:rsid w:val="00993300"/>
    <w:rsid w:val="00994BD8"/>
    <w:rsid w:val="00994E4A"/>
    <w:rsid w:val="0099593F"/>
    <w:rsid w:val="0099690D"/>
    <w:rsid w:val="00996983"/>
    <w:rsid w:val="009A2391"/>
    <w:rsid w:val="009A24E6"/>
    <w:rsid w:val="009A25A1"/>
    <w:rsid w:val="009A3477"/>
    <w:rsid w:val="009A46F4"/>
    <w:rsid w:val="009A5FBA"/>
    <w:rsid w:val="009A6135"/>
    <w:rsid w:val="009A7355"/>
    <w:rsid w:val="009A7A4D"/>
    <w:rsid w:val="009A7B0D"/>
    <w:rsid w:val="009B05A4"/>
    <w:rsid w:val="009B0BD9"/>
    <w:rsid w:val="009B2CE3"/>
    <w:rsid w:val="009B53D8"/>
    <w:rsid w:val="009B614F"/>
    <w:rsid w:val="009C1EDC"/>
    <w:rsid w:val="009C2834"/>
    <w:rsid w:val="009C371A"/>
    <w:rsid w:val="009C4762"/>
    <w:rsid w:val="009C4B20"/>
    <w:rsid w:val="009C7436"/>
    <w:rsid w:val="009D12E0"/>
    <w:rsid w:val="009E0299"/>
    <w:rsid w:val="009E0E3A"/>
    <w:rsid w:val="009E27A2"/>
    <w:rsid w:val="009E2980"/>
    <w:rsid w:val="009E3605"/>
    <w:rsid w:val="009E36E7"/>
    <w:rsid w:val="009E4A7E"/>
    <w:rsid w:val="009E726B"/>
    <w:rsid w:val="009F0325"/>
    <w:rsid w:val="009F104E"/>
    <w:rsid w:val="009F2C58"/>
    <w:rsid w:val="009F65B5"/>
    <w:rsid w:val="00A00479"/>
    <w:rsid w:val="00A004B0"/>
    <w:rsid w:val="00A009A7"/>
    <w:rsid w:val="00A01C85"/>
    <w:rsid w:val="00A02FB3"/>
    <w:rsid w:val="00A035ED"/>
    <w:rsid w:val="00A03BE5"/>
    <w:rsid w:val="00A03C1B"/>
    <w:rsid w:val="00A062B1"/>
    <w:rsid w:val="00A063AA"/>
    <w:rsid w:val="00A06758"/>
    <w:rsid w:val="00A06827"/>
    <w:rsid w:val="00A06C84"/>
    <w:rsid w:val="00A10DB2"/>
    <w:rsid w:val="00A119E4"/>
    <w:rsid w:val="00A136DF"/>
    <w:rsid w:val="00A1474F"/>
    <w:rsid w:val="00A1494A"/>
    <w:rsid w:val="00A14DF5"/>
    <w:rsid w:val="00A17116"/>
    <w:rsid w:val="00A17EE2"/>
    <w:rsid w:val="00A2040C"/>
    <w:rsid w:val="00A2073F"/>
    <w:rsid w:val="00A22596"/>
    <w:rsid w:val="00A22600"/>
    <w:rsid w:val="00A239EB"/>
    <w:rsid w:val="00A249B5"/>
    <w:rsid w:val="00A250CF"/>
    <w:rsid w:val="00A25AA8"/>
    <w:rsid w:val="00A26951"/>
    <w:rsid w:val="00A26A19"/>
    <w:rsid w:val="00A27633"/>
    <w:rsid w:val="00A27965"/>
    <w:rsid w:val="00A279C5"/>
    <w:rsid w:val="00A30DB2"/>
    <w:rsid w:val="00A3100B"/>
    <w:rsid w:val="00A311A1"/>
    <w:rsid w:val="00A334CE"/>
    <w:rsid w:val="00A349DB"/>
    <w:rsid w:val="00A3547E"/>
    <w:rsid w:val="00A35D14"/>
    <w:rsid w:val="00A360E1"/>
    <w:rsid w:val="00A36164"/>
    <w:rsid w:val="00A37F4C"/>
    <w:rsid w:val="00A40113"/>
    <w:rsid w:val="00A402F8"/>
    <w:rsid w:val="00A4045A"/>
    <w:rsid w:val="00A439D0"/>
    <w:rsid w:val="00A47F72"/>
    <w:rsid w:val="00A501A7"/>
    <w:rsid w:val="00A52357"/>
    <w:rsid w:val="00A548E9"/>
    <w:rsid w:val="00A54A0E"/>
    <w:rsid w:val="00A54C47"/>
    <w:rsid w:val="00A5561A"/>
    <w:rsid w:val="00A575FB"/>
    <w:rsid w:val="00A57C38"/>
    <w:rsid w:val="00A57E77"/>
    <w:rsid w:val="00A57ED2"/>
    <w:rsid w:val="00A60373"/>
    <w:rsid w:val="00A620D4"/>
    <w:rsid w:val="00A630BA"/>
    <w:rsid w:val="00A65B0A"/>
    <w:rsid w:val="00A6670E"/>
    <w:rsid w:val="00A705F3"/>
    <w:rsid w:val="00A70DD6"/>
    <w:rsid w:val="00A72B34"/>
    <w:rsid w:val="00A73468"/>
    <w:rsid w:val="00A734B5"/>
    <w:rsid w:val="00A746B0"/>
    <w:rsid w:val="00A74E50"/>
    <w:rsid w:val="00A74F3D"/>
    <w:rsid w:val="00A75DE6"/>
    <w:rsid w:val="00A77B93"/>
    <w:rsid w:val="00A80DB9"/>
    <w:rsid w:val="00A80E65"/>
    <w:rsid w:val="00A8710A"/>
    <w:rsid w:val="00A916CE"/>
    <w:rsid w:val="00A92DE6"/>
    <w:rsid w:val="00A93429"/>
    <w:rsid w:val="00A93FAE"/>
    <w:rsid w:val="00AA0104"/>
    <w:rsid w:val="00AA01A2"/>
    <w:rsid w:val="00AA08C9"/>
    <w:rsid w:val="00AA1216"/>
    <w:rsid w:val="00AA2BE7"/>
    <w:rsid w:val="00AA4D00"/>
    <w:rsid w:val="00AA515B"/>
    <w:rsid w:val="00AA582D"/>
    <w:rsid w:val="00AA5997"/>
    <w:rsid w:val="00AA5A61"/>
    <w:rsid w:val="00AA64C3"/>
    <w:rsid w:val="00AB0258"/>
    <w:rsid w:val="00AB0A7B"/>
    <w:rsid w:val="00AB3C80"/>
    <w:rsid w:val="00AB5335"/>
    <w:rsid w:val="00AB7302"/>
    <w:rsid w:val="00AC0A9C"/>
    <w:rsid w:val="00AC0AF6"/>
    <w:rsid w:val="00AC0F3B"/>
    <w:rsid w:val="00AC3DA0"/>
    <w:rsid w:val="00AC4269"/>
    <w:rsid w:val="00AC5DCB"/>
    <w:rsid w:val="00AC648B"/>
    <w:rsid w:val="00AD17BB"/>
    <w:rsid w:val="00AD52F3"/>
    <w:rsid w:val="00AE05B8"/>
    <w:rsid w:val="00AE0640"/>
    <w:rsid w:val="00AE10CD"/>
    <w:rsid w:val="00AE1B02"/>
    <w:rsid w:val="00AE2207"/>
    <w:rsid w:val="00AE30F3"/>
    <w:rsid w:val="00AE567E"/>
    <w:rsid w:val="00AE6387"/>
    <w:rsid w:val="00AE6430"/>
    <w:rsid w:val="00AF3F04"/>
    <w:rsid w:val="00AF6503"/>
    <w:rsid w:val="00AF6AD4"/>
    <w:rsid w:val="00B00AB3"/>
    <w:rsid w:val="00B00F6E"/>
    <w:rsid w:val="00B030B3"/>
    <w:rsid w:val="00B037CB"/>
    <w:rsid w:val="00B04026"/>
    <w:rsid w:val="00B04AC4"/>
    <w:rsid w:val="00B062EB"/>
    <w:rsid w:val="00B11286"/>
    <w:rsid w:val="00B112AA"/>
    <w:rsid w:val="00B11D50"/>
    <w:rsid w:val="00B14481"/>
    <w:rsid w:val="00B144F1"/>
    <w:rsid w:val="00B1459C"/>
    <w:rsid w:val="00B1543B"/>
    <w:rsid w:val="00B15934"/>
    <w:rsid w:val="00B159E0"/>
    <w:rsid w:val="00B168B6"/>
    <w:rsid w:val="00B1724A"/>
    <w:rsid w:val="00B203D1"/>
    <w:rsid w:val="00B21143"/>
    <w:rsid w:val="00B21547"/>
    <w:rsid w:val="00B225EC"/>
    <w:rsid w:val="00B22B29"/>
    <w:rsid w:val="00B239BA"/>
    <w:rsid w:val="00B24261"/>
    <w:rsid w:val="00B27817"/>
    <w:rsid w:val="00B31ADA"/>
    <w:rsid w:val="00B356AC"/>
    <w:rsid w:val="00B35DAE"/>
    <w:rsid w:val="00B36345"/>
    <w:rsid w:val="00B36D86"/>
    <w:rsid w:val="00B37438"/>
    <w:rsid w:val="00B378D7"/>
    <w:rsid w:val="00B40E28"/>
    <w:rsid w:val="00B41624"/>
    <w:rsid w:val="00B41FE0"/>
    <w:rsid w:val="00B43F8A"/>
    <w:rsid w:val="00B440BC"/>
    <w:rsid w:val="00B44349"/>
    <w:rsid w:val="00B44E81"/>
    <w:rsid w:val="00B450D8"/>
    <w:rsid w:val="00B46076"/>
    <w:rsid w:val="00B46B32"/>
    <w:rsid w:val="00B50237"/>
    <w:rsid w:val="00B51233"/>
    <w:rsid w:val="00B51D18"/>
    <w:rsid w:val="00B54CCF"/>
    <w:rsid w:val="00B5605F"/>
    <w:rsid w:val="00B5741B"/>
    <w:rsid w:val="00B576E3"/>
    <w:rsid w:val="00B57C21"/>
    <w:rsid w:val="00B63F25"/>
    <w:rsid w:val="00B66AE9"/>
    <w:rsid w:val="00B66CCF"/>
    <w:rsid w:val="00B67B4E"/>
    <w:rsid w:val="00B67BD4"/>
    <w:rsid w:val="00B70E27"/>
    <w:rsid w:val="00B71AC6"/>
    <w:rsid w:val="00B73113"/>
    <w:rsid w:val="00B745AF"/>
    <w:rsid w:val="00B74FD3"/>
    <w:rsid w:val="00B75F7F"/>
    <w:rsid w:val="00B768A1"/>
    <w:rsid w:val="00B7723A"/>
    <w:rsid w:val="00B772F7"/>
    <w:rsid w:val="00B7751D"/>
    <w:rsid w:val="00B82250"/>
    <w:rsid w:val="00B824EF"/>
    <w:rsid w:val="00B8395D"/>
    <w:rsid w:val="00B83B48"/>
    <w:rsid w:val="00B84340"/>
    <w:rsid w:val="00B86537"/>
    <w:rsid w:val="00B87016"/>
    <w:rsid w:val="00B905BA"/>
    <w:rsid w:val="00B948AA"/>
    <w:rsid w:val="00B96635"/>
    <w:rsid w:val="00BA057C"/>
    <w:rsid w:val="00BA078D"/>
    <w:rsid w:val="00BA139F"/>
    <w:rsid w:val="00BA2E9E"/>
    <w:rsid w:val="00BA3793"/>
    <w:rsid w:val="00BA47E0"/>
    <w:rsid w:val="00BA515B"/>
    <w:rsid w:val="00BA5AE0"/>
    <w:rsid w:val="00BA7BA6"/>
    <w:rsid w:val="00BB0835"/>
    <w:rsid w:val="00BB229C"/>
    <w:rsid w:val="00BB6C39"/>
    <w:rsid w:val="00BB7DDB"/>
    <w:rsid w:val="00BC07AA"/>
    <w:rsid w:val="00BC1488"/>
    <w:rsid w:val="00BC2FEF"/>
    <w:rsid w:val="00BC4028"/>
    <w:rsid w:val="00BC6407"/>
    <w:rsid w:val="00BD1560"/>
    <w:rsid w:val="00BD36F1"/>
    <w:rsid w:val="00BD3B1A"/>
    <w:rsid w:val="00BD3CAD"/>
    <w:rsid w:val="00BD755E"/>
    <w:rsid w:val="00BE0BCB"/>
    <w:rsid w:val="00BE1F92"/>
    <w:rsid w:val="00BE2A1D"/>
    <w:rsid w:val="00BE2C91"/>
    <w:rsid w:val="00BE2F82"/>
    <w:rsid w:val="00BE34CD"/>
    <w:rsid w:val="00BE3A68"/>
    <w:rsid w:val="00BE3D7F"/>
    <w:rsid w:val="00BE6614"/>
    <w:rsid w:val="00BF05CF"/>
    <w:rsid w:val="00BF0B0B"/>
    <w:rsid w:val="00BF1A8D"/>
    <w:rsid w:val="00BF3A83"/>
    <w:rsid w:val="00BF66C7"/>
    <w:rsid w:val="00C006ED"/>
    <w:rsid w:val="00C01316"/>
    <w:rsid w:val="00C015EB"/>
    <w:rsid w:val="00C0339D"/>
    <w:rsid w:val="00C03922"/>
    <w:rsid w:val="00C03BA1"/>
    <w:rsid w:val="00C0587A"/>
    <w:rsid w:val="00C05EC6"/>
    <w:rsid w:val="00C06C2D"/>
    <w:rsid w:val="00C06E7B"/>
    <w:rsid w:val="00C06F66"/>
    <w:rsid w:val="00C07240"/>
    <w:rsid w:val="00C10266"/>
    <w:rsid w:val="00C10D6B"/>
    <w:rsid w:val="00C158A8"/>
    <w:rsid w:val="00C225D7"/>
    <w:rsid w:val="00C26D4B"/>
    <w:rsid w:val="00C302BC"/>
    <w:rsid w:val="00C31A3A"/>
    <w:rsid w:val="00C31C36"/>
    <w:rsid w:val="00C346E2"/>
    <w:rsid w:val="00C34F45"/>
    <w:rsid w:val="00C360DB"/>
    <w:rsid w:val="00C36353"/>
    <w:rsid w:val="00C40363"/>
    <w:rsid w:val="00C40382"/>
    <w:rsid w:val="00C40EC4"/>
    <w:rsid w:val="00C419C3"/>
    <w:rsid w:val="00C4313B"/>
    <w:rsid w:val="00C43BF2"/>
    <w:rsid w:val="00C45262"/>
    <w:rsid w:val="00C45481"/>
    <w:rsid w:val="00C45AE3"/>
    <w:rsid w:val="00C4751F"/>
    <w:rsid w:val="00C52A45"/>
    <w:rsid w:val="00C53411"/>
    <w:rsid w:val="00C534C0"/>
    <w:rsid w:val="00C53B80"/>
    <w:rsid w:val="00C545FA"/>
    <w:rsid w:val="00C550AE"/>
    <w:rsid w:val="00C56134"/>
    <w:rsid w:val="00C57D41"/>
    <w:rsid w:val="00C61DF9"/>
    <w:rsid w:val="00C62787"/>
    <w:rsid w:val="00C62C60"/>
    <w:rsid w:val="00C65333"/>
    <w:rsid w:val="00C70FFB"/>
    <w:rsid w:val="00C716FD"/>
    <w:rsid w:val="00C776B7"/>
    <w:rsid w:val="00C81039"/>
    <w:rsid w:val="00C826A5"/>
    <w:rsid w:val="00C83165"/>
    <w:rsid w:val="00C8410B"/>
    <w:rsid w:val="00C846F6"/>
    <w:rsid w:val="00C863B4"/>
    <w:rsid w:val="00C86986"/>
    <w:rsid w:val="00C87461"/>
    <w:rsid w:val="00C87F83"/>
    <w:rsid w:val="00C922E6"/>
    <w:rsid w:val="00C9315F"/>
    <w:rsid w:val="00C945F5"/>
    <w:rsid w:val="00C96D58"/>
    <w:rsid w:val="00C97203"/>
    <w:rsid w:val="00C97AC3"/>
    <w:rsid w:val="00CA03C2"/>
    <w:rsid w:val="00CA09DA"/>
    <w:rsid w:val="00CA20A1"/>
    <w:rsid w:val="00CA437B"/>
    <w:rsid w:val="00CA49F9"/>
    <w:rsid w:val="00CA5FE7"/>
    <w:rsid w:val="00CA61AA"/>
    <w:rsid w:val="00CA6EA7"/>
    <w:rsid w:val="00CA78D6"/>
    <w:rsid w:val="00CB2C3F"/>
    <w:rsid w:val="00CB46CD"/>
    <w:rsid w:val="00CB5110"/>
    <w:rsid w:val="00CB5FB2"/>
    <w:rsid w:val="00CB6459"/>
    <w:rsid w:val="00CB76CC"/>
    <w:rsid w:val="00CC0392"/>
    <w:rsid w:val="00CC190C"/>
    <w:rsid w:val="00CC1C37"/>
    <w:rsid w:val="00CC22C3"/>
    <w:rsid w:val="00CC2C3F"/>
    <w:rsid w:val="00CC306C"/>
    <w:rsid w:val="00CC477E"/>
    <w:rsid w:val="00CC4F7D"/>
    <w:rsid w:val="00CC5EDC"/>
    <w:rsid w:val="00CC69EE"/>
    <w:rsid w:val="00CC7072"/>
    <w:rsid w:val="00CC7BAA"/>
    <w:rsid w:val="00CD080B"/>
    <w:rsid w:val="00CD2004"/>
    <w:rsid w:val="00CD3BF9"/>
    <w:rsid w:val="00CD3EDF"/>
    <w:rsid w:val="00CD429B"/>
    <w:rsid w:val="00CD7C6C"/>
    <w:rsid w:val="00CE1975"/>
    <w:rsid w:val="00CE1C21"/>
    <w:rsid w:val="00CE444D"/>
    <w:rsid w:val="00CE4FAE"/>
    <w:rsid w:val="00CE595D"/>
    <w:rsid w:val="00CE5CD6"/>
    <w:rsid w:val="00CE741D"/>
    <w:rsid w:val="00CE7ABF"/>
    <w:rsid w:val="00CF0045"/>
    <w:rsid w:val="00CF0936"/>
    <w:rsid w:val="00CF104E"/>
    <w:rsid w:val="00CF233D"/>
    <w:rsid w:val="00CF3DA5"/>
    <w:rsid w:val="00CF402B"/>
    <w:rsid w:val="00CF7070"/>
    <w:rsid w:val="00CF7633"/>
    <w:rsid w:val="00D0006F"/>
    <w:rsid w:val="00D00527"/>
    <w:rsid w:val="00D00C0F"/>
    <w:rsid w:val="00D0300D"/>
    <w:rsid w:val="00D042C4"/>
    <w:rsid w:val="00D043B7"/>
    <w:rsid w:val="00D046CD"/>
    <w:rsid w:val="00D04B2B"/>
    <w:rsid w:val="00D04CC3"/>
    <w:rsid w:val="00D05F43"/>
    <w:rsid w:val="00D07CAA"/>
    <w:rsid w:val="00D14673"/>
    <w:rsid w:val="00D150CC"/>
    <w:rsid w:val="00D152CC"/>
    <w:rsid w:val="00D16468"/>
    <w:rsid w:val="00D20C97"/>
    <w:rsid w:val="00D21830"/>
    <w:rsid w:val="00D221A5"/>
    <w:rsid w:val="00D2457E"/>
    <w:rsid w:val="00D247FC"/>
    <w:rsid w:val="00D2548F"/>
    <w:rsid w:val="00D276D7"/>
    <w:rsid w:val="00D27E9E"/>
    <w:rsid w:val="00D27F3B"/>
    <w:rsid w:val="00D31A33"/>
    <w:rsid w:val="00D32C39"/>
    <w:rsid w:val="00D332F5"/>
    <w:rsid w:val="00D358BB"/>
    <w:rsid w:val="00D36091"/>
    <w:rsid w:val="00D377A0"/>
    <w:rsid w:val="00D37892"/>
    <w:rsid w:val="00D40828"/>
    <w:rsid w:val="00D41D4A"/>
    <w:rsid w:val="00D41FD6"/>
    <w:rsid w:val="00D4205B"/>
    <w:rsid w:val="00D44B3A"/>
    <w:rsid w:val="00D455B1"/>
    <w:rsid w:val="00D4626F"/>
    <w:rsid w:val="00D46D01"/>
    <w:rsid w:val="00D47891"/>
    <w:rsid w:val="00D47ACE"/>
    <w:rsid w:val="00D53CEE"/>
    <w:rsid w:val="00D54D59"/>
    <w:rsid w:val="00D55AB8"/>
    <w:rsid w:val="00D56378"/>
    <w:rsid w:val="00D60808"/>
    <w:rsid w:val="00D60C92"/>
    <w:rsid w:val="00D61048"/>
    <w:rsid w:val="00D6110F"/>
    <w:rsid w:val="00D62816"/>
    <w:rsid w:val="00D639D1"/>
    <w:rsid w:val="00D64F08"/>
    <w:rsid w:val="00D652C2"/>
    <w:rsid w:val="00D65461"/>
    <w:rsid w:val="00D6563A"/>
    <w:rsid w:val="00D66871"/>
    <w:rsid w:val="00D66D1A"/>
    <w:rsid w:val="00D66DDF"/>
    <w:rsid w:val="00D6726A"/>
    <w:rsid w:val="00D67DCA"/>
    <w:rsid w:val="00D718C0"/>
    <w:rsid w:val="00D72047"/>
    <w:rsid w:val="00D73726"/>
    <w:rsid w:val="00D7408F"/>
    <w:rsid w:val="00D742DC"/>
    <w:rsid w:val="00D750AA"/>
    <w:rsid w:val="00D77134"/>
    <w:rsid w:val="00D779ED"/>
    <w:rsid w:val="00D81F13"/>
    <w:rsid w:val="00D82143"/>
    <w:rsid w:val="00D824C2"/>
    <w:rsid w:val="00D844AA"/>
    <w:rsid w:val="00D863EB"/>
    <w:rsid w:val="00D868A1"/>
    <w:rsid w:val="00D86BD9"/>
    <w:rsid w:val="00D87268"/>
    <w:rsid w:val="00D8775B"/>
    <w:rsid w:val="00D87CFD"/>
    <w:rsid w:val="00D9069A"/>
    <w:rsid w:val="00D908A8"/>
    <w:rsid w:val="00D91683"/>
    <w:rsid w:val="00D91758"/>
    <w:rsid w:val="00D93F6E"/>
    <w:rsid w:val="00D95B89"/>
    <w:rsid w:val="00D96A08"/>
    <w:rsid w:val="00D96B66"/>
    <w:rsid w:val="00D97034"/>
    <w:rsid w:val="00D973E6"/>
    <w:rsid w:val="00DA02D0"/>
    <w:rsid w:val="00DA063E"/>
    <w:rsid w:val="00DA1517"/>
    <w:rsid w:val="00DA21AD"/>
    <w:rsid w:val="00DA5F04"/>
    <w:rsid w:val="00DA72F9"/>
    <w:rsid w:val="00DA779B"/>
    <w:rsid w:val="00DA7C6F"/>
    <w:rsid w:val="00DB07EC"/>
    <w:rsid w:val="00DB0B2B"/>
    <w:rsid w:val="00DB2606"/>
    <w:rsid w:val="00DB2BF6"/>
    <w:rsid w:val="00DB5267"/>
    <w:rsid w:val="00DC050F"/>
    <w:rsid w:val="00DC06A5"/>
    <w:rsid w:val="00DC097F"/>
    <w:rsid w:val="00DC0C7D"/>
    <w:rsid w:val="00DC1228"/>
    <w:rsid w:val="00DC4269"/>
    <w:rsid w:val="00DC45B5"/>
    <w:rsid w:val="00DC4BC6"/>
    <w:rsid w:val="00DC6EF0"/>
    <w:rsid w:val="00DC7B89"/>
    <w:rsid w:val="00DD33C0"/>
    <w:rsid w:val="00DD420A"/>
    <w:rsid w:val="00DD48B1"/>
    <w:rsid w:val="00DD57E2"/>
    <w:rsid w:val="00DD59E3"/>
    <w:rsid w:val="00DD5FEE"/>
    <w:rsid w:val="00DD7810"/>
    <w:rsid w:val="00DE2042"/>
    <w:rsid w:val="00DE25B6"/>
    <w:rsid w:val="00DE32B4"/>
    <w:rsid w:val="00DE370F"/>
    <w:rsid w:val="00DE3881"/>
    <w:rsid w:val="00DE550E"/>
    <w:rsid w:val="00DE5C51"/>
    <w:rsid w:val="00DE7130"/>
    <w:rsid w:val="00DF14EA"/>
    <w:rsid w:val="00DF1BDC"/>
    <w:rsid w:val="00DF1E83"/>
    <w:rsid w:val="00DF1EE9"/>
    <w:rsid w:val="00DF39F0"/>
    <w:rsid w:val="00DF4A84"/>
    <w:rsid w:val="00DF5A00"/>
    <w:rsid w:val="00DF5C1F"/>
    <w:rsid w:val="00DF6811"/>
    <w:rsid w:val="00DF79D0"/>
    <w:rsid w:val="00E00A56"/>
    <w:rsid w:val="00E0175A"/>
    <w:rsid w:val="00E032CF"/>
    <w:rsid w:val="00E04ECA"/>
    <w:rsid w:val="00E05BF0"/>
    <w:rsid w:val="00E060AF"/>
    <w:rsid w:val="00E06B1B"/>
    <w:rsid w:val="00E06F3B"/>
    <w:rsid w:val="00E072A8"/>
    <w:rsid w:val="00E102D5"/>
    <w:rsid w:val="00E12471"/>
    <w:rsid w:val="00E12602"/>
    <w:rsid w:val="00E12A4F"/>
    <w:rsid w:val="00E15747"/>
    <w:rsid w:val="00E1665D"/>
    <w:rsid w:val="00E20489"/>
    <w:rsid w:val="00E206C7"/>
    <w:rsid w:val="00E20807"/>
    <w:rsid w:val="00E20E8F"/>
    <w:rsid w:val="00E218C9"/>
    <w:rsid w:val="00E2283D"/>
    <w:rsid w:val="00E2391A"/>
    <w:rsid w:val="00E24727"/>
    <w:rsid w:val="00E24912"/>
    <w:rsid w:val="00E27123"/>
    <w:rsid w:val="00E31443"/>
    <w:rsid w:val="00E324E7"/>
    <w:rsid w:val="00E3381B"/>
    <w:rsid w:val="00E34663"/>
    <w:rsid w:val="00E3495E"/>
    <w:rsid w:val="00E35BD3"/>
    <w:rsid w:val="00E37BFF"/>
    <w:rsid w:val="00E4113C"/>
    <w:rsid w:val="00E43629"/>
    <w:rsid w:val="00E436DD"/>
    <w:rsid w:val="00E5167A"/>
    <w:rsid w:val="00E52494"/>
    <w:rsid w:val="00E52866"/>
    <w:rsid w:val="00E52F9D"/>
    <w:rsid w:val="00E54053"/>
    <w:rsid w:val="00E554C5"/>
    <w:rsid w:val="00E55F27"/>
    <w:rsid w:val="00E5644C"/>
    <w:rsid w:val="00E6005A"/>
    <w:rsid w:val="00E61810"/>
    <w:rsid w:val="00E62ED0"/>
    <w:rsid w:val="00E63400"/>
    <w:rsid w:val="00E63993"/>
    <w:rsid w:val="00E67659"/>
    <w:rsid w:val="00E67E4D"/>
    <w:rsid w:val="00E71ACC"/>
    <w:rsid w:val="00E73DE5"/>
    <w:rsid w:val="00E76179"/>
    <w:rsid w:val="00E76E2F"/>
    <w:rsid w:val="00E76F50"/>
    <w:rsid w:val="00E800CB"/>
    <w:rsid w:val="00E83176"/>
    <w:rsid w:val="00E833FE"/>
    <w:rsid w:val="00E860A2"/>
    <w:rsid w:val="00E878A0"/>
    <w:rsid w:val="00E9184E"/>
    <w:rsid w:val="00E92C7A"/>
    <w:rsid w:val="00E97F50"/>
    <w:rsid w:val="00EA033C"/>
    <w:rsid w:val="00EA37EA"/>
    <w:rsid w:val="00EA3C76"/>
    <w:rsid w:val="00EA45D2"/>
    <w:rsid w:val="00EA482B"/>
    <w:rsid w:val="00EA564B"/>
    <w:rsid w:val="00EA6C5A"/>
    <w:rsid w:val="00EB0126"/>
    <w:rsid w:val="00EB15D2"/>
    <w:rsid w:val="00EB393C"/>
    <w:rsid w:val="00EB44D6"/>
    <w:rsid w:val="00EB48AC"/>
    <w:rsid w:val="00EB4A8D"/>
    <w:rsid w:val="00EB6132"/>
    <w:rsid w:val="00EB6E8B"/>
    <w:rsid w:val="00EC006C"/>
    <w:rsid w:val="00EC0886"/>
    <w:rsid w:val="00EC08CE"/>
    <w:rsid w:val="00EC126F"/>
    <w:rsid w:val="00EC1FA4"/>
    <w:rsid w:val="00EC37DB"/>
    <w:rsid w:val="00EC4CC3"/>
    <w:rsid w:val="00EC6A5F"/>
    <w:rsid w:val="00ED03AB"/>
    <w:rsid w:val="00ED0709"/>
    <w:rsid w:val="00ED0A51"/>
    <w:rsid w:val="00ED26AB"/>
    <w:rsid w:val="00ED4BAB"/>
    <w:rsid w:val="00ED50B2"/>
    <w:rsid w:val="00ED59DB"/>
    <w:rsid w:val="00EE01FF"/>
    <w:rsid w:val="00EE021E"/>
    <w:rsid w:val="00EE0685"/>
    <w:rsid w:val="00EE0C11"/>
    <w:rsid w:val="00EE1803"/>
    <w:rsid w:val="00EE254E"/>
    <w:rsid w:val="00EE26D3"/>
    <w:rsid w:val="00EE2785"/>
    <w:rsid w:val="00EE2DE4"/>
    <w:rsid w:val="00EE54E7"/>
    <w:rsid w:val="00EE7CF0"/>
    <w:rsid w:val="00EF4447"/>
    <w:rsid w:val="00EF525D"/>
    <w:rsid w:val="00EF5ABB"/>
    <w:rsid w:val="00EF6A80"/>
    <w:rsid w:val="00EF7C89"/>
    <w:rsid w:val="00F037BB"/>
    <w:rsid w:val="00F0657B"/>
    <w:rsid w:val="00F068BA"/>
    <w:rsid w:val="00F100AB"/>
    <w:rsid w:val="00F1153F"/>
    <w:rsid w:val="00F115D4"/>
    <w:rsid w:val="00F12FB2"/>
    <w:rsid w:val="00F151FE"/>
    <w:rsid w:val="00F1556D"/>
    <w:rsid w:val="00F15D79"/>
    <w:rsid w:val="00F1678D"/>
    <w:rsid w:val="00F16A39"/>
    <w:rsid w:val="00F16E7C"/>
    <w:rsid w:val="00F20767"/>
    <w:rsid w:val="00F211A2"/>
    <w:rsid w:val="00F21640"/>
    <w:rsid w:val="00F21BBC"/>
    <w:rsid w:val="00F21E26"/>
    <w:rsid w:val="00F2297C"/>
    <w:rsid w:val="00F23774"/>
    <w:rsid w:val="00F25689"/>
    <w:rsid w:val="00F3062E"/>
    <w:rsid w:val="00F31D45"/>
    <w:rsid w:val="00F327CF"/>
    <w:rsid w:val="00F3394C"/>
    <w:rsid w:val="00F33EAB"/>
    <w:rsid w:val="00F35135"/>
    <w:rsid w:val="00F35DFB"/>
    <w:rsid w:val="00F363C5"/>
    <w:rsid w:val="00F377ED"/>
    <w:rsid w:val="00F37CF5"/>
    <w:rsid w:val="00F4193A"/>
    <w:rsid w:val="00F42E2F"/>
    <w:rsid w:val="00F43907"/>
    <w:rsid w:val="00F4462A"/>
    <w:rsid w:val="00F45124"/>
    <w:rsid w:val="00F473F0"/>
    <w:rsid w:val="00F50606"/>
    <w:rsid w:val="00F52070"/>
    <w:rsid w:val="00F5341C"/>
    <w:rsid w:val="00F54FC3"/>
    <w:rsid w:val="00F55C1F"/>
    <w:rsid w:val="00F57B9F"/>
    <w:rsid w:val="00F60031"/>
    <w:rsid w:val="00F625F5"/>
    <w:rsid w:val="00F63AA3"/>
    <w:rsid w:val="00F67554"/>
    <w:rsid w:val="00F74093"/>
    <w:rsid w:val="00F75AF2"/>
    <w:rsid w:val="00F77328"/>
    <w:rsid w:val="00F80D34"/>
    <w:rsid w:val="00F8111E"/>
    <w:rsid w:val="00F82191"/>
    <w:rsid w:val="00F827BC"/>
    <w:rsid w:val="00F85716"/>
    <w:rsid w:val="00F86A0B"/>
    <w:rsid w:val="00F86D14"/>
    <w:rsid w:val="00F90C74"/>
    <w:rsid w:val="00F91EC2"/>
    <w:rsid w:val="00F9272F"/>
    <w:rsid w:val="00F932C3"/>
    <w:rsid w:val="00F9356F"/>
    <w:rsid w:val="00FA05E6"/>
    <w:rsid w:val="00FA0A90"/>
    <w:rsid w:val="00FA0F23"/>
    <w:rsid w:val="00FA16BC"/>
    <w:rsid w:val="00FA2AE5"/>
    <w:rsid w:val="00FA2C38"/>
    <w:rsid w:val="00FA5506"/>
    <w:rsid w:val="00FB0ADC"/>
    <w:rsid w:val="00FB1115"/>
    <w:rsid w:val="00FB220D"/>
    <w:rsid w:val="00FB2640"/>
    <w:rsid w:val="00FB3B24"/>
    <w:rsid w:val="00FB3C44"/>
    <w:rsid w:val="00FB4A72"/>
    <w:rsid w:val="00FB4C1B"/>
    <w:rsid w:val="00FB4FE0"/>
    <w:rsid w:val="00FB5BA5"/>
    <w:rsid w:val="00FB65B4"/>
    <w:rsid w:val="00FB70E5"/>
    <w:rsid w:val="00FB76D8"/>
    <w:rsid w:val="00FB793A"/>
    <w:rsid w:val="00FB7FFC"/>
    <w:rsid w:val="00FC1174"/>
    <w:rsid w:val="00FC2F24"/>
    <w:rsid w:val="00FC455F"/>
    <w:rsid w:val="00FC53C5"/>
    <w:rsid w:val="00FC715E"/>
    <w:rsid w:val="00FC7891"/>
    <w:rsid w:val="00FC7A01"/>
    <w:rsid w:val="00FC7BB5"/>
    <w:rsid w:val="00FD14B6"/>
    <w:rsid w:val="00FD1F22"/>
    <w:rsid w:val="00FD20BC"/>
    <w:rsid w:val="00FD262D"/>
    <w:rsid w:val="00FD40BF"/>
    <w:rsid w:val="00FD42D5"/>
    <w:rsid w:val="00FD4483"/>
    <w:rsid w:val="00FD44F2"/>
    <w:rsid w:val="00FD65BB"/>
    <w:rsid w:val="00FD6D18"/>
    <w:rsid w:val="00FD6E6D"/>
    <w:rsid w:val="00FD7CC8"/>
    <w:rsid w:val="00FE0733"/>
    <w:rsid w:val="00FE0B12"/>
    <w:rsid w:val="00FE681A"/>
    <w:rsid w:val="00FF13E8"/>
    <w:rsid w:val="00FF1656"/>
    <w:rsid w:val="00FF25D4"/>
    <w:rsid w:val="00FF4D13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037CB"/>
    <w:pPr>
      <w:widowControl w:val="0"/>
      <w:jc w:val="both"/>
    </w:pPr>
  </w:style>
  <w:style w:type="paragraph" w:styleId="1">
    <w:name w:val="heading 1"/>
    <w:basedOn w:val="a4"/>
    <w:next w:val="a4"/>
    <w:link w:val="1Char"/>
    <w:uiPriority w:val="9"/>
    <w:qFormat/>
    <w:rsid w:val="000675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一级"/>
    <w:basedOn w:val="a8"/>
    <w:qFormat/>
    <w:rsid w:val="004F7753"/>
    <w:pPr>
      <w:numPr>
        <w:numId w:val="5"/>
      </w:numPr>
      <w:spacing w:line="360" w:lineRule="auto"/>
      <w:ind w:firstLineChars="0" w:firstLine="0"/>
      <w:jc w:val="center"/>
    </w:pPr>
    <w:rPr>
      <w:b/>
      <w:sz w:val="28"/>
    </w:rPr>
  </w:style>
  <w:style w:type="paragraph" w:styleId="a8">
    <w:name w:val="List Paragraph"/>
    <w:basedOn w:val="a4"/>
    <w:uiPriority w:val="34"/>
    <w:qFormat/>
    <w:rsid w:val="004F7753"/>
    <w:pPr>
      <w:ind w:firstLineChars="200" w:firstLine="420"/>
    </w:pPr>
  </w:style>
  <w:style w:type="paragraph" w:customStyle="1" w:styleId="a0">
    <w:name w:val="二级"/>
    <w:basedOn w:val="a8"/>
    <w:qFormat/>
    <w:rsid w:val="004F7753"/>
    <w:pPr>
      <w:numPr>
        <w:ilvl w:val="1"/>
        <w:numId w:val="5"/>
      </w:numPr>
      <w:ind w:firstLineChars="0" w:firstLine="0"/>
    </w:pPr>
    <w:rPr>
      <w:b/>
      <w:sz w:val="28"/>
    </w:rPr>
  </w:style>
  <w:style w:type="paragraph" w:customStyle="1" w:styleId="a1">
    <w:name w:val="三级"/>
    <w:basedOn w:val="a8"/>
    <w:qFormat/>
    <w:rsid w:val="004F7753"/>
    <w:pPr>
      <w:numPr>
        <w:ilvl w:val="2"/>
        <w:numId w:val="5"/>
      </w:numPr>
      <w:ind w:firstLineChars="0" w:firstLine="0"/>
    </w:pPr>
    <w:rPr>
      <w:b/>
      <w:sz w:val="28"/>
    </w:rPr>
  </w:style>
  <w:style w:type="paragraph" w:customStyle="1" w:styleId="a2">
    <w:name w:val="四级"/>
    <w:basedOn w:val="a1"/>
    <w:qFormat/>
    <w:rsid w:val="004F7753"/>
    <w:pPr>
      <w:numPr>
        <w:ilvl w:val="3"/>
      </w:numPr>
    </w:pPr>
  </w:style>
  <w:style w:type="paragraph" w:customStyle="1" w:styleId="a3">
    <w:name w:val="五级"/>
    <w:basedOn w:val="a2"/>
    <w:qFormat/>
    <w:rsid w:val="004F7753"/>
    <w:pPr>
      <w:numPr>
        <w:ilvl w:val="4"/>
      </w:numPr>
    </w:pPr>
    <w:rPr>
      <w:sz w:val="24"/>
    </w:rPr>
  </w:style>
  <w:style w:type="table" w:styleId="a9">
    <w:name w:val="Table Grid"/>
    <w:basedOn w:val="a6"/>
    <w:uiPriority w:val="59"/>
    <w:rsid w:val="00815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4"/>
    <w:link w:val="Char"/>
    <w:uiPriority w:val="99"/>
    <w:unhideWhenUsed/>
    <w:rsid w:val="00923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5"/>
    <w:link w:val="aa"/>
    <w:uiPriority w:val="99"/>
    <w:rsid w:val="0092395F"/>
    <w:rPr>
      <w:sz w:val="18"/>
      <w:szCs w:val="18"/>
    </w:rPr>
  </w:style>
  <w:style w:type="paragraph" w:styleId="ab">
    <w:name w:val="footer"/>
    <w:basedOn w:val="a4"/>
    <w:link w:val="Char0"/>
    <w:uiPriority w:val="99"/>
    <w:unhideWhenUsed/>
    <w:rsid w:val="00923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5"/>
    <w:link w:val="ab"/>
    <w:uiPriority w:val="99"/>
    <w:rsid w:val="0092395F"/>
    <w:rPr>
      <w:sz w:val="18"/>
      <w:szCs w:val="18"/>
    </w:rPr>
  </w:style>
  <w:style w:type="paragraph" w:styleId="ac">
    <w:name w:val="Balloon Text"/>
    <w:basedOn w:val="a4"/>
    <w:link w:val="Char1"/>
    <w:uiPriority w:val="99"/>
    <w:semiHidden/>
    <w:unhideWhenUsed/>
    <w:rsid w:val="000676AA"/>
    <w:rPr>
      <w:sz w:val="18"/>
      <w:szCs w:val="18"/>
    </w:rPr>
  </w:style>
  <w:style w:type="character" w:customStyle="1" w:styleId="Char1">
    <w:name w:val="批注框文本 Char"/>
    <w:basedOn w:val="a5"/>
    <w:link w:val="ac"/>
    <w:uiPriority w:val="99"/>
    <w:semiHidden/>
    <w:rsid w:val="000676AA"/>
    <w:rPr>
      <w:sz w:val="18"/>
      <w:szCs w:val="18"/>
    </w:rPr>
  </w:style>
  <w:style w:type="character" w:styleId="ad">
    <w:name w:val="Placeholder Text"/>
    <w:basedOn w:val="a5"/>
    <w:uiPriority w:val="99"/>
    <w:semiHidden/>
    <w:rsid w:val="008B7E39"/>
    <w:rPr>
      <w:color w:val="808080"/>
    </w:rPr>
  </w:style>
  <w:style w:type="character" w:styleId="ae">
    <w:name w:val="footnote reference"/>
    <w:unhideWhenUsed/>
    <w:qFormat/>
    <w:rsid w:val="00CC22C3"/>
    <w:rPr>
      <w:rFonts w:ascii="Times New Roman" w:eastAsia="宋体" w:hAnsi="Times New Roman" w:cs="Times New Roman"/>
      <w:vertAlign w:val="superscript"/>
    </w:rPr>
  </w:style>
  <w:style w:type="paragraph" w:styleId="af">
    <w:name w:val="footnote text"/>
    <w:basedOn w:val="a4"/>
    <w:link w:val="Char2"/>
    <w:unhideWhenUsed/>
    <w:qFormat/>
    <w:rsid w:val="00CC22C3"/>
    <w:pPr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2">
    <w:name w:val="脚注文本 Char"/>
    <w:basedOn w:val="a5"/>
    <w:link w:val="af"/>
    <w:qFormat/>
    <w:rsid w:val="00CC22C3"/>
    <w:rPr>
      <w:rFonts w:ascii="Calibri" w:eastAsia="宋体" w:hAnsi="Calibri" w:cs="Times New Roman"/>
      <w:sz w:val="18"/>
      <w:szCs w:val="24"/>
    </w:rPr>
  </w:style>
  <w:style w:type="character" w:customStyle="1" w:styleId="1Char">
    <w:name w:val="标题 1 Char"/>
    <w:basedOn w:val="a5"/>
    <w:link w:val="1"/>
    <w:uiPriority w:val="9"/>
    <w:rsid w:val="0006758E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E1B5-AB52-41DE-958F-BBB575B4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1805</Characters>
  <Application>Microsoft Office Word</Application>
  <DocSecurity>4</DocSecurity>
  <Lines>15</Lines>
  <Paragraphs>4</Paragraphs>
  <ScaleCrop>false</ScaleCrop>
  <Company>shenduxitong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Donghm</dc:creator>
  <cp:lastModifiedBy>ZHONGM</cp:lastModifiedBy>
  <cp:revision>2</cp:revision>
  <dcterms:created xsi:type="dcterms:W3CDTF">2024-02-07T16:00:00Z</dcterms:created>
  <dcterms:modified xsi:type="dcterms:W3CDTF">2024-02-07T16:00:00Z</dcterms:modified>
</cp:coreProperties>
</file>