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CF" w:rsidRPr="004132E6" w:rsidRDefault="00800DCF">
      <w:pPr>
        <w:spacing w:after="229" w:line="259" w:lineRule="auto"/>
        <w:ind w:right="109"/>
        <w:jc w:val="center"/>
        <w:rPr>
          <w:rFonts w:ascii="Times New Roman" w:cs="黑体"/>
          <w:color w:val="auto"/>
          <w:sz w:val="28"/>
        </w:rPr>
      </w:pPr>
      <w:r w:rsidRPr="004132E6">
        <w:rPr>
          <w:rFonts w:ascii="Times New Roman" w:cs="黑体"/>
          <w:color w:val="auto"/>
          <w:sz w:val="28"/>
        </w:rPr>
        <w:t>关于民生加银中证</w:t>
      </w:r>
      <w:r w:rsidRPr="004132E6">
        <w:rPr>
          <w:rFonts w:ascii="Times New Roman" w:cs="黑体"/>
          <w:color w:val="auto"/>
          <w:sz w:val="28"/>
        </w:rPr>
        <w:t>500</w:t>
      </w:r>
      <w:r w:rsidRPr="004132E6">
        <w:rPr>
          <w:rFonts w:ascii="Times New Roman" w:cs="黑体"/>
          <w:color w:val="auto"/>
          <w:sz w:val="28"/>
        </w:rPr>
        <w:t>指数增强型发起式证券投资基金</w:t>
      </w:r>
      <w:r w:rsidRPr="004132E6">
        <w:rPr>
          <w:rFonts w:ascii="Times New Roman" w:cs="黑体"/>
          <w:color w:val="auto"/>
          <w:sz w:val="28"/>
        </w:rPr>
        <w:t xml:space="preserve"> </w:t>
      </w:r>
    </w:p>
    <w:p w:rsidR="00DD62CF" w:rsidRPr="004132E6" w:rsidRDefault="00800DCF">
      <w:pPr>
        <w:jc w:val="center"/>
        <w:rPr>
          <w:rFonts w:ascii="Times New Roman" w:cs="黑体"/>
          <w:color w:val="auto"/>
          <w:sz w:val="28"/>
        </w:rPr>
      </w:pPr>
      <w:r w:rsidRPr="004132E6">
        <w:rPr>
          <w:rFonts w:ascii="Times New Roman" w:cs="黑体"/>
          <w:color w:val="auto"/>
          <w:sz w:val="28"/>
        </w:rPr>
        <w:t>证券交易结算模式转换完成的公告</w:t>
      </w:r>
    </w:p>
    <w:p w:rsidR="00DD62CF" w:rsidRPr="004132E6" w:rsidRDefault="00800DCF">
      <w:pPr>
        <w:spacing w:after="127" w:line="259" w:lineRule="auto"/>
        <w:ind w:left="420" w:firstLine="0"/>
        <w:rPr>
          <w:rFonts w:ascii="Times New Roman"/>
        </w:rPr>
      </w:pPr>
      <w:r w:rsidRPr="004132E6">
        <w:rPr>
          <w:rFonts w:ascii="Times New Roman" w:cs="黑体"/>
          <w:color w:val="FF0000"/>
          <w:sz w:val="28"/>
        </w:rPr>
        <w:t xml:space="preserve"> </w:t>
      </w:r>
    </w:p>
    <w:p w:rsidR="00DD62CF" w:rsidRPr="004132E6" w:rsidRDefault="00800DCF" w:rsidP="008D2FDF">
      <w:pPr>
        <w:spacing w:after="0" w:line="360" w:lineRule="auto"/>
        <w:ind w:left="-15" w:firstLine="420"/>
        <w:jc w:val="both"/>
        <w:rPr>
          <w:rFonts w:ascii="Times New Roman" w:cs="Times New Roman"/>
        </w:rPr>
      </w:pPr>
      <w:r w:rsidRPr="004132E6">
        <w:rPr>
          <w:rFonts w:ascii="Times New Roman" w:cs="Times New Roman"/>
        </w:rPr>
        <w:t>为更好地满足投资者需求，提升</w:t>
      </w:r>
      <w:r w:rsidRPr="004132E6">
        <w:rPr>
          <w:rFonts w:ascii="Times New Roman" w:cs="Times New Roman" w:hint="eastAsia"/>
        </w:rPr>
        <w:t>民生加银中证</w:t>
      </w:r>
      <w:r w:rsidRPr="004132E6">
        <w:rPr>
          <w:rFonts w:ascii="Times New Roman" w:cs="Times New Roman"/>
        </w:rPr>
        <w:t>500</w:t>
      </w:r>
      <w:r w:rsidRPr="004132E6">
        <w:rPr>
          <w:rFonts w:ascii="Times New Roman" w:cs="Times New Roman"/>
        </w:rPr>
        <w:t>指数增强型发起式证券投资基金（以下简称</w:t>
      </w:r>
      <w:r w:rsidRPr="004132E6">
        <w:rPr>
          <w:rFonts w:ascii="Times New Roman" w:cs="Times New Roman"/>
        </w:rPr>
        <w:t>“</w:t>
      </w:r>
      <w:r w:rsidRPr="004132E6">
        <w:rPr>
          <w:rFonts w:ascii="Times New Roman" w:cs="Times New Roman"/>
        </w:rPr>
        <w:t>本基金</w:t>
      </w:r>
      <w:r w:rsidRPr="004132E6">
        <w:rPr>
          <w:rFonts w:ascii="Times New Roman" w:cs="Times New Roman"/>
        </w:rPr>
        <w:t>”</w:t>
      </w:r>
      <w:r w:rsidRPr="004132E6">
        <w:rPr>
          <w:rFonts w:ascii="Times New Roman" w:cs="Times New Roman"/>
        </w:rPr>
        <w:t>）的市场竞争力，根据《中华人民共和国证券投资基金法》、《公开募集证券投资基金运作管理办法》、《公开募集证券投资基金信息披露管理办法》等法律法规以及《</w:t>
      </w:r>
      <w:r w:rsidRPr="004132E6">
        <w:rPr>
          <w:rFonts w:ascii="Times New Roman" w:cs="Times New Roman" w:hint="eastAsia"/>
        </w:rPr>
        <w:t>民生加银中证</w:t>
      </w:r>
      <w:r w:rsidRPr="004132E6">
        <w:rPr>
          <w:rFonts w:ascii="Times New Roman" w:cs="Times New Roman" w:hint="eastAsia"/>
        </w:rPr>
        <w:t>500</w:t>
      </w:r>
      <w:r w:rsidRPr="004132E6">
        <w:rPr>
          <w:rFonts w:ascii="Times New Roman" w:cs="Times New Roman" w:hint="eastAsia"/>
        </w:rPr>
        <w:t>指数增强型发起式证券投资基金</w:t>
      </w:r>
      <w:r w:rsidRPr="004132E6">
        <w:rPr>
          <w:rFonts w:ascii="Times New Roman" w:cs="Times New Roman"/>
        </w:rPr>
        <w:t>基金合同》、《</w:t>
      </w:r>
      <w:r w:rsidRPr="004132E6">
        <w:rPr>
          <w:rFonts w:ascii="Times New Roman" w:cs="Times New Roman" w:hint="eastAsia"/>
        </w:rPr>
        <w:t>民生加银中证</w:t>
      </w:r>
      <w:r w:rsidRPr="004132E6">
        <w:rPr>
          <w:rFonts w:ascii="Times New Roman" w:cs="Times New Roman" w:hint="eastAsia"/>
        </w:rPr>
        <w:t>500</w:t>
      </w:r>
      <w:r w:rsidRPr="004132E6">
        <w:rPr>
          <w:rFonts w:ascii="Times New Roman" w:cs="Times New Roman" w:hint="eastAsia"/>
        </w:rPr>
        <w:t>指数增强型发起式证券投资基金</w:t>
      </w:r>
      <w:r w:rsidRPr="004132E6">
        <w:rPr>
          <w:rFonts w:ascii="Times New Roman" w:cs="Times New Roman"/>
        </w:rPr>
        <w:t>托管协议》（以下简称</w:t>
      </w:r>
      <w:r w:rsidRPr="004132E6">
        <w:rPr>
          <w:rFonts w:ascii="Times New Roman" w:cs="Times New Roman"/>
        </w:rPr>
        <w:t>“</w:t>
      </w:r>
      <w:r w:rsidRPr="004132E6">
        <w:rPr>
          <w:rFonts w:ascii="Times New Roman" w:cs="Times New Roman"/>
        </w:rPr>
        <w:t>《托管协议》</w:t>
      </w:r>
      <w:r w:rsidRPr="004132E6">
        <w:rPr>
          <w:rFonts w:ascii="Times New Roman" w:cs="Times New Roman"/>
        </w:rPr>
        <w:t>”</w:t>
      </w:r>
      <w:r w:rsidRPr="004132E6">
        <w:rPr>
          <w:rFonts w:ascii="Times New Roman" w:cs="Times New Roman"/>
        </w:rPr>
        <w:t>）的有关</w:t>
      </w:r>
      <w:bookmarkStart w:id="0" w:name="_GoBack"/>
      <w:bookmarkEnd w:id="0"/>
      <w:r w:rsidRPr="004132E6">
        <w:rPr>
          <w:rFonts w:ascii="Times New Roman" w:cs="Times New Roman"/>
        </w:rPr>
        <w:t>规定，民生加银基金管理有限公司（以下简称</w:t>
      </w:r>
      <w:r w:rsidRPr="004132E6">
        <w:rPr>
          <w:rFonts w:ascii="Times New Roman" w:cs="Times New Roman"/>
        </w:rPr>
        <w:t>“</w:t>
      </w:r>
      <w:r w:rsidRPr="004132E6">
        <w:rPr>
          <w:rFonts w:ascii="Times New Roman" w:cs="Times New Roman"/>
        </w:rPr>
        <w:t>基金管理人</w:t>
      </w:r>
      <w:r w:rsidRPr="004132E6">
        <w:rPr>
          <w:rFonts w:ascii="Times New Roman" w:cs="Times New Roman"/>
        </w:rPr>
        <w:t>”</w:t>
      </w:r>
      <w:r w:rsidRPr="004132E6">
        <w:rPr>
          <w:rFonts w:ascii="Times New Roman" w:cs="Times New Roman"/>
        </w:rPr>
        <w:t>）经与基金托管人</w:t>
      </w:r>
      <w:r w:rsidRPr="004132E6">
        <w:rPr>
          <w:rFonts w:ascii="Times New Roman" w:cs="Times New Roman" w:hint="eastAsia"/>
        </w:rPr>
        <w:t>交通银行股份有限公司</w:t>
      </w:r>
      <w:r w:rsidRPr="004132E6">
        <w:rPr>
          <w:rFonts w:ascii="Times New Roman" w:cs="Times New Roman"/>
        </w:rPr>
        <w:t>协商一致，于</w:t>
      </w:r>
      <w:r w:rsidR="008D2FDF" w:rsidRPr="004132E6">
        <w:rPr>
          <w:rFonts w:ascii="Times New Roman" w:cs="Times New Roman"/>
        </w:rPr>
        <w:t>2024</w:t>
      </w:r>
      <w:r w:rsidR="0064231B" w:rsidRPr="004132E6">
        <w:rPr>
          <w:rFonts w:ascii="Times New Roman" w:cs="Times New Roman"/>
        </w:rPr>
        <w:t>年</w:t>
      </w:r>
      <w:r w:rsidR="0064231B" w:rsidRPr="004132E6">
        <w:rPr>
          <w:rFonts w:ascii="Times New Roman" w:cs="Times New Roman"/>
        </w:rPr>
        <w:t>2</w:t>
      </w:r>
      <w:r w:rsidR="0064231B" w:rsidRPr="004132E6">
        <w:rPr>
          <w:rFonts w:ascii="Times New Roman" w:cs="Times New Roman"/>
        </w:rPr>
        <w:t>月</w:t>
      </w:r>
      <w:r w:rsidR="0064231B" w:rsidRPr="004132E6">
        <w:rPr>
          <w:rFonts w:ascii="Times New Roman" w:cs="Times New Roman"/>
        </w:rPr>
        <w:t>5</w:t>
      </w:r>
      <w:r w:rsidR="0064231B" w:rsidRPr="004132E6">
        <w:rPr>
          <w:rFonts w:ascii="Times New Roman" w:cs="Times New Roman"/>
        </w:rPr>
        <w:t>日</w:t>
      </w:r>
      <w:r w:rsidRPr="004132E6">
        <w:rPr>
          <w:rFonts w:ascii="Times New Roman" w:cs="Times New Roman"/>
        </w:rPr>
        <w:t>启动了证券交易结算模式的转换工作，上述转换工作已于</w:t>
      </w:r>
      <w:r w:rsidR="008D2FDF" w:rsidRPr="004132E6">
        <w:rPr>
          <w:rFonts w:ascii="Times New Roman" w:cs="Times New Roman"/>
        </w:rPr>
        <w:t>2024</w:t>
      </w:r>
      <w:r w:rsidRPr="004132E6">
        <w:rPr>
          <w:rFonts w:ascii="Times New Roman" w:cs="Times New Roman"/>
        </w:rPr>
        <w:t>年</w:t>
      </w:r>
      <w:r w:rsidRPr="004132E6">
        <w:rPr>
          <w:rFonts w:ascii="Times New Roman" w:cs="Times New Roman"/>
        </w:rPr>
        <w:t>2</w:t>
      </w:r>
      <w:r w:rsidRPr="004132E6">
        <w:rPr>
          <w:rFonts w:ascii="Times New Roman" w:cs="Times New Roman"/>
        </w:rPr>
        <w:t>月</w:t>
      </w:r>
      <w:r w:rsidR="00756D02" w:rsidRPr="004132E6">
        <w:rPr>
          <w:rFonts w:ascii="Times New Roman" w:cs="Times New Roman"/>
        </w:rPr>
        <w:t>5</w:t>
      </w:r>
      <w:r w:rsidRPr="004132E6">
        <w:rPr>
          <w:rFonts w:ascii="Times New Roman" w:cs="Times New Roman"/>
        </w:rPr>
        <w:t>日完成，修订后的《托管协议》自</w:t>
      </w:r>
      <w:r w:rsidR="008D2FDF" w:rsidRPr="004132E6">
        <w:rPr>
          <w:rFonts w:ascii="Times New Roman" w:cs="Times New Roman"/>
        </w:rPr>
        <w:t>2024</w:t>
      </w:r>
      <w:r w:rsidRPr="004132E6">
        <w:rPr>
          <w:rFonts w:ascii="Times New Roman" w:cs="Times New Roman"/>
        </w:rPr>
        <w:t>年</w:t>
      </w:r>
      <w:r w:rsidR="00756D02" w:rsidRPr="004132E6">
        <w:rPr>
          <w:rFonts w:ascii="Times New Roman" w:cs="Times New Roman"/>
        </w:rPr>
        <w:t>2</w:t>
      </w:r>
      <w:r w:rsidR="00756D02" w:rsidRPr="004132E6">
        <w:rPr>
          <w:rFonts w:ascii="Times New Roman" w:cs="Times New Roman"/>
        </w:rPr>
        <w:t>月</w:t>
      </w:r>
      <w:r w:rsidR="008D2FDF" w:rsidRPr="004132E6">
        <w:rPr>
          <w:rFonts w:ascii="Times New Roman" w:cs="Times New Roman"/>
        </w:rPr>
        <w:t>5</w:t>
      </w:r>
      <w:r w:rsidRPr="004132E6">
        <w:rPr>
          <w:rFonts w:ascii="Times New Roman" w:cs="Times New Roman"/>
        </w:rPr>
        <w:t>日起生效。</w:t>
      </w:r>
    </w:p>
    <w:p w:rsidR="00DD62CF" w:rsidRPr="004132E6" w:rsidRDefault="00800DCF" w:rsidP="008D2FDF">
      <w:pPr>
        <w:spacing w:after="0" w:line="360" w:lineRule="auto"/>
        <w:ind w:left="-15" w:firstLine="420"/>
        <w:jc w:val="both"/>
        <w:rPr>
          <w:rFonts w:ascii="Times New Roman" w:cs="Times New Roman"/>
        </w:rPr>
      </w:pPr>
      <w:r w:rsidRPr="004132E6">
        <w:rPr>
          <w:rFonts w:ascii="Times New Roman" w:cs="Times New Roman"/>
        </w:rPr>
        <w:t>关于本基金证券交易结算模式转换的有关事项，详见</w:t>
      </w:r>
      <w:r w:rsidRPr="004132E6">
        <w:rPr>
          <w:rFonts w:ascii="Times New Roman" w:cs="Times New Roman"/>
        </w:rPr>
        <w:t>2024</w:t>
      </w:r>
      <w:r w:rsidRPr="004132E6">
        <w:rPr>
          <w:rFonts w:ascii="Times New Roman" w:cs="Times New Roman"/>
        </w:rPr>
        <w:t>年</w:t>
      </w:r>
      <w:r w:rsidR="00DD1DA0" w:rsidRPr="004132E6">
        <w:rPr>
          <w:rFonts w:ascii="Times New Roman" w:cs="Times New Roman"/>
        </w:rPr>
        <w:t>2</w:t>
      </w:r>
      <w:r w:rsidR="00DD1DA0" w:rsidRPr="004132E6">
        <w:rPr>
          <w:rFonts w:ascii="Times New Roman" w:cs="Times New Roman"/>
        </w:rPr>
        <w:t>月</w:t>
      </w:r>
      <w:r w:rsidR="00DD1DA0" w:rsidRPr="004132E6">
        <w:rPr>
          <w:rFonts w:ascii="Times New Roman" w:cs="Times New Roman"/>
        </w:rPr>
        <w:t>2</w:t>
      </w:r>
      <w:r w:rsidRPr="004132E6">
        <w:rPr>
          <w:rFonts w:ascii="Times New Roman" w:cs="Times New Roman"/>
        </w:rPr>
        <w:t>日披露的《关于</w:t>
      </w:r>
      <w:r w:rsidRPr="004132E6">
        <w:rPr>
          <w:rFonts w:ascii="Times New Roman" w:cs="Times New Roman" w:hint="eastAsia"/>
        </w:rPr>
        <w:t>民生加银中证</w:t>
      </w:r>
      <w:r w:rsidRPr="004132E6">
        <w:rPr>
          <w:rFonts w:ascii="Times New Roman" w:cs="Times New Roman"/>
        </w:rPr>
        <w:t>500</w:t>
      </w:r>
      <w:r w:rsidRPr="004132E6">
        <w:rPr>
          <w:rFonts w:ascii="Times New Roman" w:cs="Times New Roman"/>
        </w:rPr>
        <w:t>指数增强型发起式证券投资基金证券交易结算模式</w:t>
      </w:r>
      <w:r w:rsidRPr="004132E6">
        <w:rPr>
          <w:rFonts w:ascii="Times New Roman" w:cs="Times New Roman" w:hint="eastAsia"/>
        </w:rPr>
        <w:t>转换有关事项</w:t>
      </w:r>
      <w:r w:rsidRPr="004132E6">
        <w:rPr>
          <w:rFonts w:ascii="Times New Roman" w:cs="Times New Roman"/>
        </w:rPr>
        <w:t>的公告》。</w:t>
      </w:r>
    </w:p>
    <w:p w:rsidR="00DD62CF" w:rsidRPr="004132E6" w:rsidRDefault="00800DCF" w:rsidP="008D2FDF">
      <w:pPr>
        <w:spacing w:after="0" w:line="360" w:lineRule="auto"/>
        <w:ind w:left="0" w:firstLineChars="200" w:firstLine="420"/>
        <w:jc w:val="both"/>
        <w:rPr>
          <w:rFonts w:ascii="Times New Roman" w:cs="Times New Roman"/>
        </w:rPr>
      </w:pPr>
      <w:r w:rsidRPr="004132E6">
        <w:rPr>
          <w:rFonts w:ascii="Times New Roman" w:cs="Times New Roman" w:hint="eastAsia"/>
        </w:rPr>
        <w:t>本公告未尽事宜，敬请投资者参见本基金基金合同、托管协议、招募说明书及基金产品资料概要等相关文件。</w:t>
      </w:r>
    </w:p>
    <w:p w:rsidR="00DD62CF" w:rsidRPr="004132E6" w:rsidRDefault="00800DCF">
      <w:pPr>
        <w:spacing w:after="0" w:line="360" w:lineRule="auto"/>
        <w:ind w:left="430"/>
        <w:rPr>
          <w:rFonts w:ascii="Times New Roman" w:cs="Times New Roman"/>
        </w:rPr>
      </w:pPr>
      <w:r w:rsidRPr="004132E6">
        <w:rPr>
          <w:rFonts w:ascii="Times New Roman" w:cs="Times New Roman" w:hint="eastAsia"/>
        </w:rPr>
        <w:t>投资者可到本基金各销售机构网点或通过本公司客户服务中心咨询有关详情。</w:t>
      </w:r>
    </w:p>
    <w:p w:rsidR="00DD62CF" w:rsidRPr="004132E6" w:rsidRDefault="00800DCF">
      <w:pPr>
        <w:spacing w:after="0" w:line="360" w:lineRule="auto"/>
        <w:ind w:left="430"/>
        <w:rPr>
          <w:rFonts w:ascii="Times New Roman" w:cs="Times New Roman"/>
        </w:rPr>
      </w:pPr>
      <w:r w:rsidRPr="004132E6">
        <w:rPr>
          <w:rFonts w:ascii="Times New Roman" w:cs="Times New Roman"/>
        </w:rPr>
        <w:t>民生加银基金管理有限公司</w:t>
      </w:r>
      <w:r w:rsidRPr="004132E6">
        <w:rPr>
          <w:rFonts w:ascii="Times New Roman" w:cs="Times New Roman"/>
        </w:rPr>
        <w:t xml:space="preserve"> </w:t>
      </w:r>
      <w:r w:rsidRPr="004132E6">
        <w:rPr>
          <w:rFonts w:ascii="Times New Roman" w:cs="Times New Roman"/>
        </w:rPr>
        <w:t>网站：</w:t>
      </w:r>
      <w:r w:rsidRPr="004132E6">
        <w:rPr>
          <w:rFonts w:ascii="Times New Roman" w:cs="Times New Roman"/>
        </w:rPr>
        <w:t>www.msjyfund.com.cn</w:t>
      </w:r>
    </w:p>
    <w:p w:rsidR="00DD62CF" w:rsidRPr="004132E6" w:rsidRDefault="00800DCF">
      <w:pPr>
        <w:spacing w:after="0" w:line="360" w:lineRule="auto"/>
        <w:ind w:left="430"/>
        <w:rPr>
          <w:rFonts w:ascii="Times New Roman" w:cs="Times New Roman"/>
        </w:rPr>
      </w:pPr>
      <w:r w:rsidRPr="004132E6">
        <w:rPr>
          <w:rFonts w:ascii="Times New Roman" w:cs="Times New Roman"/>
        </w:rPr>
        <w:t>民生加银基金管理有限公司</w:t>
      </w:r>
      <w:r w:rsidRPr="004132E6">
        <w:rPr>
          <w:rFonts w:ascii="Times New Roman" w:cs="Times New Roman"/>
        </w:rPr>
        <w:t xml:space="preserve"> </w:t>
      </w:r>
      <w:r w:rsidRPr="004132E6">
        <w:rPr>
          <w:rFonts w:ascii="Times New Roman" w:cs="Times New Roman"/>
        </w:rPr>
        <w:t>客户服务热线：</w:t>
      </w:r>
      <w:r w:rsidRPr="004132E6">
        <w:rPr>
          <w:rFonts w:ascii="Times New Roman" w:cs="Times New Roman"/>
        </w:rPr>
        <w:t>400-8888-388</w:t>
      </w:r>
      <w:r w:rsidRPr="004132E6">
        <w:rPr>
          <w:rFonts w:ascii="Times New Roman" w:cs="Times New Roman"/>
        </w:rPr>
        <w:t>（免长途通话费用）</w:t>
      </w:r>
    </w:p>
    <w:p w:rsidR="00DD62CF" w:rsidRPr="004132E6" w:rsidRDefault="00800DCF" w:rsidP="008D2FDF">
      <w:pPr>
        <w:spacing w:after="0" w:line="360" w:lineRule="auto"/>
        <w:ind w:left="0" w:firstLineChars="200" w:firstLine="422"/>
        <w:jc w:val="both"/>
        <w:rPr>
          <w:rFonts w:ascii="Times New Roman" w:cs="Times New Roman"/>
          <w:b/>
        </w:rPr>
      </w:pPr>
      <w:r w:rsidRPr="004132E6">
        <w:rPr>
          <w:rFonts w:ascii="Times New Roman" w:cs="Times New Roman"/>
          <w:b/>
        </w:rPr>
        <w:t>风险提示</w:t>
      </w:r>
      <w:r w:rsidRPr="004132E6">
        <w:rPr>
          <w:rFonts w:ascii="Times New Roman" w:cs="Times New Roman"/>
          <w:b/>
        </w:rPr>
        <w:t xml:space="preserve"> </w:t>
      </w:r>
      <w:r w:rsidRPr="004132E6">
        <w:rPr>
          <w:rFonts w:ascii="Times New Roman" w:cs="Times New Roman" w:hint="eastAsia"/>
          <w:b/>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基金前应认真阅读基金的基金合同和招募说明书等资料，了解所投资基金的风险收益特征，并根据自身情况购买与本人风险承受能力相匹配的产品。敬请投资者注意投资风险。</w:t>
      </w:r>
    </w:p>
    <w:p w:rsidR="00DD62CF" w:rsidRPr="004132E6" w:rsidRDefault="00800DCF">
      <w:pPr>
        <w:spacing w:after="0" w:line="360" w:lineRule="auto"/>
        <w:ind w:left="430"/>
        <w:rPr>
          <w:rFonts w:ascii="Times New Roman" w:cs="Times New Roman"/>
        </w:rPr>
      </w:pPr>
      <w:r w:rsidRPr="004132E6">
        <w:rPr>
          <w:rFonts w:ascii="Times New Roman" w:cs="Times New Roman"/>
        </w:rPr>
        <w:t>特此公告。</w:t>
      </w:r>
      <w:r w:rsidRPr="004132E6">
        <w:rPr>
          <w:rFonts w:ascii="Times New Roman" w:cs="Times New Roman"/>
        </w:rPr>
        <w:t xml:space="preserve"> </w:t>
      </w:r>
    </w:p>
    <w:p w:rsidR="00DD62CF" w:rsidRPr="004132E6" w:rsidRDefault="00800DCF">
      <w:pPr>
        <w:spacing w:after="0" w:line="360" w:lineRule="auto"/>
        <w:ind w:left="420" w:firstLine="0"/>
        <w:rPr>
          <w:rFonts w:ascii="Times New Roman" w:cs="Times New Roman"/>
        </w:rPr>
      </w:pPr>
      <w:r w:rsidRPr="004132E6">
        <w:rPr>
          <w:rFonts w:ascii="Times New Roman" w:cs="Times New Roman"/>
        </w:rPr>
        <w:t xml:space="preserve"> </w:t>
      </w:r>
    </w:p>
    <w:p w:rsidR="00DD62CF" w:rsidRPr="004132E6" w:rsidRDefault="00800DCF">
      <w:pPr>
        <w:spacing w:after="0" w:line="360" w:lineRule="auto"/>
        <w:ind w:left="0" w:right="106" w:firstLine="0"/>
        <w:jc w:val="right"/>
        <w:rPr>
          <w:rFonts w:ascii="Times New Roman" w:cs="Times New Roman"/>
        </w:rPr>
      </w:pPr>
      <w:r w:rsidRPr="004132E6">
        <w:rPr>
          <w:rFonts w:ascii="Times New Roman" w:cs="Times New Roman"/>
        </w:rPr>
        <w:t>民生加银基金管理有限公司</w:t>
      </w:r>
      <w:r w:rsidRPr="004132E6">
        <w:rPr>
          <w:rFonts w:ascii="Times New Roman" w:cs="Times New Roman"/>
        </w:rPr>
        <w:t xml:space="preserve"> </w:t>
      </w:r>
    </w:p>
    <w:p w:rsidR="00DD62CF" w:rsidRPr="004132E6" w:rsidRDefault="00800DCF">
      <w:pPr>
        <w:spacing w:after="0" w:line="360" w:lineRule="auto"/>
        <w:ind w:left="0" w:right="106" w:firstLine="0"/>
        <w:jc w:val="right"/>
        <w:rPr>
          <w:rFonts w:ascii="Times New Roman" w:cs="Times New Roman"/>
        </w:rPr>
      </w:pPr>
      <w:r w:rsidRPr="004132E6">
        <w:rPr>
          <w:rFonts w:ascii="Times New Roman" w:cs="Times New Roman"/>
        </w:rPr>
        <w:t>2024</w:t>
      </w:r>
      <w:r w:rsidRPr="004132E6">
        <w:rPr>
          <w:rFonts w:ascii="Times New Roman" w:cs="Times New Roman"/>
        </w:rPr>
        <w:t>年</w:t>
      </w:r>
      <w:r w:rsidR="00C27E4C" w:rsidRPr="004132E6">
        <w:rPr>
          <w:rFonts w:ascii="Times New Roman" w:cs="Times New Roman"/>
        </w:rPr>
        <w:t>2</w:t>
      </w:r>
      <w:r w:rsidR="00C27E4C" w:rsidRPr="004132E6">
        <w:rPr>
          <w:rFonts w:ascii="Times New Roman" w:cs="Times New Roman"/>
        </w:rPr>
        <w:t>月</w:t>
      </w:r>
      <w:r w:rsidR="00C27E4C" w:rsidRPr="004132E6">
        <w:rPr>
          <w:rFonts w:ascii="Times New Roman" w:cs="Times New Roman"/>
        </w:rPr>
        <w:t>7</w:t>
      </w:r>
      <w:r w:rsidRPr="004132E6">
        <w:rPr>
          <w:rFonts w:ascii="Times New Roman" w:cs="Times New Roman"/>
        </w:rPr>
        <w:t>日</w:t>
      </w:r>
      <w:r w:rsidRPr="004132E6">
        <w:rPr>
          <w:rFonts w:ascii="Times New Roman" w:cs="Times New Roman"/>
        </w:rPr>
        <w:t xml:space="preserve"> </w:t>
      </w:r>
    </w:p>
    <w:p w:rsidR="00DD62CF" w:rsidRPr="004132E6" w:rsidRDefault="00800DCF">
      <w:pPr>
        <w:spacing w:after="0" w:line="360" w:lineRule="auto"/>
        <w:ind w:left="0" w:firstLine="0"/>
        <w:rPr>
          <w:rFonts w:ascii="Times New Roman" w:cs="Times New Roman"/>
        </w:rPr>
      </w:pPr>
      <w:r w:rsidRPr="004132E6">
        <w:rPr>
          <w:rFonts w:ascii="Times New Roman" w:cs="Times New Roman"/>
        </w:rPr>
        <w:t xml:space="preserve"> </w:t>
      </w:r>
    </w:p>
    <w:sectPr w:rsidR="00DD62CF" w:rsidRPr="004132E6" w:rsidSect="00F90A0C">
      <w:pgSz w:w="11906" w:h="16838"/>
      <w:pgMar w:top="1571" w:right="1690" w:bottom="1483" w:left="180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5B1" w:rsidRDefault="00D005B1" w:rsidP="00E278BE">
      <w:pPr>
        <w:spacing w:after="0" w:line="240" w:lineRule="auto"/>
      </w:pPr>
      <w:r>
        <w:separator/>
      </w:r>
    </w:p>
  </w:endnote>
  <w:endnote w:type="continuationSeparator" w:id="0">
    <w:p w:rsidR="00D005B1" w:rsidRDefault="00D005B1" w:rsidP="00E27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Luxi Sans">
    <w:altName w:val="Arial"/>
    <w:charset w:val="00"/>
    <w:family w:val="auto"/>
    <w:pitch w:val="variable"/>
    <w:sig w:usb0="00000000" w:usb1="00000000" w:usb2="00000000" w:usb3="00000000" w:csb0="00000000" w:csb1="00000000"/>
  </w:font>
  <w:font w:name="等线 Light">
    <w:charset w:val="86"/>
    <w:family w:val="auto"/>
    <w:pitch w:val="variable"/>
    <w:sig w:usb0="A00002BF" w:usb1="38CF7CFA" w:usb2="00000016" w:usb3="00000000" w:csb0="0004000F" w:csb1="00000000"/>
  </w:font>
  <w:font w:name="Calibri Light">
    <w:charset w:val="00"/>
    <w:family w:val="swiss"/>
    <w:pitch w:val="variable"/>
    <w:sig w:usb0="E0002AFF" w:usb1="C000247B" w:usb2="00000009" w:usb3="00000000" w:csb0="000001F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5B1" w:rsidRDefault="00D005B1" w:rsidP="00E278BE">
      <w:pPr>
        <w:spacing w:after="0" w:line="240" w:lineRule="auto"/>
      </w:pPr>
      <w:r>
        <w:separator/>
      </w:r>
    </w:p>
  </w:footnote>
  <w:footnote w:type="continuationSeparator" w:id="0">
    <w:p w:rsidR="00D005B1" w:rsidRDefault="00D005B1" w:rsidP="00E278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characterSpacingControl w:val="doNotCompress"/>
  <w:hdrShapeDefaults>
    <o:shapedefaults v:ext="edit" spidmax="4097"/>
  </w:hdrShapeDefaults>
  <w:footnotePr>
    <w:footnote w:id="-1"/>
    <w:footnote w:id="0"/>
  </w:footnotePr>
  <w:endnotePr>
    <w:endnote w:id="-1"/>
    <w:endnote w:id="0"/>
  </w:endnotePr>
  <w:compat>
    <w:spaceForUL/>
    <w:useFELayout/>
  </w:compat>
  <w:rsids>
    <w:rsidRoot w:val="00DD62CF"/>
    <w:rsid w:val="002174C2"/>
    <w:rsid w:val="002A6D21"/>
    <w:rsid w:val="00310A22"/>
    <w:rsid w:val="004132E6"/>
    <w:rsid w:val="0050507D"/>
    <w:rsid w:val="0064231B"/>
    <w:rsid w:val="006B6377"/>
    <w:rsid w:val="006F1FB4"/>
    <w:rsid w:val="00756D02"/>
    <w:rsid w:val="00800DCF"/>
    <w:rsid w:val="00867EBA"/>
    <w:rsid w:val="008D2FDF"/>
    <w:rsid w:val="00967899"/>
    <w:rsid w:val="00A754BA"/>
    <w:rsid w:val="00B614B5"/>
    <w:rsid w:val="00C27E4C"/>
    <w:rsid w:val="00D005B1"/>
    <w:rsid w:val="00DD1DA0"/>
    <w:rsid w:val="00DD62CF"/>
    <w:rsid w:val="00E278BE"/>
    <w:rsid w:val="00EE699D"/>
    <w:rsid w:val="00F90A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0A0C"/>
    <w:pPr>
      <w:spacing w:after="11" w:line="420" w:lineRule="auto"/>
      <w:ind w:left="10" w:hanging="10"/>
    </w:pPr>
    <w:rPr>
      <w:rFonts w:ascii="宋体" w:cs="宋体"/>
      <w:color w:val="000000"/>
      <w:kern w:val="2"/>
      <w:sz w:val="21"/>
      <w:szCs w:val="22"/>
    </w:rPr>
  </w:style>
  <w:style w:type="paragraph" w:styleId="1">
    <w:name w:val="heading 1"/>
    <w:next w:val="a"/>
    <w:rsid w:val="00F90A0C"/>
    <w:pPr>
      <w:keepNext/>
      <w:keepLines/>
      <w:spacing w:after="229" w:line="259" w:lineRule="auto"/>
      <w:ind w:left="10" w:right="109" w:hanging="10"/>
      <w:jc w:val="center"/>
      <w:outlineLvl w:val="0"/>
    </w:pPr>
    <w:rPr>
      <w:rFonts w:ascii="黑体" w:eastAsia="黑体" w:cs="黑体"/>
      <w:color w:val="FF0000"/>
      <w:kern w:val="2"/>
      <w:sz w:val="28"/>
      <w:szCs w:val="22"/>
    </w:rPr>
  </w:style>
  <w:style w:type="paragraph" w:styleId="2">
    <w:name w:val="heading 2"/>
    <w:basedOn w:val="a"/>
    <w:next w:val="a"/>
    <w:rsid w:val="00F90A0C"/>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F90A0C"/>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0A0C"/>
    <w:pPr>
      <w:pBdr>
        <w:bottom w:val="single" w:sz="6" w:space="1" w:color="auto"/>
      </w:pBdr>
      <w:tabs>
        <w:tab w:val="center" w:pos="4153"/>
        <w:tab w:val="right" w:pos="8306"/>
      </w:tabs>
      <w:snapToGrid w:val="0"/>
      <w:spacing w:line="240" w:lineRule="auto"/>
      <w:jc w:val="center"/>
    </w:pPr>
    <w:rPr>
      <w:sz w:val="18"/>
      <w:szCs w:val="18"/>
    </w:rPr>
  </w:style>
  <w:style w:type="paragraph" w:styleId="a4">
    <w:name w:val="footer"/>
    <w:basedOn w:val="a"/>
    <w:rsid w:val="00F90A0C"/>
    <w:pPr>
      <w:tabs>
        <w:tab w:val="center" w:pos="4153"/>
        <w:tab w:val="right" w:pos="8306"/>
      </w:tabs>
      <w:snapToGrid w:val="0"/>
      <w:spacing w:line="240" w:lineRule="auto"/>
    </w:pPr>
    <w:rPr>
      <w:sz w:val="18"/>
      <w:szCs w:val="18"/>
    </w:rPr>
  </w:style>
  <w:style w:type="paragraph" w:styleId="a5">
    <w:name w:val="Balloon Text"/>
    <w:basedOn w:val="a"/>
    <w:rsid w:val="00F90A0C"/>
    <w:pPr>
      <w:spacing w:after="0" w:line="240" w:lineRule="auto"/>
    </w:pPr>
    <w:rPr>
      <w:sz w:val="18"/>
      <w:szCs w:val="18"/>
    </w:rPr>
  </w:style>
  <w:style w:type="character" w:styleId="a6">
    <w:name w:val="annotation reference"/>
    <w:basedOn w:val="a0"/>
    <w:rsid w:val="00F90A0C"/>
    <w:rPr>
      <w:sz w:val="21"/>
      <w:szCs w:val="21"/>
    </w:rPr>
  </w:style>
  <w:style w:type="paragraph" w:styleId="a7">
    <w:name w:val="annotation text"/>
    <w:basedOn w:val="a"/>
    <w:rsid w:val="00F90A0C"/>
  </w:style>
  <w:style w:type="paragraph" w:styleId="a8">
    <w:name w:val="annotation subject"/>
    <w:basedOn w:val="a7"/>
    <w:next w:val="a7"/>
    <w:rsid w:val="00F90A0C"/>
    <w:rPr>
      <w:b/>
      <w:bCs/>
    </w:rPr>
  </w:style>
  <w:style w:type="paragraph" w:styleId="10">
    <w:name w:val="toc 1"/>
    <w:basedOn w:val="a"/>
    <w:next w:val="a"/>
    <w:autoRedefine/>
    <w:rsid w:val="00F90A0C"/>
  </w:style>
  <w:style w:type="paragraph" w:styleId="20">
    <w:name w:val="toc 2"/>
    <w:basedOn w:val="a"/>
    <w:next w:val="a"/>
    <w:autoRedefine/>
    <w:rsid w:val="00F90A0C"/>
    <w:pPr>
      <w:ind w:left="430"/>
    </w:pPr>
  </w:style>
  <w:style w:type="paragraph" w:styleId="30">
    <w:name w:val="toc 3"/>
    <w:basedOn w:val="a"/>
    <w:next w:val="a"/>
    <w:autoRedefine/>
    <w:rsid w:val="00F90A0C"/>
    <w:pPr>
      <w:ind w:left="850"/>
    </w:pPr>
  </w:style>
  <w:style w:type="paragraph" w:styleId="4">
    <w:name w:val="toc 4"/>
    <w:basedOn w:val="a"/>
    <w:next w:val="a"/>
    <w:autoRedefine/>
    <w:rsid w:val="00F90A0C"/>
    <w:pPr>
      <w:ind w:left="1270"/>
    </w:pPr>
  </w:style>
  <w:style w:type="paragraph" w:styleId="5">
    <w:name w:val="toc 5"/>
    <w:basedOn w:val="a"/>
    <w:next w:val="a"/>
    <w:autoRedefine/>
    <w:rsid w:val="00F90A0C"/>
    <w:pPr>
      <w:ind w:left="169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4</DocSecurity>
  <Lines>5</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panhui</dc:creator>
  <cp:lastModifiedBy>ZHONGM</cp:lastModifiedBy>
  <cp:revision>2</cp:revision>
  <dcterms:created xsi:type="dcterms:W3CDTF">2024-02-06T16:01:00Z</dcterms:created>
  <dcterms:modified xsi:type="dcterms:W3CDTF">2024-02-06T16:01:00Z</dcterms:modified>
</cp:coreProperties>
</file>