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5031" w:rsidRDefault="00BE5031">
      <w:pPr>
        <w:pStyle w:val="XBRL2"/>
        <w:spacing w:before="156"/>
        <w:rPr>
          <w:lang w:eastAsia="zh-CN"/>
        </w:rPr>
      </w:pPr>
      <w:bookmarkStart w:id="0" w:name="_Toc510201001"/>
      <w:bookmarkEnd w:id="0"/>
      <w:r>
        <w:rPr>
          <w:lang w:eastAsia="zh-CN"/>
        </w:rPr>
        <w:t xml:space="preserve">　</w:t>
      </w:r>
      <w:r>
        <w:rPr>
          <w:lang w:eastAsia="zh-CN"/>
        </w:rPr>
        <w:t xml:space="preserve"> </w:t>
      </w:r>
    </w:p>
    <w:p w:rsidR="00BE5031" w:rsidRDefault="00BE5031">
      <w:pPr>
        <w:jc w:val="center"/>
      </w:pPr>
      <w:r>
        <w:rPr>
          <w:rFonts w:cs="Times New Roman" w:hint="eastAsia"/>
          <w:b/>
          <w:sz w:val="48"/>
          <w:szCs w:val="48"/>
        </w:rPr>
        <w:t>华泰柏瑞基金管理有限公司关于华泰柏瑞鸿利中短债债券型证券投资基金恢复部分销售机构申购和转换转入业务的公告</w:t>
      </w:r>
    </w:p>
    <w:p w:rsidR="00BE5031" w:rsidRDefault="00BE5031">
      <w:pPr>
        <w:spacing w:line="560" w:lineRule="exact"/>
        <w:jc w:val="center"/>
        <w:rPr>
          <w:rFonts w:hint="eastAsia"/>
          <w:color w:val="000000"/>
          <w:kern w:val="0"/>
          <w:sz w:val="18"/>
        </w:rPr>
      </w:pPr>
      <w:r>
        <w:rPr>
          <w:rFonts w:hint="eastAsia"/>
          <w:color w:val="000000"/>
          <w:kern w:val="0"/>
          <w:sz w:val="18"/>
        </w:rPr>
        <w:t xml:space="preserve">　 </w:t>
      </w:r>
    </w:p>
    <w:p w:rsidR="00BE5031" w:rsidRDefault="00BE5031">
      <w:pPr>
        <w:spacing w:line="560" w:lineRule="exact"/>
        <w:jc w:val="center"/>
        <w:rPr>
          <w:rFonts w:hint="eastAsia"/>
          <w:color w:val="000000"/>
          <w:kern w:val="0"/>
          <w:sz w:val="18"/>
        </w:rPr>
      </w:pPr>
      <w:r>
        <w:rPr>
          <w:rFonts w:hint="eastAsia"/>
          <w:color w:val="000000"/>
          <w:kern w:val="0"/>
          <w:sz w:val="18"/>
        </w:rPr>
        <w:t xml:space="preserve">　 </w:t>
      </w:r>
    </w:p>
    <w:p w:rsidR="00BE5031" w:rsidRDefault="00BE5031">
      <w:pPr>
        <w:pStyle w:val="TOC2"/>
        <w:tabs>
          <w:tab w:val="right" w:leader="dot" w:pos="8835"/>
        </w:tabs>
        <w:divId w:val="835606754"/>
        <w:rPr>
          <w:rFonts w:hint="eastAsia"/>
          <w:vanish/>
        </w:rPr>
      </w:pPr>
      <w:r>
        <w:rPr>
          <w:rFonts w:hint="eastAsia"/>
          <w:vanish/>
          <w:sz w:val="24"/>
          <w:szCs w:val="30"/>
        </w:rPr>
        <w:fldChar w:fldCharType="begin"/>
      </w:r>
      <w:r>
        <w:rPr>
          <w:rFonts w:hint="eastAsia"/>
          <w:vanish/>
          <w:sz w:val="24"/>
          <w:szCs w:val="30"/>
        </w:rPr>
        <w:instrText xml:space="preserve">?TOC \o "1-2" \n \h \z \u </w:instrText>
      </w:r>
      <w:r>
        <w:rPr>
          <w:vanish/>
          <w:sz w:val="24"/>
          <w:szCs w:val="30"/>
        </w:rPr>
        <w:fldChar w:fldCharType="separate"/>
      </w:r>
      <w:hyperlink w:anchor="_Toc510201001" w:history="1">
        <w:r>
          <w:rPr>
            <w:rStyle w:val="a3"/>
            <w:rFonts w:hint="eastAsia"/>
            <w:noProof/>
            <w:vanish/>
          </w:rPr>
          <w:t>0、公告标题</w:t>
        </w:r>
      </w:hyperlink>
      <w:r w:rsidRPr="007C40ED">
        <w:rPr>
          <w:rFonts w:ascii="Calibri" w:hAnsi="Calibri" w:cs="Times New Roman"/>
          <w:noProof/>
          <w:vanish/>
          <w:szCs w:val="22"/>
        </w:rPr>
        <w:t xml:space="preserve"> </w:t>
      </w:r>
    </w:p>
    <w:p w:rsidR="00BE5031" w:rsidRDefault="00BE5031">
      <w:pPr>
        <w:pStyle w:val="TOC2"/>
        <w:tabs>
          <w:tab w:val="right" w:leader="dot" w:pos="8835"/>
        </w:tabs>
        <w:divId w:val="835606754"/>
        <w:rPr>
          <w:rFonts w:hint="eastAsia"/>
          <w:vanish/>
        </w:rPr>
      </w:pPr>
      <w:hyperlink w:anchor="_Toc34322059" w:history="1">
        <w:r>
          <w:rPr>
            <w:rStyle w:val="a3"/>
            <w:rFonts w:hint="eastAsia"/>
            <w:noProof/>
            <w:vanish/>
          </w:rPr>
          <w:t>1.公告基本信息</w:t>
        </w:r>
      </w:hyperlink>
      <w:r w:rsidRPr="007C40ED">
        <w:rPr>
          <w:rFonts w:ascii="Calibri" w:hAnsi="Calibri" w:cs="Times New Roman"/>
          <w:noProof/>
          <w:vanish/>
          <w:szCs w:val="22"/>
        </w:rPr>
        <w:t xml:space="preserve"> </w:t>
      </w:r>
    </w:p>
    <w:p w:rsidR="00BE5031" w:rsidRDefault="00BE5031">
      <w:pPr>
        <w:pStyle w:val="TOC2"/>
        <w:tabs>
          <w:tab w:val="right" w:leader="dot" w:pos="8835"/>
        </w:tabs>
        <w:divId w:val="835606754"/>
        <w:rPr>
          <w:rFonts w:hint="eastAsia"/>
          <w:vanish/>
        </w:rPr>
      </w:pPr>
      <w:hyperlink w:anchor="_Toc34322063" w:history="1">
        <w:r>
          <w:rPr>
            <w:rStyle w:val="a3"/>
            <w:rFonts w:hint="eastAsia"/>
            <w:noProof/>
            <w:vanish/>
          </w:rPr>
          <w:t>2.其他需要提示的事项</w:t>
        </w:r>
      </w:hyperlink>
      <w:r w:rsidRPr="007C40ED">
        <w:rPr>
          <w:rFonts w:ascii="Calibri" w:hAnsi="Calibri" w:cs="Times New Roman"/>
          <w:noProof/>
          <w:vanish/>
          <w:szCs w:val="22"/>
        </w:rPr>
        <w:t xml:space="preserve"> </w:t>
      </w:r>
    </w:p>
    <w:p w:rsidR="00BE5031" w:rsidRDefault="00BE5031">
      <w:pPr>
        <w:spacing w:line="560" w:lineRule="exact"/>
        <w:jc w:val="center"/>
        <w:rPr>
          <w:rFonts w:hint="eastAsia"/>
          <w:color w:val="000000"/>
          <w:kern w:val="0"/>
          <w:sz w:val="18"/>
        </w:rPr>
      </w:pPr>
      <w:r>
        <w:rPr>
          <w:rFonts w:hint="eastAsia"/>
          <w:color w:val="000000"/>
          <w:kern w:val="0"/>
          <w:sz w:val="18"/>
        </w:rPr>
        <w:fldChar w:fldCharType="end"/>
      </w:r>
      <w:r>
        <w:rPr>
          <w:rFonts w:hint="eastAsia"/>
          <w:color w:val="000000"/>
          <w:kern w:val="0"/>
          <w:sz w:val="18"/>
        </w:rPr>
        <w:t xml:space="preserve">　 </w:t>
      </w:r>
    </w:p>
    <w:p w:rsidR="00BE5031" w:rsidRDefault="00BE5031">
      <w:pPr>
        <w:spacing w:line="560" w:lineRule="exact"/>
        <w:jc w:val="center"/>
        <w:rPr>
          <w:rFonts w:hint="eastAsia"/>
          <w:color w:val="000000"/>
          <w:kern w:val="0"/>
          <w:sz w:val="18"/>
        </w:rPr>
      </w:pPr>
      <w:r>
        <w:rPr>
          <w:rFonts w:hint="eastAsia"/>
          <w:color w:val="000000"/>
          <w:kern w:val="0"/>
          <w:sz w:val="18"/>
        </w:rPr>
        <w:t xml:space="preserve">　 </w:t>
      </w:r>
    </w:p>
    <w:p w:rsidR="00BE5031" w:rsidRDefault="00BE5031">
      <w:pPr>
        <w:spacing w:line="560" w:lineRule="exact"/>
        <w:jc w:val="center"/>
        <w:rPr>
          <w:rFonts w:hint="eastAsia"/>
          <w:color w:val="000000"/>
          <w:kern w:val="0"/>
          <w:sz w:val="18"/>
        </w:rPr>
      </w:pPr>
      <w:r>
        <w:rPr>
          <w:rFonts w:hint="eastAsia"/>
          <w:color w:val="000000"/>
          <w:kern w:val="0"/>
          <w:sz w:val="18"/>
        </w:rPr>
        <w:t xml:space="preserve">　 </w:t>
      </w:r>
    </w:p>
    <w:p w:rsidR="00BE5031" w:rsidRDefault="00BE5031">
      <w:pPr>
        <w:spacing w:line="560" w:lineRule="exact"/>
        <w:jc w:val="center"/>
        <w:rPr>
          <w:rFonts w:hint="eastAsia"/>
          <w:color w:val="000000"/>
          <w:kern w:val="0"/>
          <w:sz w:val="18"/>
        </w:rPr>
      </w:pPr>
      <w:r>
        <w:rPr>
          <w:rFonts w:hint="eastAsia"/>
          <w:color w:val="000000"/>
          <w:kern w:val="0"/>
          <w:sz w:val="18"/>
        </w:rPr>
        <w:t xml:space="preserve">　 </w:t>
      </w:r>
    </w:p>
    <w:p w:rsidR="00BE5031" w:rsidRDefault="00BE5031">
      <w:pPr>
        <w:spacing w:line="560" w:lineRule="exact"/>
        <w:jc w:val="center"/>
        <w:rPr>
          <w:rFonts w:hint="eastAsia"/>
          <w:color w:val="000000"/>
          <w:kern w:val="0"/>
          <w:sz w:val="18"/>
        </w:rPr>
      </w:pPr>
      <w:r>
        <w:rPr>
          <w:rFonts w:hint="eastAsia"/>
          <w:color w:val="000000"/>
          <w:kern w:val="0"/>
          <w:sz w:val="18"/>
        </w:rPr>
        <w:t xml:space="preserve">　 </w:t>
      </w:r>
    </w:p>
    <w:p w:rsidR="00BE5031" w:rsidRDefault="00BE5031">
      <w:pPr>
        <w:spacing w:line="560" w:lineRule="exact"/>
        <w:jc w:val="center"/>
        <w:rPr>
          <w:rFonts w:hint="eastAsia"/>
          <w:color w:val="000000"/>
          <w:kern w:val="0"/>
          <w:sz w:val="18"/>
        </w:rPr>
      </w:pPr>
      <w:r>
        <w:rPr>
          <w:rFonts w:hint="eastAsia"/>
          <w:color w:val="000000"/>
          <w:kern w:val="0"/>
          <w:sz w:val="18"/>
        </w:rPr>
        <w:t xml:space="preserve">　 </w:t>
      </w:r>
    </w:p>
    <w:p w:rsidR="00BE5031" w:rsidRDefault="00BE5031">
      <w:pPr>
        <w:spacing w:line="560" w:lineRule="exact"/>
        <w:jc w:val="center"/>
        <w:rPr>
          <w:rFonts w:hint="eastAsia"/>
          <w:color w:val="000000"/>
          <w:kern w:val="0"/>
          <w:sz w:val="18"/>
        </w:rPr>
      </w:pPr>
      <w:r>
        <w:rPr>
          <w:rFonts w:hint="eastAsia"/>
          <w:color w:val="000000"/>
          <w:kern w:val="0"/>
          <w:sz w:val="18"/>
        </w:rPr>
        <w:t xml:space="preserve">　 </w:t>
      </w:r>
    </w:p>
    <w:p w:rsidR="00BE5031" w:rsidRDefault="00BE5031">
      <w:pPr>
        <w:spacing w:line="560" w:lineRule="exact"/>
        <w:jc w:val="center"/>
        <w:rPr>
          <w:rFonts w:hint="eastAsia"/>
          <w:color w:val="000000"/>
          <w:kern w:val="0"/>
          <w:sz w:val="18"/>
        </w:rPr>
      </w:pPr>
      <w:r>
        <w:rPr>
          <w:rFonts w:hint="eastAsia"/>
          <w:color w:val="000000"/>
          <w:kern w:val="0"/>
          <w:sz w:val="18"/>
        </w:rPr>
        <w:t xml:space="preserve">　 </w:t>
      </w:r>
    </w:p>
    <w:p w:rsidR="00BE5031" w:rsidRDefault="00BE5031">
      <w:pPr>
        <w:spacing w:line="560" w:lineRule="exact"/>
        <w:jc w:val="center"/>
        <w:rPr>
          <w:rFonts w:hint="eastAsia"/>
          <w:color w:val="000000"/>
          <w:kern w:val="0"/>
          <w:sz w:val="18"/>
        </w:rPr>
      </w:pPr>
      <w:r>
        <w:rPr>
          <w:rFonts w:hint="eastAsia"/>
          <w:color w:val="000000"/>
          <w:kern w:val="0"/>
          <w:sz w:val="18"/>
        </w:rPr>
        <w:t xml:space="preserve">　 </w:t>
      </w:r>
    </w:p>
    <w:p w:rsidR="00BE5031" w:rsidRDefault="00BE5031">
      <w:pPr>
        <w:spacing w:line="560" w:lineRule="exact"/>
        <w:jc w:val="center"/>
        <w:rPr>
          <w:rFonts w:hint="eastAsia"/>
          <w:color w:val="000000"/>
          <w:kern w:val="0"/>
          <w:sz w:val="18"/>
        </w:rPr>
      </w:pPr>
      <w:r>
        <w:rPr>
          <w:rFonts w:hint="eastAsia"/>
          <w:color w:val="000000"/>
          <w:kern w:val="0"/>
          <w:sz w:val="18"/>
        </w:rPr>
        <w:t xml:space="preserve">　 </w:t>
      </w:r>
    </w:p>
    <w:p w:rsidR="00BE5031" w:rsidRDefault="00BE5031">
      <w:pPr>
        <w:spacing w:line="560" w:lineRule="exact"/>
        <w:jc w:val="center"/>
        <w:rPr>
          <w:rFonts w:hint="eastAsia"/>
          <w:color w:val="000000"/>
          <w:kern w:val="0"/>
          <w:sz w:val="18"/>
        </w:rPr>
      </w:pPr>
      <w:r>
        <w:rPr>
          <w:rFonts w:hint="eastAsia"/>
          <w:color w:val="000000"/>
          <w:kern w:val="0"/>
          <w:sz w:val="18"/>
        </w:rPr>
        <w:t xml:space="preserve">　 </w:t>
      </w:r>
    </w:p>
    <w:p w:rsidR="00BE5031" w:rsidRDefault="00BE5031">
      <w:pPr>
        <w:spacing w:line="360" w:lineRule="auto"/>
        <w:jc w:val="center"/>
        <w:rPr>
          <w:rFonts w:hint="eastAsia"/>
        </w:rPr>
      </w:pPr>
      <w:r>
        <w:rPr>
          <w:rFonts w:hint="eastAsia"/>
          <w:b/>
          <w:bCs/>
          <w:sz w:val="24"/>
          <w:szCs w:val="30"/>
        </w:rPr>
        <w:t>公告送出日期：2024年2月6日</w:t>
      </w:r>
    </w:p>
    <w:p w:rsidR="00BE5031" w:rsidRDefault="00BE5031">
      <w:pPr>
        <w:pStyle w:val="XBRLTitle1"/>
        <w:spacing w:before="156"/>
        <w:ind w:left="425"/>
        <w:jc w:val="left"/>
        <w:rPr>
          <w:rFonts w:hint="eastAsia"/>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bookmarkEnd w:id="10"/>
      <w:bookmarkEnd w:id="11"/>
      <w:bookmarkEnd w:id="12"/>
    </w:p>
    <w:tbl>
      <w:tblPr>
        <w:tblW w:w="847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tblPr>
      <w:tblGrid>
        <w:gridCol w:w="1046"/>
        <w:gridCol w:w="934"/>
        <w:gridCol w:w="2165"/>
        <w:gridCol w:w="2165"/>
        <w:gridCol w:w="2165"/>
      </w:tblGrid>
      <w:tr w:rsidR="00BE5031" w:rsidTr="007C40ED">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5031" w:rsidRDefault="00BE5031">
            <w:pPr>
              <w:rPr>
                <w:rFonts w:hint="eastAsia"/>
              </w:rPr>
            </w:pPr>
            <w:r w:rsidRPr="007C40ED">
              <w:rPr>
                <w:rFonts w:ascii="Calibri" w:hAnsi="Calibri" w:hint="eastAsia"/>
              </w:rPr>
              <w:t>基金名称</w:t>
            </w:r>
          </w:p>
        </w:tc>
        <w:tc>
          <w:tcPr>
            <w:tcW w:w="4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5031" w:rsidRDefault="00BE5031">
            <w:pPr>
              <w:rPr>
                <w:rFonts w:hint="eastAsia"/>
              </w:rPr>
            </w:pPr>
            <w:r w:rsidRPr="007C40ED">
              <w:rPr>
                <w:rFonts w:hint="eastAsia"/>
              </w:rPr>
              <w:t>华泰柏瑞鸿利中短债债券型证券投资基金</w:t>
            </w:r>
          </w:p>
        </w:tc>
      </w:tr>
      <w:tr w:rsidR="00BE5031" w:rsidTr="007C40ED">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5031" w:rsidRDefault="00BE5031">
            <w:pPr>
              <w:rPr>
                <w:rFonts w:hint="eastAsia"/>
              </w:rPr>
            </w:pPr>
            <w:r w:rsidRPr="007C40ED">
              <w:rPr>
                <w:rFonts w:hint="eastAsia"/>
              </w:rPr>
              <w:t xml:space="preserve">基金简称 </w:t>
            </w:r>
          </w:p>
        </w:tc>
        <w:tc>
          <w:tcPr>
            <w:tcW w:w="4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5031" w:rsidRDefault="00BE5031">
            <w:pPr>
              <w:rPr>
                <w:rFonts w:hint="eastAsia"/>
              </w:rPr>
            </w:pPr>
            <w:r w:rsidRPr="007C40ED">
              <w:rPr>
                <w:rFonts w:hint="eastAsia"/>
              </w:rPr>
              <w:t>华泰柏瑞鸿利中短债债券</w:t>
            </w:r>
          </w:p>
        </w:tc>
      </w:tr>
      <w:tr w:rsidR="00BE5031" w:rsidTr="007C40ED">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5031" w:rsidRDefault="00BE5031">
            <w:pPr>
              <w:rPr>
                <w:rFonts w:hint="eastAsia"/>
              </w:rPr>
            </w:pPr>
            <w:r w:rsidRPr="007C40ED">
              <w:rPr>
                <w:rFonts w:hint="eastAsia"/>
              </w:rPr>
              <w:t xml:space="preserve">基金主代码 </w:t>
            </w:r>
          </w:p>
        </w:tc>
        <w:tc>
          <w:tcPr>
            <w:tcW w:w="4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5031" w:rsidRDefault="00BE5031">
            <w:pPr>
              <w:rPr>
                <w:rFonts w:hint="eastAsia"/>
              </w:rPr>
            </w:pPr>
            <w:r w:rsidRPr="007C40ED">
              <w:rPr>
                <w:rFonts w:hint="eastAsia"/>
              </w:rPr>
              <w:t>009093</w:t>
            </w:r>
          </w:p>
        </w:tc>
      </w:tr>
      <w:tr w:rsidR="00BE5031" w:rsidTr="007C40ED">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5031" w:rsidRDefault="00BE5031">
            <w:pPr>
              <w:rPr>
                <w:rFonts w:hint="eastAsia"/>
              </w:rPr>
            </w:pPr>
            <w:r w:rsidRPr="007C40ED">
              <w:rPr>
                <w:rFonts w:ascii="Calibri" w:hAnsi="Calibri" w:hint="eastAsia"/>
              </w:rPr>
              <w:t>基金管理人名称</w:t>
            </w:r>
          </w:p>
        </w:tc>
        <w:tc>
          <w:tcPr>
            <w:tcW w:w="4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5031" w:rsidRDefault="00BE5031">
            <w:pPr>
              <w:rPr>
                <w:rFonts w:hint="eastAsia"/>
              </w:rPr>
            </w:pPr>
            <w:r w:rsidRPr="007C40ED">
              <w:rPr>
                <w:rFonts w:hint="eastAsia"/>
              </w:rPr>
              <w:t>华泰柏瑞基金管理有限公司</w:t>
            </w:r>
          </w:p>
        </w:tc>
      </w:tr>
      <w:tr w:rsidR="00BE5031" w:rsidTr="007C40ED">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5031" w:rsidRDefault="00BE5031">
            <w:pPr>
              <w:rPr>
                <w:rFonts w:hint="eastAsia"/>
              </w:rPr>
            </w:pPr>
            <w:r w:rsidRPr="007C40ED">
              <w:rPr>
                <w:rFonts w:ascii="Calibri" w:hAnsi="Calibri" w:hint="eastAsia"/>
              </w:rPr>
              <w:t>公告依据</w:t>
            </w:r>
          </w:p>
        </w:tc>
        <w:tc>
          <w:tcPr>
            <w:tcW w:w="4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5031" w:rsidRDefault="00BE5031">
            <w:pPr>
              <w:rPr>
                <w:rFonts w:hint="eastAsia"/>
              </w:rPr>
            </w:pPr>
            <w:r w:rsidRPr="007C40ED">
              <w:rPr>
                <w:rFonts w:hint="eastAsia"/>
              </w:rPr>
              <w:t>《公开募集证券投资基金信息披露管理办法》</w:t>
            </w:r>
          </w:p>
        </w:tc>
      </w:tr>
      <w:tr w:rsidR="00BE5031" w:rsidTr="007C40ED">
        <w:tc>
          <w:tcPr>
            <w:tcW w:w="20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5031" w:rsidRDefault="00BE5031">
            <w:pPr>
              <w:rPr>
                <w:rFonts w:hint="eastAsia"/>
              </w:rPr>
            </w:pPr>
            <w:r w:rsidRPr="007C40ED">
              <w:rPr>
                <w:rFonts w:ascii="Calibri" w:hAnsi="Calibri" w:hint="eastAsia"/>
              </w:rPr>
              <w:t>恢复相关业务的日期及原因说明</w:t>
            </w: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5031" w:rsidRDefault="00BE5031">
            <w:pPr>
              <w:rPr>
                <w:rFonts w:hint="eastAsia"/>
              </w:rPr>
            </w:pPr>
            <w:r w:rsidRPr="007C40ED">
              <w:rPr>
                <w:rFonts w:ascii="Calibri" w:hAnsi="Calibri" w:hint="eastAsia"/>
              </w:rPr>
              <w:t>恢复申购日</w:t>
            </w:r>
          </w:p>
        </w:tc>
        <w:tc>
          <w:tcPr>
            <w:tcW w:w="4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5031" w:rsidRDefault="00BE5031">
            <w:pPr>
              <w:rPr>
                <w:rFonts w:hint="eastAsia"/>
              </w:rPr>
            </w:pPr>
            <w:r w:rsidRPr="007C40ED">
              <w:rPr>
                <w:rFonts w:hint="eastAsia"/>
              </w:rPr>
              <w:t>2024年2月7日</w:t>
            </w:r>
          </w:p>
        </w:tc>
      </w:tr>
      <w:tr w:rsidR="00BE5031" w:rsidTr="007C40ED">
        <w:tc>
          <w:tcPr>
            <w:tcW w:w="3795" w:type="dxa"/>
            <w:vMerge/>
            <w:tcBorders>
              <w:top w:val="single" w:sz="4" w:space="0" w:color="000000"/>
              <w:left w:val="single" w:sz="4" w:space="0" w:color="000000"/>
              <w:bottom w:val="single" w:sz="4" w:space="0" w:color="000000"/>
              <w:right w:val="single" w:sz="4" w:space="0" w:color="000000"/>
            </w:tcBorders>
            <w:vAlign w:val="center"/>
            <w:hideMark/>
          </w:tcPr>
          <w:p w:rsidR="00BE5031" w:rsidRDefault="00BE5031">
            <w:pPr>
              <w:widowControl/>
              <w:jc w:val="left"/>
            </w:pP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5031" w:rsidRDefault="00BE5031">
            <w:pPr>
              <w:rPr>
                <w:rFonts w:hint="eastAsia"/>
              </w:rPr>
            </w:pPr>
            <w:r w:rsidRPr="007C40ED">
              <w:rPr>
                <w:rFonts w:ascii="Calibri" w:hAnsi="Calibri" w:hint="eastAsia"/>
              </w:rPr>
              <w:t>恢复转换转入日</w:t>
            </w:r>
          </w:p>
        </w:tc>
        <w:tc>
          <w:tcPr>
            <w:tcW w:w="4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5031" w:rsidRDefault="00BE5031">
            <w:pPr>
              <w:rPr>
                <w:rFonts w:hint="eastAsia"/>
              </w:rPr>
            </w:pPr>
            <w:r w:rsidRPr="007C40ED">
              <w:rPr>
                <w:rFonts w:hint="eastAsia"/>
              </w:rPr>
              <w:t>2024年2月7日</w:t>
            </w:r>
          </w:p>
        </w:tc>
      </w:tr>
      <w:tr w:rsidR="00BE5031" w:rsidTr="007C40ED">
        <w:tc>
          <w:tcPr>
            <w:tcW w:w="3795" w:type="dxa"/>
            <w:vMerge/>
            <w:tcBorders>
              <w:top w:val="single" w:sz="4" w:space="0" w:color="000000"/>
              <w:left w:val="single" w:sz="4" w:space="0" w:color="000000"/>
              <w:bottom w:val="single" w:sz="4" w:space="0" w:color="000000"/>
              <w:right w:val="single" w:sz="4" w:space="0" w:color="000000"/>
            </w:tcBorders>
            <w:vAlign w:val="center"/>
            <w:hideMark/>
          </w:tcPr>
          <w:p w:rsidR="00BE5031" w:rsidRDefault="00BE5031">
            <w:pPr>
              <w:widowControl/>
              <w:jc w:val="left"/>
            </w:pP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5031" w:rsidRDefault="00BE5031">
            <w:pPr>
              <w:rPr>
                <w:rFonts w:hint="eastAsia"/>
              </w:rPr>
            </w:pPr>
            <w:r w:rsidRPr="007C40ED">
              <w:rPr>
                <w:rFonts w:ascii="Calibri" w:hAnsi="Calibri" w:hint="eastAsia"/>
              </w:rPr>
              <w:t>恢复申购、转换转入的原因说明</w:t>
            </w:r>
            <w:r>
              <w:rPr>
                <w:rFonts w:hint="eastAsia"/>
              </w:rPr>
              <w:t xml:space="preserve"> </w:t>
            </w:r>
          </w:p>
        </w:tc>
        <w:tc>
          <w:tcPr>
            <w:tcW w:w="4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5031" w:rsidRDefault="00BE5031">
            <w:pPr>
              <w:rPr>
                <w:rFonts w:hint="eastAsia"/>
              </w:rPr>
            </w:pPr>
            <w:r w:rsidRPr="007C40ED">
              <w:rPr>
                <w:rFonts w:hint="eastAsia"/>
              </w:rPr>
              <w:t>为满足投资者的需求</w:t>
            </w:r>
          </w:p>
        </w:tc>
      </w:tr>
      <w:tr w:rsidR="00BE5031" w:rsidTr="007C40ED">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5031" w:rsidRDefault="00BE5031">
            <w:pPr>
              <w:rPr>
                <w:rFonts w:hint="eastAsia"/>
              </w:rPr>
            </w:pPr>
            <w:r w:rsidRPr="007C40ED">
              <w:rPr>
                <w:rFonts w:ascii="Calibri" w:hAnsi="Calibri" w:hint="eastAsia"/>
              </w:rPr>
              <w:t>下属分级基金的基金简称</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BE5031" w:rsidRDefault="00BE5031">
            <w:pPr>
              <w:rPr>
                <w:rFonts w:hint="eastAsia"/>
              </w:rPr>
            </w:pPr>
            <w:r w:rsidRPr="007C40ED">
              <w:rPr>
                <w:rFonts w:hint="eastAsia"/>
              </w:rPr>
              <w:t>华泰柏瑞鸿利中短债债券A</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BE5031" w:rsidRDefault="00BE5031">
            <w:pPr>
              <w:rPr>
                <w:rFonts w:hint="eastAsia"/>
              </w:rPr>
            </w:pPr>
            <w:r w:rsidRPr="007C40ED">
              <w:rPr>
                <w:rFonts w:hint="eastAsia"/>
              </w:rPr>
              <w:t>华泰柏瑞鸿利中短债债券C</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BE5031" w:rsidRDefault="00BE5031">
            <w:pPr>
              <w:rPr>
                <w:rFonts w:hint="eastAsia"/>
              </w:rPr>
            </w:pPr>
            <w:r w:rsidRPr="007C40ED">
              <w:rPr>
                <w:rFonts w:hint="eastAsia"/>
              </w:rPr>
              <w:t>华泰柏瑞鸿利中短债债券E</w:t>
            </w:r>
          </w:p>
        </w:tc>
      </w:tr>
      <w:tr w:rsidR="00BE5031" w:rsidTr="007C40ED">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5031" w:rsidRDefault="00BE5031">
            <w:pPr>
              <w:rPr>
                <w:rFonts w:hint="eastAsia"/>
              </w:rPr>
            </w:pPr>
            <w:r w:rsidRPr="007C40ED">
              <w:rPr>
                <w:rFonts w:ascii="Calibri" w:hAnsi="Calibri" w:hint="eastAsia"/>
              </w:rPr>
              <w:t>下属分级基金的交易代码</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BE5031" w:rsidRDefault="00BE5031">
            <w:pPr>
              <w:rPr>
                <w:rFonts w:hint="eastAsia"/>
              </w:rPr>
            </w:pPr>
            <w:r w:rsidRPr="007C40ED">
              <w:rPr>
                <w:rFonts w:hint="eastAsia"/>
              </w:rPr>
              <w:t>009093</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BE5031" w:rsidRDefault="00BE5031">
            <w:pPr>
              <w:rPr>
                <w:rFonts w:hint="eastAsia"/>
              </w:rPr>
            </w:pPr>
            <w:r w:rsidRPr="007C40ED">
              <w:rPr>
                <w:rFonts w:hint="eastAsia"/>
              </w:rPr>
              <w:t>009094</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BE5031" w:rsidRDefault="00BE5031">
            <w:pPr>
              <w:rPr>
                <w:rFonts w:hint="eastAsia"/>
              </w:rPr>
            </w:pPr>
            <w:r w:rsidRPr="007C40ED">
              <w:rPr>
                <w:rFonts w:hint="eastAsia"/>
              </w:rPr>
              <w:t>009095</w:t>
            </w:r>
          </w:p>
        </w:tc>
      </w:tr>
      <w:tr w:rsidR="00BE5031" w:rsidTr="007C40ED">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5031" w:rsidRDefault="00BE5031">
            <w:pPr>
              <w:rPr>
                <w:rFonts w:hint="eastAsia"/>
              </w:rPr>
            </w:pPr>
            <w:r w:rsidRPr="007C40ED">
              <w:rPr>
                <w:rFonts w:ascii="Calibri" w:hAnsi="Calibri" w:hint="eastAsia"/>
              </w:rPr>
              <w:t>该分级基金是否恢复申购、转换转入</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BE5031" w:rsidRDefault="00BE5031">
            <w:pPr>
              <w:rPr>
                <w:rFonts w:hint="eastAsia"/>
              </w:rPr>
            </w:pPr>
            <w:r w:rsidRPr="007C40ED">
              <w:rPr>
                <w:rFonts w:hint="eastAsia"/>
              </w:rPr>
              <w:t>是</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BE5031" w:rsidRDefault="00BE5031">
            <w:pPr>
              <w:rPr>
                <w:rFonts w:hint="eastAsia"/>
              </w:rPr>
            </w:pPr>
            <w:r w:rsidRPr="007C40ED">
              <w:rPr>
                <w:rFonts w:hint="eastAsia"/>
              </w:rPr>
              <w:t>是</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BE5031" w:rsidRDefault="00BE5031">
            <w:pPr>
              <w:rPr>
                <w:rFonts w:hint="eastAsia"/>
              </w:rPr>
            </w:pPr>
            <w:r w:rsidRPr="007C40ED">
              <w:rPr>
                <w:rFonts w:hint="eastAsia"/>
              </w:rPr>
              <w:t>否</w:t>
            </w:r>
          </w:p>
        </w:tc>
      </w:tr>
    </w:tbl>
    <w:p w:rsidR="00BE5031" w:rsidRDefault="00BE5031">
      <w:pPr>
        <w:pStyle w:val="XBRLTitle1"/>
        <w:spacing w:before="156" w:line="360" w:lineRule="auto"/>
        <w:ind w:left="425"/>
        <w:jc w:val="left"/>
        <w:rPr>
          <w:rFonts w:hint="eastAsia"/>
        </w:rPr>
      </w:pPr>
      <w:bookmarkStart w:id="13" w:name="_Toc17898228"/>
      <w:bookmarkStart w:id="14" w:name="_Toc17897969"/>
      <w:bookmarkStart w:id="15" w:name="_Toc512519529"/>
      <w:bookmarkStart w:id="16" w:name="_Toc490050049"/>
      <w:bookmarkStart w:id="17" w:name="_Toc481075097"/>
      <w:bookmarkStart w:id="18" w:name="_Toc438646481"/>
      <w:bookmarkStart w:id="19" w:name="_Toc513295878"/>
      <w:bookmarkStart w:id="20" w:name="_Toc513295941"/>
      <w:bookmarkStart w:id="21" w:name="_Toc34322063"/>
      <w:bookmarkStart w:id="22" w:name="m201_01"/>
      <w:r>
        <w:rPr>
          <w:rFonts w:hAnsi="宋体" w:hint="eastAsia"/>
          <w:szCs w:val="24"/>
        </w:rPr>
        <w:t>其他需要提示的事项</w:t>
      </w:r>
      <w:bookmarkEnd w:id="13"/>
      <w:bookmarkEnd w:id="14"/>
      <w:bookmarkEnd w:id="15"/>
      <w:bookmarkEnd w:id="16"/>
      <w:bookmarkEnd w:id="17"/>
      <w:bookmarkEnd w:id="18"/>
      <w:bookmarkEnd w:id="19"/>
      <w:bookmarkEnd w:id="20"/>
      <w:bookmarkEnd w:id="21"/>
      <w:r>
        <w:rPr>
          <w:rFonts w:hAnsi="宋体" w:hint="eastAsia"/>
          <w:szCs w:val="24"/>
        </w:rPr>
        <w:t xml:space="preserve"> </w:t>
      </w:r>
    </w:p>
    <w:p w:rsidR="00BE5031" w:rsidRDefault="00BE5031">
      <w:pPr>
        <w:spacing w:line="360" w:lineRule="auto"/>
        <w:ind w:firstLineChars="200" w:firstLine="420"/>
        <w:jc w:val="left"/>
        <w:rPr>
          <w:rFonts w:hint="eastAsia"/>
        </w:rPr>
      </w:pPr>
      <w:r>
        <w:rPr>
          <w:rFonts w:hint="eastAsia"/>
          <w:szCs w:val="21"/>
        </w:rPr>
        <w:t>1、为保证基金的平稳运作，维护基金持有人利益，华泰柏瑞基金管理有限公司（以下简称“本公司”）于2024年2月2日发布公告，自2024年2月7日起暂停华泰柏瑞鸿利中短债债券型证券投资基金（以下简称“本基金”）</w:t>
      </w:r>
      <w:r w:rsidR="00DE5D07">
        <w:rPr>
          <w:rFonts w:hint="eastAsia"/>
          <w:szCs w:val="21"/>
        </w:rPr>
        <w:t>在代销机构</w:t>
      </w:r>
      <w:r>
        <w:rPr>
          <w:rFonts w:hint="eastAsia"/>
          <w:szCs w:val="21"/>
        </w:rPr>
        <w:t>的基金申购和转换转入业务。自2024年2月19日起本基金在代销机构恢复办理基金申购、转换转入业务，届时将不再另行公告。</w:t>
      </w:r>
      <w:r>
        <w:rPr>
          <w:rFonts w:hint="eastAsia"/>
          <w:szCs w:val="21"/>
        </w:rPr>
        <w:br/>
        <w:t xml:space="preserve">　　2、鉴于近期为满足广大投资者的投资需求，根据法律法规及本基金基金合同的相关规定，本公司决定自2024年2月7日起恢复办理本基金A类和C类份额在中国工商银行股份有限公司的申购、转换转入业务。</w:t>
      </w:r>
      <w:r>
        <w:rPr>
          <w:rFonts w:hint="eastAsia"/>
          <w:szCs w:val="21"/>
        </w:rPr>
        <w:br/>
        <w:t xml:space="preserve">　　投资者如欲了解详情，可登陆本公司网站(www.huatai-pb.com)或拨打客户服务电话：400-888-0001。</w:t>
      </w:r>
      <w:r>
        <w:rPr>
          <w:rFonts w:hint="eastAsia"/>
          <w:szCs w:val="21"/>
        </w:rPr>
        <w:br/>
        <w:t xml:space="preserve">　　风险提示： </w:t>
      </w:r>
      <w:r>
        <w:rPr>
          <w:rFonts w:hint="eastAsia"/>
          <w:szCs w:val="21"/>
        </w:rPr>
        <w:br/>
        <w:t xml:space="preserve">　　基金管理人承诺依照诚实信用、勤勉尽职的原则管理和运用基金资产，但不保证基金一定盈利，也不保证最低收益。基金的过往业绩及其净值高低并不预示其未来业绩表现。</w:t>
      </w:r>
      <w:r>
        <w:rPr>
          <w:rFonts w:hint="eastAsia"/>
          <w:szCs w:val="21"/>
        </w:rPr>
        <w:br/>
        <w:t xml:space="preserve">　　投资者投资本基金前应认真阅读基金合同、招募说明书等法律文件，了解拟投资基金的风险</w:t>
      </w:r>
      <w:r>
        <w:rPr>
          <w:rFonts w:hint="eastAsia"/>
          <w:szCs w:val="21"/>
        </w:rPr>
        <w:lastRenderedPageBreak/>
        <w:t>收益特征，并根据自身投资目的、投资期限、投资经验、资产状况等判断基金是否和投资者的风险承受能力相匹配。</w:t>
      </w:r>
    </w:p>
    <w:p w:rsidR="00BE5031" w:rsidRDefault="00BE5031">
      <w:pPr>
        <w:spacing w:line="360" w:lineRule="auto"/>
        <w:ind w:firstLineChars="600" w:firstLine="1446"/>
        <w:jc w:val="right"/>
        <w:rPr>
          <w:rFonts w:hint="eastAsia"/>
          <w:b/>
          <w:bCs/>
          <w:sz w:val="24"/>
          <w:szCs w:val="30"/>
        </w:rPr>
      </w:pPr>
      <w:r>
        <w:rPr>
          <w:rFonts w:hint="eastAsia"/>
          <w:b/>
          <w:bCs/>
          <w:sz w:val="24"/>
          <w:szCs w:val="30"/>
        </w:rPr>
        <w:t xml:space="preserve">　 </w:t>
      </w:r>
    </w:p>
    <w:p w:rsidR="00BE5031" w:rsidRDefault="00BE5031">
      <w:pPr>
        <w:spacing w:line="360" w:lineRule="auto"/>
        <w:ind w:firstLineChars="600" w:firstLine="1446"/>
        <w:jc w:val="right"/>
        <w:rPr>
          <w:rFonts w:hint="eastAsia"/>
          <w:b/>
          <w:bCs/>
          <w:sz w:val="24"/>
          <w:szCs w:val="30"/>
        </w:rPr>
      </w:pPr>
      <w:r>
        <w:rPr>
          <w:rFonts w:hint="eastAsia"/>
          <w:b/>
          <w:bCs/>
          <w:sz w:val="24"/>
          <w:szCs w:val="30"/>
        </w:rPr>
        <w:t xml:space="preserve">　 </w:t>
      </w:r>
    </w:p>
    <w:p w:rsidR="00BE5031" w:rsidRDefault="00BE5031">
      <w:pPr>
        <w:spacing w:line="360" w:lineRule="auto"/>
        <w:ind w:firstLineChars="600" w:firstLine="1446"/>
        <w:jc w:val="right"/>
        <w:rPr>
          <w:rFonts w:hint="eastAsia"/>
        </w:rPr>
      </w:pPr>
      <w:r>
        <w:rPr>
          <w:rFonts w:hint="eastAsia"/>
          <w:b/>
          <w:bCs/>
          <w:sz w:val="24"/>
          <w:szCs w:val="24"/>
        </w:rPr>
        <w:t>华泰柏瑞基金管理有限公司</w:t>
      </w:r>
    </w:p>
    <w:p w:rsidR="00BE5031" w:rsidRDefault="00BE5031">
      <w:pPr>
        <w:spacing w:line="360" w:lineRule="auto"/>
        <w:ind w:firstLineChars="600" w:firstLine="1446"/>
        <w:jc w:val="right"/>
        <w:rPr>
          <w:rFonts w:hint="eastAsia"/>
        </w:rPr>
      </w:pPr>
      <w:r>
        <w:rPr>
          <w:rFonts w:hint="eastAsia"/>
          <w:b/>
          <w:bCs/>
          <w:sz w:val="24"/>
          <w:szCs w:val="24"/>
        </w:rPr>
        <w:t>2024年2月6日</w:t>
      </w:r>
      <w:bookmarkEnd w:id="22"/>
    </w:p>
    <w:sectPr w:rsidR="00BE5031">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487" w:rsidRDefault="00473487">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473487" w:rsidRDefault="00473487">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31" w:rsidRDefault="00BE5031">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D9134D">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D9134D">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487" w:rsidRDefault="00473487">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473487" w:rsidRDefault="00473487">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31" w:rsidRDefault="00BE5031">
    <w:pPr>
      <w:pStyle w:val="a8"/>
      <w:jc w:val="right"/>
      <w:rPr>
        <w:rFonts w:hint="eastAsia"/>
      </w:rPr>
    </w:pPr>
    <w:r>
      <w:rPr>
        <w:rFonts w:hint="eastAsia"/>
      </w:rPr>
      <w:t>华泰柏瑞基金管理有限公司关于华泰柏瑞鸿利中短债债券型证券投资基金恢复部分销售机构申购和转换转入业务的公告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trackRevisions/>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40ED"/>
    <w:rsid w:val="00473487"/>
    <w:rsid w:val="004F5CB6"/>
    <w:rsid w:val="007C40ED"/>
    <w:rsid w:val="00903FAF"/>
    <w:rsid w:val="00BE5031"/>
    <w:rsid w:val="00D9134D"/>
    <w:rsid w:val="00DE5D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uiPriority="59"/>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TOC1">
    <w:name w:val="TOC 1"/>
    <w:basedOn w:val="a"/>
    <w:next w:val="a"/>
    <w:autoRedefine/>
    <w:uiPriority w:val="39"/>
    <w:semiHidden/>
    <w:unhideWhenUsed/>
    <w:pPr>
      <w:tabs>
        <w:tab w:val="right" w:leader="dot" w:pos="8835"/>
      </w:tabs>
    </w:pPr>
    <w:rPr>
      <w:noProof/>
    </w:rPr>
  </w:style>
  <w:style w:type="paragraph" w:styleId="TOC2">
    <w:name w:val="TOC 2"/>
    <w:basedOn w:val="a"/>
    <w:next w:val="a"/>
    <w:autoRedefine/>
    <w:uiPriority w:val="39"/>
    <w:semiHidden/>
    <w:unhideWhenUsed/>
    <w:pPr>
      <w:ind w:leftChars="200" w:left="420"/>
    </w:pPr>
  </w:style>
  <w:style w:type="paragraph" w:styleId="TOC3">
    <w:name w:val="TOC 3"/>
    <w:basedOn w:val="a"/>
    <w:next w:val="a"/>
    <w:autoRedefine/>
    <w:uiPriority w:val="39"/>
    <w:semiHidden/>
    <w:unhideWhenUsed/>
  </w:style>
  <w:style w:type="paragraph" w:styleId="a6">
    <w:name w:val="footnote text"/>
    <w:basedOn w:val="a"/>
    <w:link w:val="12"/>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2"/>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3"/>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4"/>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5"/>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6"/>
    <w:rPr>
      <w:sz w:val="32"/>
      <w:lang/>
    </w:rPr>
  </w:style>
  <w:style w:type="character" w:customStyle="1" w:styleId="af1">
    <w:name w:val="日期 字符"/>
    <w:link w:val="af0"/>
    <w:locked/>
    <w:rPr>
      <w:kern w:val="2"/>
      <w:sz w:val="21"/>
    </w:rPr>
  </w:style>
  <w:style w:type="paragraph" w:styleId="af2">
    <w:name w:val="Document Map"/>
    <w:basedOn w:val="a"/>
    <w:link w:val="17"/>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8"/>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ind w:left="2042"/>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ind w:left="850"/>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3602"/>
    </w:pPr>
    <w:rPr>
      <w:rFonts w:ascii="宋体"/>
      <w:bCs/>
    </w:rPr>
  </w:style>
  <w:style w:type="paragraph" w:customStyle="1" w:styleId="XBRLTitle5">
    <w:name w:val="XBRLTitle5"/>
    <w:basedOn w:val="ae"/>
    <w:next w:val="4"/>
    <w:qFormat/>
    <w:pPr>
      <w:numPr>
        <w:ilvl w:val="4"/>
        <w:numId w:val="2"/>
      </w:numPr>
      <w:spacing w:beforeLines="50" w:after="0" w:line="240" w:lineRule="auto"/>
      <w:ind w:left="2042"/>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ind w:left="1588"/>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2">
    <w:name w:val="脚注文本 字符1"/>
    <w:link w:val="a6"/>
    <w:locked/>
    <w:rPr>
      <w:kern w:val="2"/>
      <w:sz w:val="18"/>
      <w:szCs w:val="18"/>
    </w:rPr>
  </w:style>
  <w:style w:type="character" w:customStyle="1" w:styleId="22">
    <w:name w:val="页眉 字符2"/>
    <w:link w:val="a8"/>
    <w:locked/>
    <w:rPr>
      <w:kern w:val="2"/>
      <w:sz w:val="18"/>
      <w:szCs w:val="18"/>
    </w:rPr>
  </w:style>
  <w:style w:type="character" w:customStyle="1" w:styleId="13">
    <w:name w:val="页脚 字符1"/>
    <w:link w:val="aa"/>
    <w:uiPriority w:val="99"/>
    <w:locked/>
    <w:rPr>
      <w:kern w:val="2"/>
      <w:sz w:val="18"/>
      <w:szCs w:val="18"/>
    </w:rPr>
  </w:style>
  <w:style w:type="character" w:customStyle="1" w:styleId="14">
    <w:name w:val="标题 字符1"/>
    <w:link w:val="ac"/>
    <w:uiPriority w:val="10"/>
    <w:locked/>
    <w:rPr>
      <w:rFonts w:ascii="Cambria" w:hAnsi="Cambria" w:cs="宋体" w:hint="default"/>
      <w:b/>
      <w:bCs/>
      <w:sz w:val="32"/>
      <w:szCs w:val="32"/>
    </w:rPr>
  </w:style>
  <w:style w:type="character" w:customStyle="1" w:styleId="15">
    <w:name w:val="副标题 字符1"/>
    <w:link w:val="ae"/>
    <w:locked/>
    <w:rPr>
      <w:rFonts w:ascii="Cambria" w:eastAsia="宋体" w:hAnsi="Cambria" w:cs="宋体" w:hint="default"/>
      <w:b/>
      <w:bCs w:val="0"/>
      <w:kern w:val="24"/>
      <w:sz w:val="24"/>
      <w:szCs w:val="32"/>
    </w:rPr>
  </w:style>
  <w:style w:type="character" w:customStyle="1" w:styleId="16">
    <w:name w:val="日期 字符1"/>
    <w:link w:val="af0"/>
    <w:locked/>
    <w:rPr>
      <w:rFonts w:ascii="宋体" w:eastAsia="宋体" w:hAnsi="宋体" w:hint="eastAsia"/>
      <w:kern w:val="2"/>
      <w:sz w:val="32"/>
    </w:rPr>
  </w:style>
  <w:style w:type="character" w:customStyle="1" w:styleId="17">
    <w:name w:val="文档结构图 字符1"/>
    <w:link w:val="af2"/>
    <w:locked/>
    <w:rPr>
      <w:rFonts w:ascii="宋体" w:eastAsia="宋体" w:hAnsi="宋体" w:hint="eastAsia"/>
      <w:kern w:val="2"/>
      <w:sz w:val="18"/>
      <w:szCs w:val="18"/>
    </w:rPr>
  </w:style>
  <w:style w:type="character" w:customStyle="1" w:styleId="18">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9">
    <w:name w:val="页眉 字符1"/>
    <w:locked/>
    <w:rPr>
      <w:kern w:val="2"/>
      <w:sz w:val="18"/>
      <w:szCs w:val="18"/>
    </w:rPr>
  </w:style>
  <w:style w:type="table" w:styleId="af8">
    <w:name w:val="Table Grid"/>
    <w:basedOn w:val="a1"/>
    <w:uiPriority w:val="59"/>
    <w:semiHidden/>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83560675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4C9A2-BC0B-401C-B8A6-0785EAD7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Words>
  <Characters>966</Characters>
  <Application>Microsoft Office Word</Application>
  <DocSecurity>4</DocSecurity>
  <Lines>8</Lines>
  <Paragraphs>2</Paragraphs>
  <ScaleCrop>false</ScaleCrop>
  <Company/>
  <LinksUpToDate>false</LinksUpToDate>
  <CharactersWithSpaces>1133</CharactersWithSpaces>
  <SharedDoc>false</SharedDoc>
  <HLinks>
    <vt:vector size="18" baseType="variant">
      <vt:variant>
        <vt:i4>1179700</vt:i4>
      </vt:variant>
      <vt:variant>
        <vt:i4>8</vt:i4>
      </vt:variant>
      <vt:variant>
        <vt:i4>0</vt:i4>
      </vt:variant>
      <vt:variant>
        <vt:i4>5</vt:i4>
      </vt:variant>
      <vt:variant>
        <vt:lpwstr/>
      </vt:variant>
      <vt:variant>
        <vt:lpwstr>_Toc34322063</vt:lpwstr>
      </vt:variant>
      <vt:variant>
        <vt:i4>1572919</vt:i4>
      </vt:variant>
      <vt:variant>
        <vt:i4>5</vt:i4>
      </vt:variant>
      <vt:variant>
        <vt:i4>0</vt:i4>
      </vt:variant>
      <vt:variant>
        <vt:i4>5</vt:i4>
      </vt:variant>
      <vt:variant>
        <vt:lpwstr/>
      </vt:variant>
      <vt:variant>
        <vt:lpwstr>_Toc34322059</vt:lpwstr>
      </vt:variant>
      <vt:variant>
        <vt:i4>1376309</vt:i4>
      </vt:variant>
      <vt:variant>
        <vt:i4>2</vt:i4>
      </vt:variant>
      <vt:variant>
        <vt:i4>0</vt:i4>
      </vt:variant>
      <vt:variant>
        <vt:i4>5</vt:i4>
      </vt:variant>
      <vt:variant>
        <vt:lpwstr/>
      </vt:variant>
      <vt:variant>
        <vt:lpwstr>_Toc510201001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2024-02-05T16:03:00Z</dcterms:created>
  <dcterms:modified xsi:type="dcterms:W3CDTF">2024-02-05T16:03:00Z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