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A" w:rsidRPr="00C13141" w:rsidRDefault="00FF35D1" w:rsidP="00282BE6">
      <w:pPr>
        <w:widowControl/>
        <w:spacing w:line="276" w:lineRule="auto"/>
        <w:jc w:val="center"/>
        <w:rPr>
          <w:rFonts w:ascii="宋体" w:hAnsi="宋体" w:cs="宋体"/>
          <w:b/>
          <w:bCs/>
          <w:kern w:val="36"/>
          <w:sz w:val="28"/>
          <w:szCs w:val="28"/>
        </w:rPr>
      </w:pPr>
      <w:r w:rsidRPr="00C13141">
        <w:rPr>
          <w:rFonts w:ascii="宋体" w:hAnsi="宋体" w:cs="宋体" w:hint="eastAsia"/>
          <w:b/>
          <w:bCs/>
          <w:kern w:val="36"/>
          <w:sz w:val="28"/>
          <w:szCs w:val="28"/>
        </w:rPr>
        <w:t>关于</w:t>
      </w:r>
      <w:r w:rsidR="004D6B81" w:rsidRPr="00C13141">
        <w:rPr>
          <w:rFonts w:ascii="宋体" w:hAnsi="宋体" w:cs="宋体" w:hint="eastAsia"/>
          <w:b/>
          <w:bCs/>
          <w:kern w:val="36"/>
          <w:sz w:val="28"/>
          <w:szCs w:val="28"/>
        </w:rPr>
        <w:t>万家日日</w:t>
      </w:r>
      <w:r w:rsidR="004D6B81" w:rsidRPr="00E93DC7">
        <w:rPr>
          <w:rFonts w:ascii="宋体" w:hAnsi="宋体" w:hint="eastAsia"/>
          <w:b/>
          <w:sz w:val="28"/>
          <w:szCs w:val="28"/>
        </w:rPr>
        <w:t>薪货币市场证券投资基金</w:t>
      </w:r>
      <w:r w:rsidR="00C43FB8" w:rsidRPr="00C43FB8">
        <w:rPr>
          <w:rFonts w:hint="eastAsia"/>
          <w:b/>
          <w:sz w:val="28"/>
          <w:szCs w:val="28"/>
        </w:rPr>
        <w:t>2024</w:t>
      </w:r>
      <w:r w:rsidR="00C43FB8" w:rsidRPr="00C43FB8">
        <w:rPr>
          <w:rFonts w:hint="eastAsia"/>
          <w:b/>
          <w:sz w:val="28"/>
          <w:szCs w:val="28"/>
        </w:rPr>
        <w:t>年春节</w:t>
      </w:r>
      <w:r w:rsidR="00CF7681">
        <w:rPr>
          <w:rFonts w:hint="eastAsia"/>
          <w:b/>
          <w:sz w:val="28"/>
          <w:szCs w:val="28"/>
        </w:rPr>
        <w:t>节前</w:t>
      </w:r>
      <w:r w:rsidR="00CF7681" w:rsidRPr="004A604F">
        <w:rPr>
          <w:rFonts w:hint="eastAsia"/>
          <w:b/>
          <w:sz w:val="28"/>
          <w:szCs w:val="28"/>
        </w:rPr>
        <w:t>暂停</w:t>
      </w:r>
      <w:r w:rsidR="00CC2A34" w:rsidRPr="00E93DC7">
        <w:rPr>
          <w:rFonts w:ascii="宋体" w:hAnsi="宋体" w:hint="eastAsia"/>
          <w:b/>
          <w:sz w:val="28"/>
          <w:szCs w:val="28"/>
        </w:rPr>
        <w:t>申购(含转换转入、定期定额投资)业务的公告</w:t>
      </w:r>
    </w:p>
    <w:p w:rsidR="00FB71BA" w:rsidRPr="00C13141" w:rsidRDefault="00FB71BA" w:rsidP="00282BE6">
      <w:pPr>
        <w:widowControl/>
        <w:spacing w:line="276" w:lineRule="auto"/>
        <w:jc w:val="left"/>
        <w:rPr>
          <w:rFonts w:ascii="宋体" w:hAnsi="宋体" w:cs="Arial"/>
          <w:kern w:val="0"/>
          <w:sz w:val="24"/>
        </w:rPr>
      </w:pPr>
    </w:p>
    <w:p w:rsidR="00FB71BA" w:rsidRPr="00C13141" w:rsidRDefault="00FB71BA" w:rsidP="00282BE6">
      <w:pPr>
        <w:spacing w:line="276" w:lineRule="auto"/>
        <w:jc w:val="center"/>
        <w:rPr>
          <w:rFonts w:ascii="宋体" w:hAnsi="宋体" w:cs="Arial" w:hint="eastAsia"/>
          <w:kern w:val="0"/>
          <w:sz w:val="24"/>
        </w:rPr>
      </w:pPr>
      <w:r w:rsidRPr="00E93DC7">
        <w:rPr>
          <w:rFonts w:ascii="宋体" w:hAnsi="宋体" w:cs="Arial"/>
          <w:b/>
          <w:bCs/>
          <w:kern w:val="0"/>
          <w:sz w:val="24"/>
        </w:rPr>
        <w:t>公告送出日期：</w:t>
      </w:r>
      <w:r w:rsidR="00C43FB8" w:rsidRPr="00C13141">
        <w:rPr>
          <w:rFonts w:ascii="宋体" w:hAnsi="宋体" w:hint="eastAsia"/>
          <w:b/>
          <w:sz w:val="24"/>
        </w:rPr>
        <w:t>202</w:t>
      </w:r>
      <w:r w:rsidR="00C43FB8">
        <w:rPr>
          <w:rFonts w:ascii="宋体" w:hAnsi="宋体"/>
          <w:b/>
          <w:sz w:val="24"/>
        </w:rPr>
        <w:t>4</w:t>
      </w:r>
      <w:r w:rsidR="00C13141" w:rsidRPr="00C13141">
        <w:rPr>
          <w:rFonts w:ascii="宋体" w:hAnsi="宋体" w:hint="eastAsia"/>
          <w:b/>
          <w:sz w:val="24"/>
        </w:rPr>
        <w:t>年</w:t>
      </w:r>
      <w:r w:rsidR="00C43FB8">
        <w:rPr>
          <w:rFonts w:ascii="宋体" w:hAnsi="宋体"/>
          <w:b/>
          <w:sz w:val="24"/>
        </w:rPr>
        <w:t>2</w:t>
      </w:r>
      <w:r w:rsidR="00E01CD4" w:rsidRPr="00E01CD4">
        <w:rPr>
          <w:rFonts w:ascii="宋体" w:hAnsi="宋体" w:hint="eastAsia"/>
          <w:b/>
          <w:sz w:val="24"/>
        </w:rPr>
        <w:t>月</w:t>
      </w:r>
      <w:r w:rsidR="00C43FB8">
        <w:rPr>
          <w:rFonts w:ascii="宋体" w:hAnsi="宋体"/>
          <w:b/>
          <w:sz w:val="24"/>
        </w:rPr>
        <w:t>6</w:t>
      </w:r>
      <w:r w:rsidR="00DD7D97" w:rsidRPr="00E93DC7">
        <w:rPr>
          <w:rFonts w:ascii="宋体" w:hAnsi="宋体" w:hint="eastAsia"/>
          <w:b/>
          <w:sz w:val="24"/>
        </w:rPr>
        <w:t>日</w:t>
      </w:r>
    </w:p>
    <w:p w:rsidR="00FB71BA" w:rsidRPr="00E93DC7" w:rsidRDefault="00FB71BA" w:rsidP="00282BE6">
      <w:pPr>
        <w:widowControl/>
        <w:spacing w:line="276" w:lineRule="auto"/>
        <w:jc w:val="left"/>
        <w:rPr>
          <w:rFonts w:ascii="宋体" w:hAnsi="宋体" w:cs="Arial"/>
          <w:b/>
          <w:kern w:val="0"/>
          <w:szCs w:val="21"/>
        </w:rPr>
      </w:pPr>
      <w:r w:rsidRPr="00C13141">
        <w:rPr>
          <w:rFonts w:ascii="宋体" w:hAnsi="宋体" w:cs="Arial"/>
          <w:b/>
          <w:kern w:val="0"/>
          <w:szCs w:val="21"/>
        </w:rPr>
        <w:t>1.</w:t>
      </w:r>
      <w:r w:rsidRPr="00E93DC7">
        <w:rPr>
          <w:rFonts w:ascii="宋体" w:hAnsi="宋体" w:cs="Arial"/>
          <w:b/>
          <w:kern w:val="0"/>
          <w:szCs w:val="21"/>
        </w:rPr>
        <w:t>公告基本信息</w:t>
      </w:r>
    </w:p>
    <w:tbl>
      <w:tblPr>
        <w:tblW w:w="5114" w:type="pct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42"/>
        <w:gridCol w:w="1870"/>
        <w:gridCol w:w="1903"/>
        <w:gridCol w:w="1972"/>
      </w:tblGrid>
      <w:tr w:rsidR="00FB71BA" w:rsidRPr="00E93DC7" w:rsidTr="002D0D8C">
        <w:tc>
          <w:tcPr>
            <w:tcW w:w="16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93DC7" w:rsidRDefault="00FB71BA" w:rsidP="00282BE6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93DC7">
              <w:rPr>
                <w:rFonts w:ascii="宋体" w:hAnsi="宋体" w:cs="宋体"/>
                <w:kern w:val="0"/>
                <w:szCs w:val="21"/>
              </w:rPr>
              <w:t>基金名称</w:t>
            </w:r>
          </w:p>
        </w:tc>
        <w:tc>
          <w:tcPr>
            <w:tcW w:w="334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93DC7" w:rsidRDefault="004D6B81" w:rsidP="00282BE6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93DC7">
              <w:rPr>
                <w:rFonts w:ascii="宋体" w:hAnsi="宋体" w:cs="宋体" w:hint="eastAsia"/>
                <w:kern w:val="0"/>
                <w:szCs w:val="21"/>
              </w:rPr>
              <w:t>万家日日薪货币市场证券投资基金</w:t>
            </w:r>
          </w:p>
        </w:tc>
      </w:tr>
      <w:tr w:rsidR="00FB71BA" w:rsidRPr="00E93DC7" w:rsidTr="002D0D8C">
        <w:tc>
          <w:tcPr>
            <w:tcW w:w="16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C13141" w:rsidRDefault="00FB71BA" w:rsidP="00282BE6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141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334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93DC7" w:rsidRDefault="00FB71BA" w:rsidP="00282BE6">
            <w:pPr>
              <w:widowControl/>
              <w:spacing w:line="276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C13141">
              <w:rPr>
                <w:rFonts w:ascii="宋体" w:hAnsi="宋体" w:cs="宋体" w:hint="eastAsia"/>
                <w:bCs/>
                <w:kern w:val="0"/>
                <w:szCs w:val="21"/>
              </w:rPr>
              <w:t>万家</w:t>
            </w:r>
            <w:r w:rsidR="004D6B81" w:rsidRPr="00E93DC7">
              <w:rPr>
                <w:rFonts w:ascii="宋体" w:hAnsi="宋体" w:cs="宋体" w:hint="eastAsia"/>
                <w:bCs/>
                <w:kern w:val="0"/>
                <w:szCs w:val="21"/>
              </w:rPr>
              <w:t>日日薪</w:t>
            </w:r>
          </w:p>
        </w:tc>
      </w:tr>
      <w:tr w:rsidR="00FB71BA" w:rsidRPr="00E93DC7" w:rsidTr="002D0D8C">
        <w:tc>
          <w:tcPr>
            <w:tcW w:w="16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C13141" w:rsidRDefault="00FB71BA" w:rsidP="00282BE6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141">
              <w:rPr>
                <w:rFonts w:ascii="宋体" w:hAnsi="宋体" w:cs="宋体"/>
                <w:kern w:val="0"/>
                <w:szCs w:val="21"/>
              </w:rPr>
              <w:t>基金主代码</w:t>
            </w:r>
          </w:p>
        </w:tc>
        <w:tc>
          <w:tcPr>
            <w:tcW w:w="334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C13141" w:rsidRDefault="00FB71BA" w:rsidP="00282BE6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141">
              <w:rPr>
                <w:rFonts w:ascii="宋体" w:hAnsi="宋体" w:cs="宋体"/>
                <w:kern w:val="0"/>
                <w:szCs w:val="21"/>
              </w:rPr>
              <w:t>519511</w:t>
            </w:r>
          </w:p>
        </w:tc>
      </w:tr>
      <w:tr w:rsidR="00FB71BA" w:rsidRPr="00E93DC7" w:rsidTr="002D0D8C">
        <w:tc>
          <w:tcPr>
            <w:tcW w:w="16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C13141" w:rsidRDefault="00FB71BA" w:rsidP="00282BE6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141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334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93DC7" w:rsidRDefault="00FB71BA" w:rsidP="00282BE6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141">
              <w:rPr>
                <w:rFonts w:ascii="宋体" w:hAnsi="宋体" w:cs="宋体" w:hint="eastAsia"/>
                <w:kern w:val="0"/>
                <w:szCs w:val="21"/>
              </w:rPr>
              <w:t>万家</w:t>
            </w:r>
            <w:r w:rsidRPr="00E93DC7">
              <w:rPr>
                <w:rFonts w:ascii="宋体" w:hAnsi="宋体" w:cs="宋体"/>
                <w:kern w:val="0"/>
                <w:szCs w:val="21"/>
              </w:rPr>
              <w:t>基金管理有限公司</w:t>
            </w:r>
          </w:p>
        </w:tc>
      </w:tr>
      <w:tr w:rsidR="00FB71BA" w:rsidRPr="00E93DC7" w:rsidTr="002D0D8C">
        <w:tc>
          <w:tcPr>
            <w:tcW w:w="16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C13141" w:rsidRDefault="00FB71BA" w:rsidP="00282BE6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141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3345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C13141" w:rsidRDefault="00F93662" w:rsidP="000460EC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93DC7">
              <w:rPr>
                <w:rFonts w:ascii="宋体" w:hAnsi="宋体" w:hint="eastAsia"/>
                <w:szCs w:val="21"/>
              </w:rPr>
              <w:t>《</w:t>
            </w:r>
            <w:r w:rsidRPr="00C13141">
              <w:rPr>
                <w:rFonts w:ascii="宋体" w:hAnsi="宋体" w:cs="宋体" w:hint="eastAsia"/>
                <w:kern w:val="0"/>
                <w:szCs w:val="21"/>
              </w:rPr>
              <w:t>万家日日薪货币市场证券投资基金</w:t>
            </w:r>
            <w:r w:rsidRPr="00E93DC7">
              <w:rPr>
                <w:rFonts w:ascii="宋体" w:hAnsi="宋体" w:hint="eastAsia"/>
                <w:szCs w:val="21"/>
              </w:rPr>
              <w:t>基金合同》</w:t>
            </w:r>
            <w:r w:rsidR="000460EC" w:rsidRPr="00E93DC7">
              <w:rPr>
                <w:rFonts w:ascii="宋体" w:hAnsi="宋体" w:hint="eastAsia"/>
                <w:szCs w:val="21"/>
              </w:rPr>
              <w:t>《</w:t>
            </w:r>
            <w:r w:rsidR="000460EC" w:rsidRPr="00C13141">
              <w:rPr>
                <w:rFonts w:ascii="宋体" w:hAnsi="宋体" w:cs="宋体" w:hint="eastAsia"/>
                <w:kern w:val="0"/>
                <w:szCs w:val="21"/>
              </w:rPr>
              <w:t>万家日日薪货币市场证券投资基金</w:t>
            </w:r>
            <w:r w:rsidR="000460EC">
              <w:rPr>
                <w:rFonts w:ascii="宋体" w:hAnsi="宋体" w:hint="eastAsia"/>
                <w:szCs w:val="21"/>
              </w:rPr>
              <w:t>招募说明书</w:t>
            </w:r>
            <w:r w:rsidR="000460EC" w:rsidRPr="00E93DC7"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E01CD4" w:rsidRPr="00E93DC7" w:rsidTr="00CF7681">
        <w:tblPrEx>
          <w:tblCellMar>
            <w:left w:w="108" w:type="dxa"/>
            <w:right w:w="108" w:type="dxa"/>
          </w:tblCellMar>
          <w:tblLook w:val="04A0"/>
        </w:tblPrEx>
        <w:trPr>
          <w:trHeight w:val="158"/>
        </w:trPr>
        <w:tc>
          <w:tcPr>
            <w:tcW w:w="1655" w:type="pct"/>
            <w:vAlign w:val="center"/>
          </w:tcPr>
          <w:p w:rsidR="00E01CD4" w:rsidRPr="00E93DC7" w:rsidRDefault="00E01CD4" w:rsidP="00E01CD4">
            <w:pPr>
              <w:spacing w:line="276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E93DC7">
              <w:rPr>
                <w:rFonts w:ascii="宋体" w:hAnsi="宋体" w:hint="eastAsia"/>
                <w:color w:val="000000"/>
                <w:szCs w:val="21"/>
              </w:rPr>
              <w:t>暂停申购(含转换转入、定期定额投资)业务起始日</w:t>
            </w:r>
          </w:p>
        </w:tc>
        <w:tc>
          <w:tcPr>
            <w:tcW w:w="3345" w:type="pct"/>
            <w:gridSpan w:val="3"/>
            <w:shd w:val="clear" w:color="auto" w:fill="auto"/>
            <w:vAlign w:val="center"/>
          </w:tcPr>
          <w:p w:rsidR="00E01CD4" w:rsidRPr="00CF7681" w:rsidRDefault="00C43FB8" w:rsidP="00C43FB8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442880">
              <w:rPr>
                <w:rFonts w:ascii="宋体" w:hAnsi="宋体" w:hint="eastAsia"/>
                <w:color w:val="000000"/>
                <w:szCs w:val="21"/>
              </w:rPr>
              <w:t>202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  <w:r w:rsidR="00E01CD4" w:rsidRPr="00442880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E01CD4" w:rsidRPr="00CF7681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E01CD4" w:rsidRPr="00CF7681">
              <w:rPr>
                <w:rFonts w:ascii="宋体" w:hAnsi="宋体"/>
                <w:color w:val="000000"/>
                <w:szCs w:val="21"/>
              </w:rPr>
              <w:t>7</w:t>
            </w:r>
            <w:r w:rsidR="00E01CD4" w:rsidRPr="00CF7681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CF7681" w:rsidRPr="00E93DC7" w:rsidTr="00CF768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55" w:type="pct"/>
            <w:vAlign w:val="center"/>
          </w:tcPr>
          <w:p w:rsidR="00CF7681" w:rsidRPr="00E93DC7" w:rsidRDefault="00CF7681" w:rsidP="00CF7681">
            <w:pPr>
              <w:spacing w:line="276" w:lineRule="auto"/>
              <w:rPr>
                <w:rFonts w:ascii="宋体" w:hAnsi="宋体"/>
                <w:szCs w:val="21"/>
              </w:rPr>
            </w:pPr>
            <w:r w:rsidRPr="00E93DC7">
              <w:rPr>
                <w:rFonts w:ascii="宋体" w:hAnsi="宋体" w:hint="eastAsia"/>
                <w:color w:val="000000"/>
                <w:szCs w:val="21"/>
              </w:rPr>
              <w:t>暂停申购(含转换转入、定期定额投资)业务的原因说明</w:t>
            </w:r>
          </w:p>
        </w:tc>
        <w:tc>
          <w:tcPr>
            <w:tcW w:w="3345" w:type="pct"/>
            <w:gridSpan w:val="3"/>
            <w:vAlign w:val="center"/>
          </w:tcPr>
          <w:p w:rsidR="00CF7681" w:rsidRPr="00CF7681" w:rsidRDefault="000460EC" w:rsidP="00CF7681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1D58B5">
              <w:rPr>
                <w:rFonts w:ascii="宋体" w:hAnsi="宋体" w:hint="eastAsia"/>
                <w:color w:val="000000"/>
                <w:szCs w:val="21"/>
              </w:rPr>
              <w:t>为保护基金份额持有人利益。</w:t>
            </w:r>
          </w:p>
        </w:tc>
      </w:tr>
      <w:tr w:rsidR="004B6349" w:rsidRPr="00E93DC7" w:rsidTr="002D0D8C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655" w:type="pct"/>
            <w:vAlign w:val="center"/>
          </w:tcPr>
          <w:p w:rsidR="004B6349" w:rsidRPr="00E93DC7" w:rsidRDefault="004B6349" w:rsidP="00282BE6">
            <w:pPr>
              <w:spacing w:line="276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E93DC7">
              <w:rPr>
                <w:rFonts w:ascii="宋体" w:hAnsi="宋体"/>
                <w:color w:val="000000"/>
                <w:szCs w:val="21"/>
              </w:rPr>
              <w:t>下属分级基金的基金简称</w:t>
            </w:r>
          </w:p>
        </w:tc>
        <w:tc>
          <w:tcPr>
            <w:tcW w:w="1089" w:type="pct"/>
            <w:shd w:val="clear" w:color="auto" w:fill="auto"/>
          </w:tcPr>
          <w:p w:rsidR="004B6349" w:rsidRPr="00E93DC7" w:rsidRDefault="004B6349" w:rsidP="00282BE6">
            <w:pPr>
              <w:spacing w:line="276" w:lineRule="auto"/>
              <w:rPr>
                <w:rFonts w:ascii="宋体" w:hAnsi="宋体" w:hint="eastAsia"/>
              </w:rPr>
            </w:pPr>
            <w:hyperlink r:id="rId8" w:tgtFrame="_blank" w:history="1">
              <w:r w:rsidRPr="00E93DC7">
                <w:rPr>
                  <w:rFonts w:ascii="宋体" w:hAnsi="宋体"/>
                </w:rPr>
                <w:t>万家日日薪A</w:t>
              </w:r>
            </w:hyperlink>
          </w:p>
        </w:tc>
        <w:tc>
          <w:tcPr>
            <w:tcW w:w="1108" w:type="pct"/>
            <w:shd w:val="clear" w:color="auto" w:fill="auto"/>
          </w:tcPr>
          <w:p w:rsidR="004B6349" w:rsidRPr="00E93DC7" w:rsidRDefault="004B6349" w:rsidP="00282BE6">
            <w:pPr>
              <w:spacing w:line="276" w:lineRule="auto"/>
              <w:rPr>
                <w:rFonts w:ascii="宋体" w:hAnsi="宋体" w:hint="eastAsia"/>
              </w:rPr>
            </w:pPr>
            <w:hyperlink r:id="rId9" w:tgtFrame="_blank" w:history="1">
              <w:r w:rsidRPr="00E93DC7">
                <w:rPr>
                  <w:rFonts w:ascii="宋体" w:hAnsi="宋体"/>
                </w:rPr>
                <w:t>万家日日薪B</w:t>
              </w:r>
            </w:hyperlink>
          </w:p>
        </w:tc>
        <w:tc>
          <w:tcPr>
            <w:tcW w:w="1148" w:type="pct"/>
            <w:shd w:val="clear" w:color="auto" w:fill="auto"/>
          </w:tcPr>
          <w:p w:rsidR="004B6349" w:rsidRPr="00E93DC7" w:rsidRDefault="004B6349" w:rsidP="00282BE6">
            <w:pPr>
              <w:spacing w:line="276" w:lineRule="auto"/>
              <w:rPr>
                <w:rFonts w:ascii="宋体" w:hAnsi="宋体" w:hint="eastAsia"/>
              </w:rPr>
            </w:pPr>
            <w:hyperlink r:id="rId10" w:tgtFrame="_blank" w:history="1">
              <w:r w:rsidRPr="00E93DC7">
                <w:rPr>
                  <w:rFonts w:ascii="宋体" w:hAnsi="宋体"/>
                </w:rPr>
                <w:t>万家日日薪R</w:t>
              </w:r>
            </w:hyperlink>
          </w:p>
        </w:tc>
      </w:tr>
      <w:tr w:rsidR="004B6349" w:rsidRPr="00E93DC7" w:rsidTr="002D0D8C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655" w:type="pct"/>
            <w:vAlign w:val="center"/>
          </w:tcPr>
          <w:p w:rsidR="004B6349" w:rsidRPr="00E93DC7" w:rsidRDefault="004B6349" w:rsidP="00282BE6"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E93DC7">
              <w:rPr>
                <w:rFonts w:ascii="宋体" w:hAnsi="宋体"/>
                <w:color w:val="000000"/>
                <w:szCs w:val="21"/>
              </w:rPr>
              <w:t>下属分级基金的交易代码</w:t>
            </w:r>
          </w:p>
        </w:tc>
        <w:tc>
          <w:tcPr>
            <w:tcW w:w="1089" w:type="pct"/>
            <w:shd w:val="clear" w:color="auto" w:fill="auto"/>
          </w:tcPr>
          <w:p w:rsidR="004B6349" w:rsidRPr="00E93DC7" w:rsidRDefault="004B6349" w:rsidP="00282BE6">
            <w:pPr>
              <w:spacing w:line="276" w:lineRule="auto"/>
              <w:rPr>
                <w:rFonts w:ascii="宋体" w:hAnsi="宋体" w:hint="eastAsia"/>
                <w:color w:val="000000"/>
                <w:szCs w:val="21"/>
              </w:rPr>
            </w:pPr>
            <w:r w:rsidRPr="00E93DC7">
              <w:rPr>
                <w:rFonts w:ascii="宋体" w:hAnsi="宋体"/>
              </w:rPr>
              <w:t>519511</w:t>
            </w:r>
          </w:p>
        </w:tc>
        <w:tc>
          <w:tcPr>
            <w:tcW w:w="1108" w:type="pct"/>
            <w:shd w:val="clear" w:color="auto" w:fill="auto"/>
          </w:tcPr>
          <w:p w:rsidR="004B6349" w:rsidRPr="00E93DC7" w:rsidRDefault="004B6349" w:rsidP="00282BE6">
            <w:pPr>
              <w:spacing w:line="276" w:lineRule="auto"/>
              <w:rPr>
                <w:rFonts w:ascii="宋体" w:hAnsi="宋体" w:hint="eastAsia"/>
                <w:szCs w:val="21"/>
              </w:rPr>
            </w:pPr>
            <w:r w:rsidRPr="00E93DC7">
              <w:rPr>
                <w:rFonts w:ascii="宋体" w:hAnsi="宋体"/>
              </w:rPr>
              <w:t>519512</w:t>
            </w:r>
          </w:p>
        </w:tc>
        <w:tc>
          <w:tcPr>
            <w:tcW w:w="1148" w:type="pct"/>
            <w:shd w:val="clear" w:color="auto" w:fill="auto"/>
          </w:tcPr>
          <w:p w:rsidR="004B6349" w:rsidRPr="00E93DC7" w:rsidRDefault="004B6349" w:rsidP="00282BE6">
            <w:pPr>
              <w:spacing w:line="276" w:lineRule="auto"/>
              <w:rPr>
                <w:rFonts w:ascii="宋体" w:hAnsi="宋体" w:hint="eastAsia"/>
                <w:szCs w:val="21"/>
              </w:rPr>
            </w:pPr>
            <w:r w:rsidRPr="00E93DC7">
              <w:rPr>
                <w:rFonts w:ascii="宋体" w:hAnsi="宋体"/>
              </w:rPr>
              <w:t>519513</w:t>
            </w:r>
          </w:p>
        </w:tc>
      </w:tr>
      <w:tr w:rsidR="004B6349" w:rsidRPr="00E93DC7" w:rsidTr="002D0D8C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655" w:type="pct"/>
          </w:tcPr>
          <w:p w:rsidR="004B6349" w:rsidRPr="00E93DC7" w:rsidRDefault="00CC2A34" w:rsidP="00282BE6"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E93DC7">
              <w:rPr>
                <w:rFonts w:ascii="宋体" w:hAnsi="宋体"/>
                <w:color w:val="000000"/>
                <w:szCs w:val="21"/>
              </w:rPr>
              <w:t>该</w:t>
            </w:r>
            <w:r w:rsidRPr="00E93DC7">
              <w:rPr>
                <w:rFonts w:ascii="宋体" w:hAnsi="宋体" w:hint="eastAsia"/>
                <w:color w:val="000000"/>
                <w:szCs w:val="21"/>
              </w:rPr>
              <w:t>下属</w:t>
            </w:r>
            <w:r w:rsidRPr="00E93DC7">
              <w:rPr>
                <w:rFonts w:ascii="宋体" w:hAnsi="宋体"/>
                <w:color w:val="000000"/>
                <w:szCs w:val="21"/>
              </w:rPr>
              <w:t>分级基金是否暂停</w:t>
            </w:r>
            <w:r w:rsidRPr="00E93DC7">
              <w:rPr>
                <w:rFonts w:ascii="宋体" w:hAnsi="宋体" w:hint="eastAsia"/>
                <w:color w:val="000000"/>
                <w:szCs w:val="21"/>
              </w:rPr>
              <w:t>申购(含转换转入、定期定额投资)业务</w:t>
            </w:r>
          </w:p>
        </w:tc>
        <w:tc>
          <w:tcPr>
            <w:tcW w:w="1089" w:type="pct"/>
            <w:shd w:val="clear" w:color="auto" w:fill="auto"/>
          </w:tcPr>
          <w:p w:rsidR="004B6349" w:rsidRPr="00E93DC7" w:rsidRDefault="004B6349" w:rsidP="00282BE6">
            <w:pPr>
              <w:spacing w:line="276" w:lineRule="auto"/>
              <w:rPr>
                <w:rFonts w:ascii="宋体" w:hAnsi="宋体" w:hint="eastAsia"/>
                <w:color w:val="000000"/>
                <w:szCs w:val="21"/>
              </w:rPr>
            </w:pPr>
            <w:r w:rsidRPr="00E93DC7">
              <w:rPr>
                <w:rFonts w:ascii="宋体" w:hAnsi="宋体" w:hint="eastAsia"/>
                <w:color w:val="000000"/>
                <w:kern w:val="0"/>
                <w:sz w:val="18"/>
              </w:rPr>
              <w:t>是</w:t>
            </w:r>
          </w:p>
        </w:tc>
        <w:tc>
          <w:tcPr>
            <w:tcW w:w="1108" w:type="pct"/>
            <w:shd w:val="clear" w:color="auto" w:fill="auto"/>
          </w:tcPr>
          <w:p w:rsidR="004B6349" w:rsidRPr="00E93DC7" w:rsidRDefault="004B6349" w:rsidP="00282BE6">
            <w:pPr>
              <w:spacing w:line="276" w:lineRule="auto"/>
              <w:rPr>
                <w:rFonts w:ascii="宋体" w:hAnsi="宋体" w:hint="eastAsia"/>
                <w:szCs w:val="21"/>
              </w:rPr>
            </w:pPr>
            <w:r w:rsidRPr="00E93DC7">
              <w:rPr>
                <w:rFonts w:ascii="宋体" w:hAnsi="宋体" w:hint="eastAsia"/>
                <w:color w:val="000000"/>
                <w:kern w:val="0"/>
                <w:sz w:val="18"/>
              </w:rPr>
              <w:t>是</w:t>
            </w:r>
          </w:p>
        </w:tc>
        <w:tc>
          <w:tcPr>
            <w:tcW w:w="1148" w:type="pct"/>
            <w:shd w:val="clear" w:color="auto" w:fill="auto"/>
          </w:tcPr>
          <w:p w:rsidR="004B6349" w:rsidRPr="00E93DC7" w:rsidRDefault="004B6349" w:rsidP="00282BE6">
            <w:pPr>
              <w:spacing w:line="276" w:lineRule="auto"/>
              <w:rPr>
                <w:rFonts w:ascii="宋体" w:hAnsi="宋体" w:hint="eastAsia"/>
                <w:szCs w:val="21"/>
              </w:rPr>
            </w:pPr>
            <w:r w:rsidRPr="00E93DC7">
              <w:rPr>
                <w:rFonts w:ascii="宋体" w:hAnsi="宋体" w:hint="eastAsia"/>
                <w:color w:val="000000"/>
                <w:kern w:val="0"/>
                <w:sz w:val="18"/>
              </w:rPr>
              <w:t>是</w:t>
            </w:r>
          </w:p>
        </w:tc>
      </w:tr>
    </w:tbl>
    <w:p w:rsidR="00C13141" w:rsidRPr="00C13141" w:rsidRDefault="00C13141" w:rsidP="00E93DC7">
      <w:pPr>
        <w:widowControl/>
        <w:spacing w:line="276" w:lineRule="auto"/>
        <w:jc w:val="left"/>
        <w:rPr>
          <w:rFonts w:ascii="宋体" w:hAnsi="宋体" w:cs="Arial" w:hint="eastAsia"/>
          <w:b/>
          <w:kern w:val="0"/>
          <w:szCs w:val="21"/>
        </w:rPr>
      </w:pPr>
    </w:p>
    <w:p w:rsidR="00FB71BA" w:rsidRPr="00C13141" w:rsidRDefault="00A8059A" w:rsidP="00282BE6">
      <w:pPr>
        <w:widowControl/>
        <w:spacing w:line="276" w:lineRule="auto"/>
        <w:ind w:firstLine="420"/>
        <w:jc w:val="left"/>
        <w:rPr>
          <w:rFonts w:ascii="宋体" w:hAnsi="宋体" w:cs="Arial" w:hint="eastAsia"/>
          <w:b/>
          <w:kern w:val="0"/>
          <w:szCs w:val="21"/>
        </w:rPr>
      </w:pPr>
      <w:r w:rsidRPr="00C13141">
        <w:rPr>
          <w:rFonts w:ascii="宋体" w:hAnsi="宋体" w:cs="Arial" w:hint="eastAsia"/>
          <w:b/>
          <w:kern w:val="0"/>
          <w:szCs w:val="21"/>
        </w:rPr>
        <w:t>2</w:t>
      </w:r>
      <w:r w:rsidR="00FB71BA" w:rsidRPr="00C13141">
        <w:rPr>
          <w:rFonts w:ascii="宋体" w:hAnsi="宋体" w:cs="Arial"/>
          <w:b/>
          <w:kern w:val="0"/>
          <w:szCs w:val="21"/>
        </w:rPr>
        <w:t>．其他需要提示的事项</w:t>
      </w:r>
    </w:p>
    <w:p w:rsidR="003B3246" w:rsidRPr="00601E04" w:rsidRDefault="00C43FB8" w:rsidP="00CF7681">
      <w:pPr>
        <w:spacing w:line="360" w:lineRule="auto"/>
        <w:ind w:firstLine="430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F7681">
        <w:rPr>
          <w:rFonts w:hint="eastAsia"/>
        </w:rPr>
        <w:t>本基金自</w:t>
      </w:r>
      <w:r w:rsidRPr="00442880">
        <w:rPr>
          <w:rFonts w:hint="eastAsia"/>
        </w:rPr>
        <w:t>202</w:t>
      </w:r>
      <w:r>
        <w:t>4</w:t>
      </w:r>
      <w:r w:rsidR="00E01CD4" w:rsidRPr="00442880">
        <w:rPr>
          <w:rFonts w:hint="eastAsia"/>
        </w:rPr>
        <w:t>年</w:t>
      </w:r>
      <w:r>
        <w:t>2</w:t>
      </w:r>
      <w:r w:rsidR="00E01CD4" w:rsidRPr="00442880">
        <w:rPr>
          <w:rFonts w:hint="eastAsia"/>
        </w:rPr>
        <w:t>月</w:t>
      </w:r>
      <w:r w:rsidR="00E01CD4" w:rsidRPr="00442880">
        <w:rPr>
          <w:rFonts w:hint="eastAsia"/>
        </w:rPr>
        <w:t>7</w:t>
      </w:r>
      <w:r w:rsidR="00E01CD4" w:rsidRPr="00442880">
        <w:rPr>
          <w:rFonts w:hint="eastAsia"/>
        </w:rPr>
        <w:t>日至</w:t>
      </w:r>
      <w:r w:rsidRPr="00442880">
        <w:rPr>
          <w:rFonts w:hint="eastAsia"/>
        </w:rPr>
        <w:t>202</w:t>
      </w:r>
      <w:r>
        <w:t>4</w:t>
      </w:r>
      <w:r w:rsidR="00E01CD4" w:rsidRPr="00442880">
        <w:rPr>
          <w:rFonts w:hint="eastAsia"/>
        </w:rPr>
        <w:t>年</w:t>
      </w:r>
      <w:r>
        <w:t>2</w:t>
      </w:r>
      <w:r w:rsidR="00E01CD4" w:rsidRPr="00442880">
        <w:rPr>
          <w:rFonts w:hint="eastAsia"/>
        </w:rPr>
        <w:t>月</w:t>
      </w:r>
      <w:r>
        <w:rPr>
          <w:rFonts w:hint="eastAsia"/>
        </w:rPr>
        <w:t>1</w:t>
      </w:r>
      <w:r w:rsidR="00E01CD4" w:rsidRPr="00442880">
        <w:rPr>
          <w:rFonts w:hint="eastAsia"/>
        </w:rPr>
        <w:t>8</w:t>
      </w:r>
      <w:r w:rsidR="00CF7681">
        <w:rPr>
          <w:rFonts w:hint="eastAsia"/>
        </w:rPr>
        <w:t>日，暂停直销渠道和代销渠道（</w:t>
      </w:r>
      <w:r w:rsidRPr="00C43FB8">
        <w:rPr>
          <w:rFonts w:hint="eastAsia"/>
        </w:rPr>
        <w:t>除平安银行、宁波银行、邮储银行、民生银行、兴业银行、浦发银行、华夏银行、浙商银行、光大银行</w:t>
      </w:r>
      <w:r w:rsidR="00371536">
        <w:rPr>
          <w:rFonts w:hint="eastAsia"/>
        </w:rPr>
        <w:t>、网商银行</w:t>
      </w:r>
      <w:r w:rsidRPr="00C43FB8">
        <w:rPr>
          <w:rFonts w:hint="eastAsia"/>
        </w:rPr>
        <w:t>和蚂蚁</w:t>
      </w:r>
      <w:r>
        <w:rPr>
          <w:rFonts w:hint="eastAsia"/>
        </w:rPr>
        <w:t>基金</w:t>
      </w:r>
      <w:r w:rsidRPr="00C43FB8">
        <w:rPr>
          <w:rFonts w:hint="eastAsia"/>
        </w:rPr>
        <w:t>代销渠道外</w:t>
      </w:r>
      <w:r w:rsidR="00CF7681">
        <w:rPr>
          <w:rFonts w:hint="eastAsia"/>
        </w:rPr>
        <w:t>）的申购（含转换转入、定期定额投资）业务。</w:t>
      </w:r>
      <w:r w:rsidR="000460EC" w:rsidRPr="001D58B5">
        <w:rPr>
          <w:rFonts w:hint="eastAsia"/>
        </w:rPr>
        <w:t>在暂停本基金的申购（含转换转入、定期定额投资业务）期间，本基金的赎回及转换转出等业务正常办理。</w:t>
      </w:r>
    </w:p>
    <w:p w:rsidR="00CF7681" w:rsidRDefault="00CF7681" w:rsidP="00CF7681">
      <w:pPr>
        <w:spacing w:line="360" w:lineRule="auto"/>
        <w:ind w:firstLine="430"/>
        <w:jc w:val="left"/>
        <w:rPr>
          <w:rFonts w:ascii="宋体" w:hAnsi="宋体"/>
        </w:rPr>
      </w:pPr>
      <w:r>
        <w:rPr>
          <w:rFonts w:ascii="宋体" w:hAnsi="宋体" w:hint="eastAsia"/>
        </w:rPr>
        <w:t>（2）</w:t>
      </w:r>
      <w:r w:rsidRPr="00C13141">
        <w:rPr>
          <w:rFonts w:ascii="宋体" w:hAnsi="宋体" w:hint="eastAsia"/>
          <w:color w:val="000000"/>
          <w:kern w:val="0"/>
          <w:szCs w:val="21"/>
        </w:rPr>
        <w:t>本基金自</w:t>
      </w:r>
      <w:r w:rsidR="00C43FB8" w:rsidRPr="00FE366D">
        <w:rPr>
          <w:rFonts w:ascii="宋体" w:hAnsi="宋体" w:hint="eastAsia"/>
          <w:color w:val="000000"/>
          <w:kern w:val="0"/>
          <w:szCs w:val="21"/>
        </w:rPr>
        <w:t>202</w:t>
      </w:r>
      <w:r w:rsidR="00C43FB8">
        <w:rPr>
          <w:rFonts w:ascii="宋体" w:hAnsi="宋体"/>
          <w:color w:val="000000"/>
          <w:kern w:val="0"/>
          <w:szCs w:val="21"/>
        </w:rPr>
        <w:t>4</w:t>
      </w:r>
      <w:r w:rsidR="00E01CD4" w:rsidRPr="00FE366D">
        <w:rPr>
          <w:rFonts w:ascii="宋体" w:hAnsi="宋体" w:hint="eastAsia"/>
          <w:color w:val="000000"/>
          <w:kern w:val="0"/>
          <w:szCs w:val="21"/>
        </w:rPr>
        <w:t>年</w:t>
      </w:r>
      <w:r w:rsidR="00C43FB8">
        <w:rPr>
          <w:rFonts w:ascii="宋体" w:hAnsi="宋体"/>
          <w:color w:val="000000"/>
          <w:kern w:val="0"/>
          <w:szCs w:val="21"/>
        </w:rPr>
        <w:t>2</w:t>
      </w:r>
      <w:r w:rsidRPr="00FE366D">
        <w:rPr>
          <w:rFonts w:ascii="宋体" w:hAnsi="宋体" w:hint="eastAsia"/>
          <w:color w:val="000000"/>
          <w:kern w:val="0"/>
          <w:szCs w:val="21"/>
        </w:rPr>
        <w:t>月</w:t>
      </w:r>
      <w:r w:rsidR="00C43FB8">
        <w:rPr>
          <w:rFonts w:ascii="宋体" w:hAnsi="宋体"/>
          <w:color w:val="000000"/>
          <w:kern w:val="0"/>
          <w:szCs w:val="21"/>
        </w:rPr>
        <w:t>19</w:t>
      </w:r>
      <w:r w:rsidRPr="00C13141">
        <w:rPr>
          <w:rFonts w:ascii="宋体" w:hAnsi="宋体" w:hint="eastAsia"/>
          <w:color w:val="000000"/>
          <w:kern w:val="0"/>
          <w:szCs w:val="21"/>
        </w:rPr>
        <w:t>日起恢复申购(含转换转入、定期定额投资)业务</w:t>
      </w:r>
      <w:r w:rsidRPr="00E93DC7">
        <w:rPr>
          <w:rFonts w:ascii="宋体" w:hAnsi="宋体" w:hint="eastAsia"/>
        </w:rPr>
        <w:t>（本基金大额申购限额为300万元)，届时将不再另行公告。</w:t>
      </w:r>
    </w:p>
    <w:p w:rsidR="00CF7681" w:rsidRPr="00E93DC7" w:rsidRDefault="00CF7681" w:rsidP="00CF7681">
      <w:pPr>
        <w:spacing w:line="360" w:lineRule="auto"/>
        <w:ind w:firstLine="43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（3）</w:t>
      </w:r>
      <w:r w:rsidRPr="00E93DC7">
        <w:rPr>
          <w:rFonts w:ascii="宋体" w:hAnsi="宋体" w:hint="eastAsia"/>
        </w:rPr>
        <w:t>敬请投资者及早做好交易安排,避免因交易跨越假期带来不便。投资者可通过公司网站:www.wjasset.com或客户服务热线: 400-888-0800咨询有关详情。</w:t>
      </w:r>
    </w:p>
    <w:p w:rsidR="00BB3608" w:rsidRDefault="004C28AA" w:rsidP="00CF7681">
      <w:pPr>
        <w:spacing w:line="360" w:lineRule="auto"/>
        <w:ind w:firstLineChars="200" w:firstLine="420"/>
        <w:rPr>
          <w:rFonts w:ascii="宋体" w:hAnsi="宋体" w:cs="Arial"/>
          <w:kern w:val="0"/>
          <w:szCs w:val="21"/>
        </w:rPr>
      </w:pPr>
      <w:r w:rsidRPr="00C13141">
        <w:rPr>
          <w:rFonts w:ascii="宋体" w:hAnsi="宋体" w:cs="Arial" w:hint="eastAsia"/>
          <w:kern w:val="0"/>
          <w:szCs w:val="21"/>
        </w:rPr>
        <w:t>特此公告。</w:t>
      </w:r>
    </w:p>
    <w:p w:rsidR="00E01CD4" w:rsidRDefault="00E01CD4" w:rsidP="00CF7681">
      <w:pPr>
        <w:spacing w:line="360" w:lineRule="auto"/>
        <w:ind w:firstLineChars="200" w:firstLine="420"/>
        <w:rPr>
          <w:rFonts w:ascii="宋体" w:hAnsi="宋体" w:cs="Arial"/>
          <w:kern w:val="0"/>
          <w:szCs w:val="21"/>
        </w:rPr>
      </w:pPr>
    </w:p>
    <w:p w:rsidR="00E01CD4" w:rsidRPr="008437AA" w:rsidRDefault="00E01CD4" w:rsidP="00E01CD4">
      <w:pPr>
        <w:spacing w:line="360" w:lineRule="auto"/>
        <w:ind w:firstLine="440"/>
        <w:jc w:val="right"/>
      </w:pPr>
      <w:r w:rsidRPr="008437AA">
        <w:rPr>
          <w:rFonts w:hint="eastAsia"/>
        </w:rPr>
        <w:t>万家基金管理有限公司</w:t>
      </w:r>
    </w:p>
    <w:p w:rsidR="00E01CD4" w:rsidRPr="008437AA" w:rsidRDefault="00C43FB8" w:rsidP="00E01CD4">
      <w:pPr>
        <w:spacing w:line="360" w:lineRule="auto"/>
        <w:ind w:firstLine="440"/>
        <w:jc w:val="right"/>
      </w:pPr>
      <w:r w:rsidRPr="008437AA">
        <w:rPr>
          <w:rFonts w:hint="eastAsia"/>
        </w:rPr>
        <w:t>2</w:t>
      </w:r>
      <w:r w:rsidRPr="008437AA">
        <w:t>02</w:t>
      </w:r>
      <w:r>
        <w:t>4</w:t>
      </w:r>
      <w:r w:rsidR="00E01CD4" w:rsidRPr="008437AA">
        <w:rPr>
          <w:rFonts w:hint="eastAsia"/>
        </w:rPr>
        <w:t>年</w:t>
      </w:r>
      <w:r>
        <w:t>2</w:t>
      </w:r>
      <w:r w:rsidR="00E01CD4" w:rsidRPr="008437AA">
        <w:rPr>
          <w:rFonts w:hint="eastAsia"/>
        </w:rPr>
        <w:t>月</w:t>
      </w:r>
      <w:r>
        <w:t>6</w:t>
      </w:r>
      <w:r w:rsidR="00E01CD4" w:rsidRPr="008437AA">
        <w:rPr>
          <w:rFonts w:hint="eastAsia"/>
        </w:rPr>
        <w:t>日</w:t>
      </w:r>
    </w:p>
    <w:p w:rsidR="00E01CD4" w:rsidRPr="00E01CD4" w:rsidRDefault="00E01CD4" w:rsidP="00CF7681">
      <w:pPr>
        <w:spacing w:line="360" w:lineRule="auto"/>
        <w:ind w:firstLineChars="200" w:firstLine="420"/>
        <w:rPr>
          <w:rFonts w:ascii="宋体" w:hAnsi="宋体" w:cs="Arial" w:hint="eastAsia"/>
          <w:kern w:val="0"/>
          <w:szCs w:val="21"/>
        </w:rPr>
      </w:pPr>
    </w:p>
    <w:sectPr w:rsidR="00E01CD4" w:rsidRPr="00E0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40" w:rsidRDefault="00EC0340" w:rsidP="00EE290A">
      <w:r>
        <w:separator/>
      </w:r>
    </w:p>
  </w:endnote>
  <w:endnote w:type="continuationSeparator" w:id="0">
    <w:p w:rsidR="00EC0340" w:rsidRDefault="00EC0340" w:rsidP="00EE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40" w:rsidRDefault="00EC0340" w:rsidP="00EE290A">
      <w:r>
        <w:separator/>
      </w:r>
    </w:p>
  </w:footnote>
  <w:footnote w:type="continuationSeparator" w:id="0">
    <w:p w:rsidR="00EC0340" w:rsidRDefault="00EC0340" w:rsidP="00EE2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711DC"/>
    <w:multiLevelType w:val="multilevel"/>
    <w:tmpl w:val="CE6CA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BA"/>
    <w:rsid w:val="00000A65"/>
    <w:rsid w:val="0002289B"/>
    <w:rsid w:val="00033880"/>
    <w:rsid w:val="00040D1A"/>
    <w:rsid w:val="000460EC"/>
    <w:rsid w:val="00050CE7"/>
    <w:rsid w:val="00063F4A"/>
    <w:rsid w:val="00090857"/>
    <w:rsid w:val="00090E68"/>
    <w:rsid w:val="000A63E8"/>
    <w:rsid w:val="000B2AB8"/>
    <w:rsid w:val="000B7A20"/>
    <w:rsid w:val="000C45CC"/>
    <w:rsid w:val="000C7477"/>
    <w:rsid w:val="000F67F4"/>
    <w:rsid w:val="001120AB"/>
    <w:rsid w:val="00125055"/>
    <w:rsid w:val="001320F9"/>
    <w:rsid w:val="001327EF"/>
    <w:rsid w:val="00137A1E"/>
    <w:rsid w:val="00140698"/>
    <w:rsid w:val="001A6448"/>
    <w:rsid w:val="001A7BFD"/>
    <w:rsid w:val="001B2ED8"/>
    <w:rsid w:val="001B318A"/>
    <w:rsid w:val="001D539C"/>
    <w:rsid w:val="001D5DFA"/>
    <w:rsid w:val="002049D0"/>
    <w:rsid w:val="00216151"/>
    <w:rsid w:val="00232C18"/>
    <w:rsid w:val="00244A67"/>
    <w:rsid w:val="00282BE6"/>
    <w:rsid w:val="002A1F0E"/>
    <w:rsid w:val="002B0519"/>
    <w:rsid w:val="002B551F"/>
    <w:rsid w:val="002C5C20"/>
    <w:rsid w:val="002D0D8C"/>
    <w:rsid w:val="002E51DF"/>
    <w:rsid w:val="002F12D6"/>
    <w:rsid w:val="002F3541"/>
    <w:rsid w:val="00307894"/>
    <w:rsid w:val="00325944"/>
    <w:rsid w:val="00327964"/>
    <w:rsid w:val="00336D9E"/>
    <w:rsid w:val="0034093C"/>
    <w:rsid w:val="0034488B"/>
    <w:rsid w:val="00366E0F"/>
    <w:rsid w:val="00371536"/>
    <w:rsid w:val="00373400"/>
    <w:rsid w:val="00376FB2"/>
    <w:rsid w:val="0038352F"/>
    <w:rsid w:val="00383EF6"/>
    <w:rsid w:val="003B1EC9"/>
    <w:rsid w:val="003B3246"/>
    <w:rsid w:val="003D34A8"/>
    <w:rsid w:val="003F372F"/>
    <w:rsid w:val="0043100A"/>
    <w:rsid w:val="004464FC"/>
    <w:rsid w:val="00472C7A"/>
    <w:rsid w:val="004B6349"/>
    <w:rsid w:val="004C28AA"/>
    <w:rsid w:val="004D6B81"/>
    <w:rsid w:val="0051581D"/>
    <w:rsid w:val="005371BC"/>
    <w:rsid w:val="0056383D"/>
    <w:rsid w:val="005A3BC7"/>
    <w:rsid w:val="005B1CC5"/>
    <w:rsid w:val="005C211A"/>
    <w:rsid w:val="005C40D7"/>
    <w:rsid w:val="005E0EB1"/>
    <w:rsid w:val="00601E04"/>
    <w:rsid w:val="006106D4"/>
    <w:rsid w:val="00624E30"/>
    <w:rsid w:val="00624E4F"/>
    <w:rsid w:val="00664780"/>
    <w:rsid w:val="00686958"/>
    <w:rsid w:val="00687876"/>
    <w:rsid w:val="00694A21"/>
    <w:rsid w:val="0069538D"/>
    <w:rsid w:val="006A4729"/>
    <w:rsid w:val="006C6DBF"/>
    <w:rsid w:val="006D13A0"/>
    <w:rsid w:val="006E4D1E"/>
    <w:rsid w:val="006F3C7C"/>
    <w:rsid w:val="0070681F"/>
    <w:rsid w:val="00722DED"/>
    <w:rsid w:val="007353D7"/>
    <w:rsid w:val="00741DBE"/>
    <w:rsid w:val="00742391"/>
    <w:rsid w:val="00753D1A"/>
    <w:rsid w:val="007555AC"/>
    <w:rsid w:val="00763355"/>
    <w:rsid w:val="00793A0F"/>
    <w:rsid w:val="007E34B7"/>
    <w:rsid w:val="008112BA"/>
    <w:rsid w:val="008122DA"/>
    <w:rsid w:val="00813237"/>
    <w:rsid w:val="00831A84"/>
    <w:rsid w:val="00841076"/>
    <w:rsid w:val="008541D3"/>
    <w:rsid w:val="00857CE5"/>
    <w:rsid w:val="00861F11"/>
    <w:rsid w:val="00872B05"/>
    <w:rsid w:val="008762B9"/>
    <w:rsid w:val="008A5F2E"/>
    <w:rsid w:val="008B77FC"/>
    <w:rsid w:val="008D0FBB"/>
    <w:rsid w:val="008E4EF5"/>
    <w:rsid w:val="00911774"/>
    <w:rsid w:val="00912874"/>
    <w:rsid w:val="00974F39"/>
    <w:rsid w:val="009C4DBF"/>
    <w:rsid w:val="009D27D0"/>
    <w:rsid w:val="009D520D"/>
    <w:rsid w:val="009E1B91"/>
    <w:rsid w:val="009E76E8"/>
    <w:rsid w:val="00A17D52"/>
    <w:rsid w:val="00A2435B"/>
    <w:rsid w:val="00A24811"/>
    <w:rsid w:val="00A3264E"/>
    <w:rsid w:val="00A3404A"/>
    <w:rsid w:val="00A41EFD"/>
    <w:rsid w:val="00A6541C"/>
    <w:rsid w:val="00A8059A"/>
    <w:rsid w:val="00A95672"/>
    <w:rsid w:val="00AA3B5E"/>
    <w:rsid w:val="00AC5DE0"/>
    <w:rsid w:val="00AE2BA0"/>
    <w:rsid w:val="00B02F4C"/>
    <w:rsid w:val="00B15A4E"/>
    <w:rsid w:val="00B1729C"/>
    <w:rsid w:val="00B2360C"/>
    <w:rsid w:val="00B2470A"/>
    <w:rsid w:val="00B42DB8"/>
    <w:rsid w:val="00B84881"/>
    <w:rsid w:val="00BA03AD"/>
    <w:rsid w:val="00BB3608"/>
    <w:rsid w:val="00BC0F75"/>
    <w:rsid w:val="00BE5B74"/>
    <w:rsid w:val="00C10EC5"/>
    <w:rsid w:val="00C13141"/>
    <w:rsid w:val="00C13DF7"/>
    <w:rsid w:val="00C206AC"/>
    <w:rsid w:val="00C3103A"/>
    <w:rsid w:val="00C34E45"/>
    <w:rsid w:val="00C43FB8"/>
    <w:rsid w:val="00C454D8"/>
    <w:rsid w:val="00C51821"/>
    <w:rsid w:val="00C5439C"/>
    <w:rsid w:val="00C56478"/>
    <w:rsid w:val="00C71988"/>
    <w:rsid w:val="00C7463A"/>
    <w:rsid w:val="00C7712C"/>
    <w:rsid w:val="00C82EB5"/>
    <w:rsid w:val="00CC27F4"/>
    <w:rsid w:val="00CC2A34"/>
    <w:rsid w:val="00CD2E17"/>
    <w:rsid w:val="00CE5188"/>
    <w:rsid w:val="00CF7681"/>
    <w:rsid w:val="00D00DC5"/>
    <w:rsid w:val="00D1295B"/>
    <w:rsid w:val="00D27225"/>
    <w:rsid w:val="00D3010C"/>
    <w:rsid w:val="00D3628E"/>
    <w:rsid w:val="00D60BBC"/>
    <w:rsid w:val="00DA4191"/>
    <w:rsid w:val="00DC2F30"/>
    <w:rsid w:val="00DD1126"/>
    <w:rsid w:val="00DD7D97"/>
    <w:rsid w:val="00DE2BAD"/>
    <w:rsid w:val="00DF1212"/>
    <w:rsid w:val="00DF7358"/>
    <w:rsid w:val="00E018E9"/>
    <w:rsid w:val="00E01CD4"/>
    <w:rsid w:val="00E01EFA"/>
    <w:rsid w:val="00E20713"/>
    <w:rsid w:val="00E3329D"/>
    <w:rsid w:val="00E4254A"/>
    <w:rsid w:val="00E44109"/>
    <w:rsid w:val="00E8121B"/>
    <w:rsid w:val="00E93DC7"/>
    <w:rsid w:val="00EC0340"/>
    <w:rsid w:val="00EC3E7B"/>
    <w:rsid w:val="00EC5FF6"/>
    <w:rsid w:val="00ED33AE"/>
    <w:rsid w:val="00EE290A"/>
    <w:rsid w:val="00EE623E"/>
    <w:rsid w:val="00EF6268"/>
    <w:rsid w:val="00F23B29"/>
    <w:rsid w:val="00F26B91"/>
    <w:rsid w:val="00F3044A"/>
    <w:rsid w:val="00F3052F"/>
    <w:rsid w:val="00F341F5"/>
    <w:rsid w:val="00F404E9"/>
    <w:rsid w:val="00F41B60"/>
    <w:rsid w:val="00F53E93"/>
    <w:rsid w:val="00F66632"/>
    <w:rsid w:val="00F72708"/>
    <w:rsid w:val="00F7410E"/>
    <w:rsid w:val="00F907F2"/>
    <w:rsid w:val="00F92261"/>
    <w:rsid w:val="00F93662"/>
    <w:rsid w:val="00FA2E44"/>
    <w:rsid w:val="00FA4D6B"/>
    <w:rsid w:val="00FB4072"/>
    <w:rsid w:val="00FB71BA"/>
    <w:rsid w:val="00FD3399"/>
    <w:rsid w:val="00FF2961"/>
    <w:rsid w:val="00FF35D1"/>
    <w:rsid w:val="00FF626C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B71B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List Paragraph"/>
    <w:basedOn w:val="a"/>
    <w:qFormat/>
    <w:rsid w:val="00FB71BA"/>
    <w:pPr>
      <w:ind w:firstLineChars="200" w:firstLine="420"/>
    </w:pPr>
  </w:style>
  <w:style w:type="paragraph" w:styleId="a4">
    <w:name w:val="Balloon Text"/>
    <w:basedOn w:val="a"/>
    <w:semiHidden/>
    <w:rsid w:val="00FB71BA"/>
    <w:rPr>
      <w:sz w:val="18"/>
      <w:szCs w:val="18"/>
    </w:rPr>
  </w:style>
  <w:style w:type="paragraph" w:styleId="a5">
    <w:name w:val="header"/>
    <w:basedOn w:val="a"/>
    <w:link w:val="Char"/>
    <w:rsid w:val="00EE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E290A"/>
    <w:rPr>
      <w:kern w:val="2"/>
      <w:sz w:val="18"/>
      <w:szCs w:val="18"/>
    </w:rPr>
  </w:style>
  <w:style w:type="paragraph" w:styleId="a6">
    <w:name w:val="footer"/>
    <w:basedOn w:val="a"/>
    <w:link w:val="Char0"/>
    <w:rsid w:val="00EE2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EE290A"/>
    <w:rPr>
      <w:kern w:val="2"/>
      <w:sz w:val="18"/>
      <w:szCs w:val="18"/>
    </w:rPr>
  </w:style>
  <w:style w:type="character" w:styleId="a7">
    <w:name w:val="Hyperlink"/>
    <w:uiPriority w:val="99"/>
    <w:unhideWhenUsed/>
    <w:rsid w:val="00F30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9475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903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asset.com/products/coin/51951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jasset.com/products/coin/519513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jasset.com/products/coin/519512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07CF-1429-4AF5-85D0-818B4D7F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4</DocSecurity>
  <Lines>7</Lines>
  <Paragraphs>1</Paragraphs>
  <ScaleCrop>false</ScaleCrop>
  <Company/>
  <LinksUpToDate>false</LinksUpToDate>
  <CharactersWithSpaces>991</CharactersWithSpaces>
  <SharedDoc>false</SharedDoc>
  <HLinks>
    <vt:vector size="18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https://www.wjasset.com/products/coin/519513/index.html</vt:lpwstr>
      </vt:variant>
      <vt:variant>
        <vt:lpwstr/>
      </vt:variant>
      <vt:variant>
        <vt:i4>4128812</vt:i4>
      </vt:variant>
      <vt:variant>
        <vt:i4>3</vt:i4>
      </vt:variant>
      <vt:variant>
        <vt:i4>0</vt:i4>
      </vt:variant>
      <vt:variant>
        <vt:i4>5</vt:i4>
      </vt:variant>
      <vt:variant>
        <vt:lpwstr>https://www.wjasset.com/products/coin/519512/index.html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https://www.wjasset.com/products/coin/519511/index.html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李忠祥</dc:creator>
  <cp:keywords/>
  <cp:lastModifiedBy>ZHONGM</cp:lastModifiedBy>
  <cp:revision>2</cp:revision>
  <cp:lastPrinted>2023-09-21T07:02:00Z</cp:lastPrinted>
  <dcterms:created xsi:type="dcterms:W3CDTF">2024-02-05T16:01:00Z</dcterms:created>
  <dcterms:modified xsi:type="dcterms:W3CDTF">2024-02-05T16:01:00Z</dcterms:modified>
</cp:coreProperties>
</file>