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C2" w:rsidRDefault="008A2EC2" w:rsidP="008A2EC2">
      <w:pPr>
        <w:spacing w:after="0" w:line="360" w:lineRule="auto"/>
        <w:jc w:val="center"/>
        <w:rPr>
          <w:rFonts w:ascii="宋体" w:eastAsia="宋体" w:hAnsi="宋体" w:cs="宋体"/>
          <w:position w:val="-4"/>
          <w:sz w:val="28"/>
          <w:szCs w:val="30"/>
          <w:lang w:eastAsia="zh-CN"/>
        </w:rPr>
      </w:pPr>
      <w:r w:rsidRPr="008A2EC2">
        <w:rPr>
          <w:rFonts w:ascii="宋体" w:eastAsia="宋体" w:hAnsi="宋体" w:cs="宋体" w:hint="eastAsia"/>
          <w:position w:val="-4"/>
          <w:sz w:val="28"/>
          <w:szCs w:val="30"/>
          <w:lang w:eastAsia="zh-CN"/>
        </w:rPr>
        <w:t>鹏扬基金管理有限公司关于</w:t>
      </w:r>
      <w:r w:rsidR="007003D8" w:rsidRPr="007003D8">
        <w:rPr>
          <w:rFonts w:ascii="宋体" w:eastAsia="宋体" w:hAnsi="宋体" w:cs="宋体" w:hint="eastAsia"/>
          <w:position w:val="-4"/>
          <w:sz w:val="28"/>
          <w:szCs w:val="30"/>
          <w:lang w:eastAsia="zh-CN"/>
        </w:rPr>
        <w:t>鹏扬成长领航混合型证券投资基金</w:t>
      </w:r>
    </w:p>
    <w:p w:rsidR="00580BE5" w:rsidRDefault="008A2EC2" w:rsidP="00965166">
      <w:pPr>
        <w:spacing w:afterLines="100" w:line="360" w:lineRule="auto"/>
        <w:jc w:val="center"/>
        <w:rPr>
          <w:rFonts w:ascii="宋体" w:eastAsia="宋体" w:hAnsi="宋体" w:cs="宋体"/>
          <w:sz w:val="21"/>
          <w:szCs w:val="21"/>
          <w:lang w:eastAsia="zh-CN"/>
        </w:rPr>
      </w:pPr>
      <w:r w:rsidRPr="008A2EC2">
        <w:rPr>
          <w:rFonts w:ascii="宋体" w:eastAsia="宋体" w:hAnsi="宋体" w:cs="宋体" w:hint="eastAsia"/>
          <w:position w:val="-4"/>
          <w:sz w:val="28"/>
          <w:szCs w:val="30"/>
          <w:lang w:eastAsia="zh-CN"/>
        </w:rPr>
        <w:t>基金资产净值连续低于5000万元的提示性公告</w:t>
      </w:r>
    </w:p>
    <w:p w:rsidR="008A2EC2" w:rsidRDefault="008A2EC2" w:rsidP="00965166">
      <w:pPr>
        <w:spacing w:beforeLines="50" w:after="0"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 w:rsidRPr="008A2EC2">
        <w:rPr>
          <w:rFonts w:ascii="宋体" w:eastAsia="宋体" w:hAnsi="宋体" w:cs="宋体" w:hint="eastAsia"/>
          <w:sz w:val="21"/>
          <w:szCs w:val="21"/>
          <w:lang w:eastAsia="zh-CN"/>
        </w:rPr>
        <w:t>根据《中华人民共和国证券投资基金法》、《公开募集证券投资基金运作管理办法》和《</w:t>
      </w:r>
      <w:r w:rsidR="007003D8" w:rsidRPr="007003D8">
        <w:rPr>
          <w:rFonts w:ascii="宋体" w:eastAsia="宋体" w:hAnsi="宋体" w:cs="宋体" w:hint="eastAsia"/>
          <w:sz w:val="21"/>
          <w:szCs w:val="21"/>
          <w:lang w:eastAsia="zh-CN"/>
        </w:rPr>
        <w:t>鹏扬成长领航混合型证券投资基金</w:t>
      </w:r>
      <w:r w:rsidRPr="008A2EC2">
        <w:rPr>
          <w:rFonts w:ascii="宋体" w:eastAsia="宋体" w:hAnsi="宋体" w:cs="宋体" w:hint="eastAsia"/>
          <w:sz w:val="21"/>
          <w:szCs w:val="21"/>
          <w:lang w:eastAsia="zh-CN"/>
        </w:rPr>
        <w:t>基金合同》（以下简称“基金合同”或“《基金合同》”）的有关规定，</w:t>
      </w:r>
      <w:r w:rsidR="007003D8" w:rsidRPr="007003D8">
        <w:rPr>
          <w:rFonts w:ascii="宋体" w:eastAsia="宋体" w:hAnsi="宋体" w:cs="宋体" w:hint="eastAsia"/>
          <w:sz w:val="21"/>
          <w:szCs w:val="21"/>
          <w:lang w:eastAsia="zh-CN"/>
        </w:rPr>
        <w:t>鹏扬成长领航混合型证券投资基金</w:t>
      </w:r>
      <w:r w:rsidRPr="008A2EC2">
        <w:rPr>
          <w:rFonts w:ascii="宋体" w:eastAsia="宋体" w:hAnsi="宋体" w:cs="宋体" w:hint="eastAsia"/>
          <w:sz w:val="21"/>
          <w:szCs w:val="21"/>
          <w:lang w:eastAsia="zh-CN"/>
        </w:rPr>
        <w:t>（以下简称“本基金”）基金资产净值连续低于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5000</w:t>
      </w:r>
      <w:r w:rsidRPr="008A2EC2">
        <w:rPr>
          <w:rFonts w:ascii="宋体" w:eastAsia="宋体" w:hAnsi="宋体" w:cs="宋体" w:hint="eastAsia"/>
          <w:sz w:val="21"/>
          <w:szCs w:val="21"/>
          <w:lang w:eastAsia="zh-CN"/>
        </w:rPr>
        <w:t>万元，现将有关事项提示公告如下：</w:t>
      </w:r>
    </w:p>
    <w:p w:rsidR="00580BE5" w:rsidRDefault="00DF1462" w:rsidP="00965166">
      <w:pPr>
        <w:widowControl/>
        <w:shd w:val="clear" w:color="auto" w:fill="FFFFFF"/>
        <w:spacing w:beforeLines="50" w:after="0" w:line="360" w:lineRule="auto"/>
        <w:ind w:firstLineChars="200" w:firstLine="4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一、</w:t>
      </w:r>
      <w:r w:rsidR="008A2EC2">
        <w:rPr>
          <w:rFonts w:ascii="宋体" w:eastAsia="宋体" w:hAnsi="宋体" w:cs="宋体" w:hint="eastAsia"/>
          <w:sz w:val="21"/>
          <w:szCs w:val="21"/>
          <w:lang w:eastAsia="zh-CN"/>
        </w:rPr>
        <w:t>本基金基本信息</w:t>
      </w:r>
    </w:p>
    <w:tbl>
      <w:tblPr>
        <w:tblStyle w:val="aa"/>
        <w:tblW w:w="7230" w:type="dxa"/>
        <w:jc w:val="center"/>
        <w:tblLayout w:type="fixed"/>
        <w:tblLook w:val="04A0"/>
      </w:tblPr>
      <w:tblGrid>
        <w:gridCol w:w="2689"/>
        <w:gridCol w:w="2268"/>
        <w:gridCol w:w="2273"/>
      </w:tblGrid>
      <w:tr w:rsidR="008A2EC2" w:rsidTr="00A00CD5">
        <w:trPr>
          <w:trHeight w:val="351"/>
          <w:jc w:val="center"/>
        </w:trPr>
        <w:tc>
          <w:tcPr>
            <w:tcW w:w="2689" w:type="dxa"/>
            <w:noWrap/>
            <w:vAlign w:val="center"/>
          </w:tcPr>
          <w:p w:rsidR="008A2EC2" w:rsidRDefault="008A2EC2" w:rsidP="008A2EC2">
            <w:pPr>
              <w:pStyle w:val="a8"/>
              <w:jc w:val="both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基金</w:t>
            </w:r>
            <w:r>
              <w:rPr>
                <w:rFonts w:hint="eastAsia"/>
                <w:kern w:val="0"/>
                <w:sz w:val="21"/>
                <w:szCs w:val="21"/>
              </w:rPr>
              <w:t>名称</w:t>
            </w:r>
          </w:p>
        </w:tc>
        <w:tc>
          <w:tcPr>
            <w:tcW w:w="4541" w:type="dxa"/>
            <w:gridSpan w:val="2"/>
            <w:noWrap/>
            <w:vAlign w:val="center"/>
          </w:tcPr>
          <w:p w:rsidR="008A2EC2" w:rsidRDefault="007003D8" w:rsidP="008A2EC2">
            <w:pPr>
              <w:pStyle w:val="a8"/>
              <w:jc w:val="both"/>
              <w:rPr>
                <w:sz w:val="21"/>
                <w:szCs w:val="21"/>
              </w:rPr>
            </w:pPr>
            <w:r w:rsidRPr="007003D8">
              <w:rPr>
                <w:rFonts w:hint="eastAsia"/>
                <w:sz w:val="21"/>
                <w:szCs w:val="21"/>
              </w:rPr>
              <w:t>鹏扬成长领航混合型证券投资基金</w:t>
            </w:r>
          </w:p>
        </w:tc>
      </w:tr>
      <w:tr w:rsidR="008A2EC2" w:rsidTr="00A00CD5">
        <w:trPr>
          <w:trHeight w:val="351"/>
          <w:jc w:val="center"/>
        </w:trPr>
        <w:tc>
          <w:tcPr>
            <w:tcW w:w="2689" w:type="dxa"/>
            <w:noWrap/>
            <w:vAlign w:val="center"/>
          </w:tcPr>
          <w:p w:rsidR="008A2EC2" w:rsidRDefault="008A2EC2" w:rsidP="008A2EC2">
            <w:pPr>
              <w:pStyle w:val="a8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基金简称</w:t>
            </w:r>
          </w:p>
        </w:tc>
        <w:tc>
          <w:tcPr>
            <w:tcW w:w="4541" w:type="dxa"/>
            <w:gridSpan w:val="2"/>
            <w:noWrap/>
            <w:vAlign w:val="center"/>
          </w:tcPr>
          <w:p w:rsidR="008A2EC2" w:rsidRDefault="007003D8" w:rsidP="008A2EC2">
            <w:pPr>
              <w:widowControl/>
              <w:spacing w:after="0" w:line="240" w:lineRule="auto"/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03D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鹏扬成长领航混合</w:t>
            </w:r>
          </w:p>
        </w:tc>
      </w:tr>
      <w:tr w:rsidR="008A2EC2" w:rsidTr="00A00CD5">
        <w:trPr>
          <w:trHeight w:val="351"/>
          <w:jc w:val="center"/>
        </w:trPr>
        <w:tc>
          <w:tcPr>
            <w:tcW w:w="2689" w:type="dxa"/>
            <w:noWrap/>
            <w:vAlign w:val="center"/>
          </w:tcPr>
          <w:p w:rsidR="008A2EC2" w:rsidRDefault="008A2EC2" w:rsidP="008A2EC2">
            <w:pPr>
              <w:pStyle w:val="a8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基金主代码</w:t>
            </w:r>
          </w:p>
        </w:tc>
        <w:tc>
          <w:tcPr>
            <w:tcW w:w="4541" w:type="dxa"/>
            <w:gridSpan w:val="2"/>
            <w:noWrap/>
            <w:vAlign w:val="center"/>
          </w:tcPr>
          <w:p w:rsidR="008A2EC2" w:rsidRDefault="007003D8" w:rsidP="008A2EC2">
            <w:pPr>
              <w:widowControl/>
              <w:spacing w:after="0" w:line="240" w:lineRule="auto"/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03D8">
              <w:rPr>
                <w:rFonts w:ascii="宋体" w:eastAsia="宋体" w:hAnsi="宋体"/>
                <w:sz w:val="21"/>
                <w:szCs w:val="21"/>
                <w:lang w:eastAsia="zh-CN"/>
              </w:rPr>
              <w:t>015217</w:t>
            </w:r>
          </w:p>
        </w:tc>
      </w:tr>
      <w:tr w:rsidR="008A2EC2" w:rsidTr="00A00CD5">
        <w:trPr>
          <w:trHeight w:val="351"/>
          <w:jc w:val="center"/>
        </w:trPr>
        <w:tc>
          <w:tcPr>
            <w:tcW w:w="2689" w:type="dxa"/>
            <w:noWrap/>
            <w:vAlign w:val="center"/>
          </w:tcPr>
          <w:p w:rsidR="008A2EC2" w:rsidRDefault="008A2EC2" w:rsidP="008A2EC2">
            <w:pPr>
              <w:pStyle w:val="a8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基金运作方式</w:t>
            </w:r>
          </w:p>
        </w:tc>
        <w:tc>
          <w:tcPr>
            <w:tcW w:w="4541" w:type="dxa"/>
            <w:gridSpan w:val="2"/>
            <w:noWrap/>
            <w:vAlign w:val="center"/>
          </w:tcPr>
          <w:p w:rsidR="008A2EC2" w:rsidRDefault="007003D8" w:rsidP="008A2EC2">
            <w:pPr>
              <w:widowControl/>
              <w:spacing w:after="0" w:line="240" w:lineRule="auto"/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03D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契约型开放式</w:t>
            </w:r>
          </w:p>
        </w:tc>
      </w:tr>
      <w:tr w:rsidR="008A2EC2" w:rsidTr="00A00CD5">
        <w:trPr>
          <w:trHeight w:val="351"/>
          <w:jc w:val="center"/>
        </w:trPr>
        <w:tc>
          <w:tcPr>
            <w:tcW w:w="2689" w:type="dxa"/>
            <w:noWrap/>
            <w:vAlign w:val="center"/>
          </w:tcPr>
          <w:p w:rsidR="008A2EC2" w:rsidRDefault="008A2EC2" w:rsidP="008A2EC2">
            <w:pPr>
              <w:pStyle w:val="a8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基金合同生效日</w:t>
            </w:r>
          </w:p>
        </w:tc>
        <w:tc>
          <w:tcPr>
            <w:tcW w:w="4541" w:type="dxa"/>
            <w:gridSpan w:val="2"/>
            <w:noWrap/>
            <w:vAlign w:val="center"/>
          </w:tcPr>
          <w:p w:rsidR="008A2EC2" w:rsidRDefault="007003D8" w:rsidP="00F1047A">
            <w:pPr>
              <w:widowControl/>
              <w:spacing w:after="0" w:line="240" w:lineRule="auto"/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2022</w:t>
            </w:r>
            <w:r w:rsidRPr="007003D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年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10</w:t>
            </w:r>
            <w:r w:rsidRPr="007003D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月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21</w:t>
            </w:r>
            <w:r w:rsidRPr="007003D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日</w:t>
            </w:r>
          </w:p>
        </w:tc>
      </w:tr>
      <w:tr w:rsidR="008A2EC2" w:rsidTr="00A00CD5">
        <w:trPr>
          <w:trHeight w:val="351"/>
          <w:jc w:val="center"/>
        </w:trPr>
        <w:tc>
          <w:tcPr>
            <w:tcW w:w="2689" w:type="dxa"/>
            <w:noWrap/>
            <w:vAlign w:val="center"/>
          </w:tcPr>
          <w:p w:rsidR="008A2EC2" w:rsidRDefault="008A2EC2" w:rsidP="008A2EC2">
            <w:pPr>
              <w:pStyle w:val="a8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基金管理人</w:t>
            </w:r>
          </w:p>
        </w:tc>
        <w:tc>
          <w:tcPr>
            <w:tcW w:w="4541" w:type="dxa"/>
            <w:gridSpan w:val="2"/>
            <w:noWrap/>
            <w:vAlign w:val="center"/>
          </w:tcPr>
          <w:p w:rsidR="008A2EC2" w:rsidRDefault="008A2EC2" w:rsidP="008A2EC2">
            <w:pPr>
              <w:widowControl/>
              <w:spacing w:after="0" w:line="240" w:lineRule="auto"/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A2EC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鹏扬基金管理有限公司</w:t>
            </w:r>
          </w:p>
        </w:tc>
      </w:tr>
      <w:tr w:rsidR="008A2EC2" w:rsidTr="00A00CD5">
        <w:trPr>
          <w:trHeight w:val="351"/>
          <w:jc w:val="center"/>
        </w:trPr>
        <w:tc>
          <w:tcPr>
            <w:tcW w:w="2689" w:type="dxa"/>
            <w:noWrap/>
            <w:vAlign w:val="center"/>
          </w:tcPr>
          <w:p w:rsidR="008A2EC2" w:rsidRDefault="008A2EC2" w:rsidP="008A2EC2">
            <w:pPr>
              <w:pStyle w:val="a8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基金托管人</w:t>
            </w:r>
          </w:p>
        </w:tc>
        <w:tc>
          <w:tcPr>
            <w:tcW w:w="4541" w:type="dxa"/>
            <w:gridSpan w:val="2"/>
            <w:noWrap/>
            <w:vAlign w:val="center"/>
          </w:tcPr>
          <w:p w:rsidR="008A2EC2" w:rsidRDefault="007003D8" w:rsidP="008A2EC2">
            <w:pPr>
              <w:widowControl/>
              <w:spacing w:after="0" w:line="240" w:lineRule="auto"/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03D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中国工商银行股份有限公司</w:t>
            </w:r>
          </w:p>
        </w:tc>
      </w:tr>
      <w:tr w:rsidR="008A2EC2" w:rsidTr="00A00CD5">
        <w:trPr>
          <w:trHeight w:val="351"/>
          <w:jc w:val="center"/>
        </w:trPr>
        <w:tc>
          <w:tcPr>
            <w:tcW w:w="2689" w:type="dxa"/>
            <w:noWrap/>
            <w:vAlign w:val="center"/>
          </w:tcPr>
          <w:p w:rsidR="008A2EC2" w:rsidRDefault="008A2EC2" w:rsidP="008A2EC2">
            <w:pPr>
              <w:pStyle w:val="a8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下属分类基金的</w:t>
            </w:r>
            <w:r w:rsidR="00A00CD5">
              <w:rPr>
                <w:rFonts w:hint="eastAsia"/>
                <w:sz w:val="21"/>
                <w:szCs w:val="21"/>
              </w:rPr>
              <w:t>基金</w:t>
            </w:r>
            <w:r>
              <w:rPr>
                <w:rFonts w:hint="eastAsia"/>
                <w:sz w:val="21"/>
                <w:szCs w:val="21"/>
              </w:rPr>
              <w:t>简称</w:t>
            </w:r>
          </w:p>
        </w:tc>
        <w:tc>
          <w:tcPr>
            <w:tcW w:w="2268" w:type="dxa"/>
            <w:noWrap/>
            <w:vAlign w:val="center"/>
          </w:tcPr>
          <w:p w:rsidR="008A2EC2" w:rsidRDefault="007003D8" w:rsidP="008A2EC2">
            <w:pPr>
              <w:pStyle w:val="a8"/>
              <w:jc w:val="both"/>
              <w:rPr>
                <w:sz w:val="21"/>
                <w:szCs w:val="21"/>
              </w:rPr>
            </w:pPr>
            <w:r w:rsidRPr="007003D8">
              <w:rPr>
                <w:rFonts w:hint="eastAsia"/>
                <w:sz w:val="21"/>
                <w:szCs w:val="21"/>
              </w:rPr>
              <w:t>鹏扬成长领航混合A</w:t>
            </w:r>
          </w:p>
        </w:tc>
        <w:tc>
          <w:tcPr>
            <w:tcW w:w="2273" w:type="dxa"/>
            <w:vAlign w:val="center"/>
          </w:tcPr>
          <w:p w:rsidR="008A2EC2" w:rsidRDefault="007003D8" w:rsidP="008A2EC2">
            <w:pPr>
              <w:widowControl/>
              <w:spacing w:after="0" w:line="240" w:lineRule="auto"/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03D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鹏扬成长领航混合</w:t>
            </w:r>
            <w:r w:rsidR="00F1047A" w:rsidRPr="00F1047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C</w:t>
            </w:r>
          </w:p>
        </w:tc>
      </w:tr>
      <w:tr w:rsidR="008A2EC2" w:rsidTr="00A00CD5">
        <w:trPr>
          <w:trHeight w:val="351"/>
          <w:jc w:val="center"/>
        </w:trPr>
        <w:tc>
          <w:tcPr>
            <w:tcW w:w="2689" w:type="dxa"/>
            <w:noWrap/>
            <w:vAlign w:val="center"/>
          </w:tcPr>
          <w:p w:rsidR="008A2EC2" w:rsidRDefault="00A00CD5" w:rsidP="008A2EC2">
            <w:pPr>
              <w:pStyle w:val="a8"/>
              <w:jc w:val="both"/>
              <w:rPr>
                <w:sz w:val="21"/>
                <w:szCs w:val="21"/>
              </w:rPr>
            </w:pPr>
            <w:r w:rsidRPr="00A00CD5">
              <w:rPr>
                <w:rFonts w:hint="eastAsia"/>
                <w:sz w:val="21"/>
                <w:szCs w:val="21"/>
              </w:rPr>
              <w:t>下属分类基金的交易代码</w:t>
            </w:r>
          </w:p>
        </w:tc>
        <w:tc>
          <w:tcPr>
            <w:tcW w:w="2268" w:type="dxa"/>
            <w:noWrap/>
            <w:vAlign w:val="center"/>
          </w:tcPr>
          <w:p w:rsidR="008A2EC2" w:rsidRDefault="007003D8" w:rsidP="008A2EC2">
            <w:pPr>
              <w:pStyle w:val="a8"/>
              <w:jc w:val="both"/>
              <w:rPr>
                <w:sz w:val="21"/>
                <w:szCs w:val="21"/>
              </w:rPr>
            </w:pPr>
            <w:r w:rsidRPr="007003D8">
              <w:rPr>
                <w:sz w:val="21"/>
                <w:szCs w:val="21"/>
              </w:rPr>
              <w:t>015217</w:t>
            </w:r>
          </w:p>
        </w:tc>
        <w:tc>
          <w:tcPr>
            <w:tcW w:w="2273" w:type="dxa"/>
            <w:vAlign w:val="center"/>
          </w:tcPr>
          <w:p w:rsidR="008A2EC2" w:rsidRDefault="007003D8" w:rsidP="008A2EC2">
            <w:pPr>
              <w:widowControl/>
              <w:spacing w:after="0" w:line="240" w:lineRule="auto"/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03D8">
              <w:rPr>
                <w:rFonts w:ascii="宋体" w:eastAsia="宋体" w:hAnsi="宋体"/>
                <w:sz w:val="21"/>
                <w:szCs w:val="21"/>
                <w:lang w:eastAsia="zh-CN"/>
              </w:rPr>
              <w:t>015218</w:t>
            </w:r>
          </w:p>
        </w:tc>
      </w:tr>
    </w:tbl>
    <w:p w:rsidR="00580BE5" w:rsidRDefault="00DF1462" w:rsidP="00965166">
      <w:pPr>
        <w:spacing w:beforeLines="100" w:after="0" w:line="360" w:lineRule="auto"/>
        <w:ind w:firstLineChars="200" w:firstLine="420"/>
        <w:outlineLvl w:val="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eastAsia="zh-CN"/>
        </w:rPr>
        <w:t>二</w:t>
      </w:r>
      <w:r>
        <w:rPr>
          <w:rFonts w:ascii="宋体" w:eastAsia="宋体" w:hAnsi="宋体" w:cs="宋体"/>
          <w:sz w:val="21"/>
          <w:szCs w:val="21"/>
          <w:lang w:eastAsia="zh-CN"/>
        </w:rPr>
        <w:t>、</w:t>
      </w:r>
      <w:r w:rsidR="00A00CD5">
        <w:rPr>
          <w:rFonts w:ascii="宋体" w:eastAsia="宋体" w:hAnsi="宋体" w:cs="宋体" w:hint="eastAsia"/>
          <w:sz w:val="21"/>
          <w:szCs w:val="21"/>
          <w:lang w:eastAsia="zh-CN"/>
        </w:rPr>
        <w:t>相关情形说明</w:t>
      </w:r>
    </w:p>
    <w:p w:rsidR="00A00CD5" w:rsidRPr="00A00CD5" w:rsidRDefault="00A00CD5" w:rsidP="007003D8">
      <w:pPr>
        <w:spacing w:after="0" w:line="360" w:lineRule="auto"/>
        <w:ind w:firstLineChars="200" w:firstLine="4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eastAsia="zh-CN"/>
        </w:rPr>
        <w:t>根据</w:t>
      </w:r>
      <w:r w:rsidRPr="00A00CD5">
        <w:rPr>
          <w:rFonts w:ascii="宋体" w:eastAsia="宋体" w:hAnsi="宋体" w:cs="宋体" w:hint="eastAsia"/>
          <w:sz w:val="21"/>
          <w:szCs w:val="21"/>
          <w:lang w:eastAsia="zh-CN"/>
        </w:rPr>
        <w:t>基金合同“第五部分 基金备案”之“三、</w:t>
      </w:r>
      <w:r w:rsidR="007003D8" w:rsidRPr="007003D8">
        <w:rPr>
          <w:rFonts w:ascii="宋体" w:eastAsia="宋体" w:hAnsi="宋体" w:cs="宋体" w:hint="eastAsia"/>
          <w:sz w:val="21"/>
          <w:szCs w:val="21"/>
          <w:lang w:eastAsia="zh-CN"/>
        </w:rPr>
        <w:t>基金存续期内的基金份额持有人数量和资产规模</w:t>
      </w:r>
      <w:r w:rsidRPr="00A00CD5">
        <w:rPr>
          <w:rFonts w:ascii="宋体" w:eastAsia="宋体" w:hAnsi="宋体" w:cs="宋体" w:hint="eastAsia"/>
          <w:sz w:val="21"/>
          <w:szCs w:val="21"/>
          <w:lang w:eastAsia="zh-CN"/>
        </w:rPr>
        <w:t>”的约定：</w:t>
      </w:r>
      <w:r w:rsidR="007003D8">
        <w:rPr>
          <w:rFonts w:ascii="宋体" w:eastAsia="宋体" w:hAnsi="宋体" w:cs="宋体" w:hint="eastAsia"/>
          <w:sz w:val="21"/>
          <w:szCs w:val="21"/>
          <w:lang w:eastAsia="zh-CN"/>
        </w:rPr>
        <w:t>“</w:t>
      </w:r>
      <w:r w:rsidR="007003D8" w:rsidRPr="007003D8">
        <w:rPr>
          <w:rFonts w:ascii="宋体" w:eastAsia="宋体" w:hAnsi="宋体" w:cs="宋体" w:hint="eastAsia"/>
          <w:sz w:val="21"/>
          <w:szCs w:val="21"/>
          <w:lang w:eastAsia="zh-CN"/>
        </w:rPr>
        <w:t>《基金合同》生效后，连续</w:t>
      </w:r>
      <w:r w:rsidR="007003D8">
        <w:rPr>
          <w:rFonts w:ascii="宋体" w:eastAsia="宋体" w:hAnsi="宋体" w:cs="宋体" w:hint="eastAsia"/>
          <w:sz w:val="21"/>
          <w:szCs w:val="21"/>
          <w:lang w:eastAsia="zh-CN"/>
        </w:rPr>
        <w:t>20</w:t>
      </w:r>
      <w:r w:rsidR="007003D8" w:rsidRPr="007003D8">
        <w:rPr>
          <w:rFonts w:ascii="宋体" w:eastAsia="宋体" w:hAnsi="宋体" w:cs="宋体" w:hint="eastAsia"/>
          <w:sz w:val="21"/>
          <w:szCs w:val="21"/>
          <w:lang w:eastAsia="zh-CN"/>
        </w:rPr>
        <w:t>个工作日出现基金份额持有人数量不满</w:t>
      </w:r>
      <w:r w:rsidR="007003D8">
        <w:rPr>
          <w:rFonts w:ascii="宋体" w:eastAsia="宋体" w:hAnsi="宋体" w:cs="宋体" w:hint="eastAsia"/>
          <w:sz w:val="21"/>
          <w:szCs w:val="21"/>
          <w:lang w:eastAsia="zh-CN"/>
        </w:rPr>
        <w:t>200</w:t>
      </w:r>
      <w:r w:rsidR="007003D8" w:rsidRPr="007003D8">
        <w:rPr>
          <w:rFonts w:ascii="宋体" w:eastAsia="宋体" w:hAnsi="宋体" w:cs="宋体" w:hint="eastAsia"/>
          <w:sz w:val="21"/>
          <w:szCs w:val="21"/>
          <w:lang w:eastAsia="zh-CN"/>
        </w:rPr>
        <w:t>人或者基金资产净值低于</w:t>
      </w:r>
      <w:r w:rsidR="007003D8">
        <w:rPr>
          <w:rFonts w:ascii="宋体" w:eastAsia="宋体" w:hAnsi="宋体" w:cs="宋体" w:hint="eastAsia"/>
          <w:sz w:val="21"/>
          <w:szCs w:val="21"/>
          <w:lang w:eastAsia="zh-CN"/>
        </w:rPr>
        <w:t>5000</w:t>
      </w:r>
      <w:r w:rsidR="007003D8" w:rsidRPr="007003D8">
        <w:rPr>
          <w:rFonts w:ascii="宋体" w:eastAsia="宋体" w:hAnsi="宋体" w:cs="宋体" w:hint="eastAsia"/>
          <w:sz w:val="21"/>
          <w:szCs w:val="21"/>
          <w:lang w:eastAsia="zh-CN"/>
        </w:rPr>
        <w:t>万元情形的，基金管理人应当在定期报告中予以披露；连续</w:t>
      </w:r>
      <w:r w:rsidR="007003D8">
        <w:rPr>
          <w:rFonts w:ascii="宋体" w:eastAsia="宋体" w:hAnsi="宋体" w:cs="宋体" w:hint="eastAsia"/>
          <w:sz w:val="21"/>
          <w:szCs w:val="21"/>
          <w:lang w:eastAsia="zh-CN"/>
        </w:rPr>
        <w:t>50</w:t>
      </w:r>
      <w:r w:rsidR="007003D8" w:rsidRPr="007003D8">
        <w:rPr>
          <w:rFonts w:ascii="宋体" w:eastAsia="宋体" w:hAnsi="宋体" w:cs="宋体" w:hint="eastAsia"/>
          <w:sz w:val="21"/>
          <w:szCs w:val="21"/>
          <w:lang w:eastAsia="zh-CN"/>
        </w:rPr>
        <w:t>个工作日出现前述情形的，基金合同终止，不需召开基金份额持有人大会</w:t>
      </w:r>
      <w:r w:rsidR="007003D8">
        <w:rPr>
          <w:rFonts w:ascii="宋体" w:eastAsia="宋体" w:hAnsi="宋体" w:cs="宋体" w:hint="eastAsia"/>
          <w:sz w:val="21"/>
          <w:szCs w:val="21"/>
          <w:lang w:eastAsia="zh-CN"/>
        </w:rPr>
        <w:t>”</w:t>
      </w:r>
      <w:r w:rsidR="007003D8" w:rsidRPr="007003D8">
        <w:rPr>
          <w:rFonts w:ascii="宋体" w:eastAsia="宋体" w:hAnsi="宋体" w:cs="宋体" w:hint="eastAsia"/>
          <w:sz w:val="21"/>
          <w:szCs w:val="21"/>
          <w:lang w:eastAsia="zh-CN"/>
        </w:rPr>
        <w:t>。</w:t>
      </w:r>
    </w:p>
    <w:p w:rsidR="00A00CD5" w:rsidRPr="00A00CD5" w:rsidRDefault="00A00CD5" w:rsidP="0070477C">
      <w:pPr>
        <w:spacing w:after="0" w:line="360" w:lineRule="auto"/>
        <w:ind w:firstLineChars="200" w:firstLine="420"/>
        <w:rPr>
          <w:rFonts w:ascii="宋体" w:eastAsia="宋体" w:hAnsi="宋体" w:cs="宋体"/>
          <w:sz w:val="21"/>
          <w:szCs w:val="21"/>
          <w:lang w:eastAsia="zh-CN"/>
        </w:rPr>
      </w:pPr>
      <w:r w:rsidRPr="00A00CD5">
        <w:rPr>
          <w:rFonts w:ascii="宋体" w:eastAsia="宋体" w:hAnsi="宋体" w:cs="宋体" w:hint="eastAsia"/>
          <w:sz w:val="21"/>
          <w:szCs w:val="21"/>
          <w:lang w:eastAsia="zh-CN"/>
        </w:rPr>
        <w:t>根据基金合同“第十八部分 基金的信息披露”之“五、公开披露的基金信息”的“（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六</w:t>
      </w:r>
      <w:r w:rsidRPr="00A00CD5">
        <w:rPr>
          <w:rFonts w:ascii="宋体" w:eastAsia="宋体" w:hAnsi="宋体" w:cs="宋体" w:hint="eastAsia"/>
          <w:sz w:val="21"/>
          <w:szCs w:val="21"/>
          <w:lang w:eastAsia="zh-CN"/>
        </w:rPr>
        <w:t>）临时报告”第</w:t>
      </w:r>
      <w:r>
        <w:rPr>
          <w:rFonts w:ascii="宋体" w:eastAsia="宋体" w:hAnsi="宋体" w:cs="宋体"/>
          <w:sz w:val="21"/>
          <w:szCs w:val="21"/>
          <w:lang w:eastAsia="zh-CN"/>
        </w:rPr>
        <w:t>26</w:t>
      </w:r>
      <w:r w:rsidRPr="00A00CD5">
        <w:rPr>
          <w:rFonts w:ascii="宋体" w:eastAsia="宋体" w:hAnsi="宋体" w:cs="宋体" w:hint="eastAsia"/>
          <w:sz w:val="21"/>
          <w:szCs w:val="21"/>
          <w:lang w:eastAsia="zh-CN"/>
        </w:rPr>
        <w:t>项的约定：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“</w:t>
      </w:r>
      <w:r w:rsidRPr="00A00CD5">
        <w:rPr>
          <w:rFonts w:ascii="宋体" w:eastAsia="宋体" w:hAnsi="宋体" w:cs="宋体" w:hint="eastAsia"/>
          <w:sz w:val="21"/>
          <w:szCs w:val="21"/>
          <w:lang w:eastAsia="zh-CN"/>
        </w:rPr>
        <w:t>本基金连续30、40、</w:t>
      </w:r>
      <w:r w:rsidR="00F1047A">
        <w:rPr>
          <w:rFonts w:ascii="宋体" w:eastAsia="宋体" w:hAnsi="宋体" w:cs="宋体" w:hint="eastAsia"/>
          <w:sz w:val="21"/>
          <w:szCs w:val="21"/>
          <w:lang w:eastAsia="zh-CN"/>
        </w:rPr>
        <w:t>45</w:t>
      </w:r>
      <w:r w:rsidRPr="00A00CD5">
        <w:rPr>
          <w:rFonts w:ascii="宋体" w:eastAsia="宋体" w:hAnsi="宋体" w:cs="宋体" w:hint="eastAsia"/>
          <w:sz w:val="21"/>
          <w:szCs w:val="21"/>
          <w:lang w:eastAsia="zh-CN"/>
        </w:rPr>
        <w:t>个工作日出现基金份额持有人数量不满 200 人或者基金资产净值低于</w:t>
      </w:r>
      <w:r w:rsidR="00F1047A">
        <w:rPr>
          <w:rFonts w:ascii="宋体" w:eastAsia="宋体" w:hAnsi="宋体" w:cs="宋体" w:hint="eastAsia"/>
          <w:sz w:val="21"/>
          <w:szCs w:val="21"/>
          <w:lang w:eastAsia="zh-CN"/>
        </w:rPr>
        <w:t>5000</w:t>
      </w:r>
      <w:r w:rsidRPr="00A00CD5">
        <w:rPr>
          <w:rFonts w:ascii="宋体" w:eastAsia="宋体" w:hAnsi="宋体" w:cs="宋体" w:hint="eastAsia"/>
          <w:sz w:val="21"/>
          <w:szCs w:val="21"/>
          <w:lang w:eastAsia="zh-CN"/>
        </w:rPr>
        <w:t>万元情形</w:t>
      </w:r>
      <w:r w:rsidR="007003D8">
        <w:rPr>
          <w:rFonts w:ascii="宋体" w:eastAsia="宋体" w:hAnsi="宋体" w:cs="宋体" w:hint="eastAsia"/>
          <w:sz w:val="21"/>
          <w:szCs w:val="21"/>
          <w:lang w:eastAsia="zh-CN"/>
        </w:rPr>
        <w:t>的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”，</w:t>
      </w:r>
      <w:r w:rsidR="0070477C">
        <w:rPr>
          <w:rFonts w:ascii="宋体" w:eastAsia="宋体" w:hAnsi="宋体" w:cs="宋体" w:hint="eastAsia"/>
          <w:sz w:val="21"/>
          <w:szCs w:val="21"/>
          <w:lang w:eastAsia="zh-CN"/>
        </w:rPr>
        <w:t>有关信息披露义务人</w:t>
      </w:r>
      <w:r w:rsidRPr="00A00CD5">
        <w:rPr>
          <w:rFonts w:ascii="宋体" w:eastAsia="宋体" w:hAnsi="宋体" w:cs="宋体" w:hint="eastAsia"/>
          <w:sz w:val="21"/>
          <w:szCs w:val="21"/>
          <w:lang w:eastAsia="zh-CN"/>
        </w:rPr>
        <w:t>应在</w:t>
      </w:r>
      <w:r w:rsidR="0070477C">
        <w:rPr>
          <w:rFonts w:ascii="宋体" w:eastAsia="宋体" w:hAnsi="宋体" w:cs="宋体" w:hint="eastAsia"/>
          <w:sz w:val="21"/>
          <w:szCs w:val="21"/>
          <w:lang w:eastAsia="zh-CN"/>
        </w:rPr>
        <w:t>2</w:t>
      </w:r>
      <w:r w:rsidRPr="00A00CD5">
        <w:rPr>
          <w:rFonts w:ascii="宋体" w:eastAsia="宋体" w:hAnsi="宋体" w:cs="宋体" w:hint="eastAsia"/>
          <w:sz w:val="21"/>
          <w:szCs w:val="21"/>
          <w:lang w:eastAsia="zh-CN"/>
        </w:rPr>
        <w:t>日内编制临时报告书，并登载在规定报刊和规定网站上。</w:t>
      </w:r>
    </w:p>
    <w:p w:rsidR="00A00CD5" w:rsidRPr="00A00CD5" w:rsidRDefault="00A00CD5" w:rsidP="0070477C">
      <w:pPr>
        <w:spacing w:after="0" w:line="360" w:lineRule="auto"/>
        <w:ind w:firstLineChars="200" w:firstLine="420"/>
        <w:rPr>
          <w:rFonts w:ascii="宋体" w:eastAsia="宋体" w:hAnsi="宋体" w:cs="宋体"/>
          <w:sz w:val="21"/>
          <w:szCs w:val="21"/>
          <w:lang w:eastAsia="zh-CN"/>
        </w:rPr>
      </w:pPr>
      <w:r w:rsidRPr="00A00CD5">
        <w:rPr>
          <w:rFonts w:ascii="宋体" w:eastAsia="宋体" w:hAnsi="宋体" w:cs="宋体" w:hint="eastAsia"/>
          <w:sz w:val="21"/>
          <w:szCs w:val="21"/>
          <w:lang w:eastAsia="zh-CN"/>
        </w:rPr>
        <w:t>截至</w:t>
      </w:r>
      <w:r w:rsidR="0070477C">
        <w:rPr>
          <w:rFonts w:ascii="宋体" w:eastAsia="宋体" w:hAnsi="宋体" w:cs="宋体" w:hint="eastAsia"/>
          <w:sz w:val="21"/>
          <w:szCs w:val="21"/>
          <w:lang w:eastAsia="zh-CN"/>
        </w:rPr>
        <w:t>202</w:t>
      </w:r>
      <w:r w:rsidR="00FC7FC8">
        <w:rPr>
          <w:rFonts w:ascii="宋体" w:eastAsia="宋体" w:hAnsi="宋体" w:cs="宋体"/>
          <w:sz w:val="21"/>
          <w:szCs w:val="21"/>
          <w:lang w:eastAsia="zh-CN"/>
        </w:rPr>
        <w:t>4</w:t>
      </w:r>
      <w:r w:rsidRPr="00A00CD5">
        <w:rPr>
          <w:rFonts w:ascii="宋体" w:eastAsia="宋体" w:hAnsi="宋体" w:cs="宋体" w:hint="eastAsia"/>
          <w:sz w:val="21"/>
          <w:szCs w:val="21"/>
          <w:lang w:eastAsia="zh-CN"/>
        </w:rPr>
        <w:t>年</w:t>
      </w:r>
      <w:r w:rsidR="0081702A">
        <w:rPr>
          <w:rFonts w:ascii="宋体" w:eastAsia="宋体" w:hAnsi="宋体" w:cs="宋体"/>
          <w:sz w:val="21"/>
          <w:szCs w:val="21"/>
          <w:lang w:eastAsia="zh-CN"/>
        </w:rPr>
        <w:t>2</w:t>
      </w:r>
      <w:r w:rsidRPr="00A00CD5">
        <w:rPr>
          <w:rFonts w:ascii="宋体" w:eastAsia="宋体" w:hAnsi="宋体" w:cs="宋体" w:hint="eastAsia"/>
          <w:sz w:val="21"/>
          <w:szCs w:val="21"/>
          <w:lang w:eastAsia="zh-CN"/>
        </w:rPr>
        <w:t>月</w:t>
      </w:r>
      <w:r w:rsidR="0081702A">
        <w:rPr>
          <w:rFonts w:ascii="宋体" w:eastAsia="宋体" w:hAnsi="宋体" w:cs="宋体"/>
          <w:sz w:val="21"/>
          <w:szCs w:val="21"/>
          <w:lang w:eastAsia="zh-CN"/>
        </w:rPr>
        <w:t>1</w:t>
      </w:r>
      <w:r w:rsidRPr="00A00CD5">
        <w:rPr>
          <w:rFonts w:ascii="宋体" w:eastAsia="宋体" w:hAnsi="宋体" w:cs="宋体" w:hint="eastAsia"/>
          <w:sz w:val="21"/>
          <w:szCs w:val="21"/>
          <w:lang w:eastAsia="zh-CN"/>
        </w:rPr>
        <w:t>日日终，本基金已连续</w:t>
      </w:r>
      <w:r w:rsidR="007B00BB">
        <w:rPr>
          <w:rFonts w:ascii="宋体" w:eastAsia="宋体" w:hAnsi="宋体" w:cs="宋体"/>
          <w:sz w:val="21"/>
          <w:szCs w:val="21"/>
          <w:lang w:eastAsia="zh-CN"/>
        </w:rPr>
        <w:t>4</w:t>
      </w:r>
      <w:r w:rsidR="0081702A">
        <w:rPr>
          <w:rFonts w:ascii="宋体" w:eastAsia="宋体" w:hAnsi="宋体" w:cs="宋体"/>
          <w:sz w:val="21"/>
          <w:szCs w:val="21"/>
          <w:lang w:eastAsia="zh-CN"/>
        </w:rPr>
        <w:t>5</w:t>
      </w:r>
      <w:r w:rsidRPr="00A00CD5">
        <w:rPr>
          <w:rFonts w:ascii="宋体" w:eastAsia="宋体" w:hAnsi="宋体" w:cs="宋体" w:hint="eastAsia"/>
          <w:sz w:val="21"/>
          <w:szCs w:val="21"/>
          <w:lang w:eastAsia="zh-CN"/>
        </w:rPr>
        <w:t>个</w:t>
      </w:r>
      <w:bookmarkStart w:id="0" w:name="_GoBack"/>
      <w:bookmarkEnd w:id="0"/>
      <w:r w:rsidRPr="00A00CD5">
        <w:rPr>
          <w:rFonts w:ascii="宋体" w:eastAsia="宋体" w:hAnsi="宋体" w:cs="宋体" w:hint="eastAsia"/>
          <w:sz w:val="21"/>
          <w:szCs w:val="21"/>
          <w:lang w:eastAsia="zh-CN"/>
        </w:rPr>
        <w:t>工作日基金资产净值低于</w:t>
      </w:r>
      <w:r w:rsidR="0070477C">
        <w:rPr>
          <w:rFonts w:ascii="宋体" w:eastAsia="宋体" w:hAnsi="宋体" w:cs="宋体" w:hint="eastAsia"/>
          <w:sz w:val="21"/>
          <w:szCs w:val="21"/>
          <w:lang w:eastAsia="zh-CN"/>
        </w:rPr>
        <w:t>5000</w:t>
      </w:r>
      <w:r w:rsidRPr="00A00CD5">
        <w:rPr>
          <w:rFonts w:ascii="宋体" w:eastAsia="宋体" w:hAnsi="宋体" w:cs="宋体" w:hint="eastAsia"/>
          <w:sz w:val="21"/>
          <w:szCs w:val="21"/>
          <w:lang w:eastAsia="zh-CN"/>
        </w:rPr>
        <w:t>万元，特此提示。</w:t>
      </w:r>
    </w:p>
    <w:p w:rsidR="00A00CD5" w:rsidRPr="00A00CD5" w:rsidRDefault="00A00CD5" w:rsidP="00A00CD5">
      <w:pPr>
        <w:spacing w:after="0" w:line="360" w:lineRule="auto"/>
        <w:ind w:firstLineChars="200" w:firstLine="420"/>
        <w:rPr>
          <w:rFonts w:ascii="宋体" w:eastAsia="宋体" w:hAnsi="宋体" w:cs="宋体"/>
          <w:sz w:val="21"/>
          <w:szCs w:val="21"/>
          <w:lang w:eastAsia="zh-CN"/>
        </w:rPr>
      </w:pPr>
      <w:r w:rsidRPr="00A00CD5">
        <w:rPr>
          <w:rFonts w:ascii="宋体" w:eastAsia="宋体" w:hAnsi="宋体" w:cs="宋体" w:hint="eastAsia"/>
          <w:sz w:val="21"/>
          <w:szCs w:val="21"/>
          <w:lang w:eastAsia="zh-CN"/>
        </w:rPr>
        <w:t xml:space="preserve"> 三、其他需要提示的事项</w:t>
      </w:r>
    </w:p>
    <w:p w:rsidR="0070477C" w:rsidRPr="0070477C" w:rsidRDefault="0070477C" w:rsidP="0070477C">
      <w:pPr>
        <w:spacing w:after="0" w:line="360" w:lineRule="auto"/>
        <w:ind w:firstLineChars="200" w:firstLine="420"/>
        <w:rPr>
          <w:rFonts w:ascii="宋体" w:eastAsia="宋体" w:hAnsi="宋体" w:cs="宋体"/>
          <w:sz w:val="21"/>
          <w:szCs w:val="21"/>
          <w:lang w:eastAsia="zh-CN"/>
        </w:rPr>
      </w:pPr>
      <w:r w:rsidRPr="0070477C">
        <w:rPr>
          <w:rFonts w:ascii="宋体" w:eastAsia="宋体" w:hAnsi="宋体" w:cs="宋体" w:hint="eastAsia"/>
          <w:sz w:val="21"/>
          <w:szCs w:val="21"/>
          <w:lang w:eastAsia="zh-CN"/>
        </w:rPr>
        <w:t>1、若出现触发《基金合同》终止的情形，基金管理人将根据相关法律法规、《基金合同》等规定成立基金财产清算小组，履行基金财产清算程序。本基金进入清算程序后将不再开放办理申购、赎回、转换等业务。敬请投资者予以关注。</w:t>
      </w:r>
    </w:p>
    <w:p w:rsidR="0070477C" w:rsidRPr="0070477C" w:rsidRDefault="0070477C" w:rsidP="0070477C">
      <w:pPr>
        <w:spacing w:after="0" w:line="360" w:lineRule="auto"/>
        <w:ind w:firstLineChars="200" w:firstLine="420"/>
        <w:rPr>
          <w:rFonts w:ascii="宋体" w:eastAsia="宋体" w:hAnsi="宋体" w:cs="宋体"/>
          <w:sz w:val="21"/>
          <w:szCs w:val="21"/>
          <w:lang w:eastAsia="zh-CN"/>
        </w:rPr>
      </w:pPr>
      <w:r w:rsidRPr="0070477C">
        <w:rPr>
          <w:rFonts w:ascii="宋体" w:eastAsia="宋体" w:hAnsi="宋体" w:cs="宋体" w:hint="eastAsia"/>
          <w:sz w:val="21"/>
          <w:szCs w:val="21"/>
          <w:lang w:eastAsia="zh-CN"/>
        </w:rPr>
        <w:t>2、投资者欲了解本基金的详细情况，请认真阅读本基金《基金合同》、《招募说明书》等基金法律文件。</w:t>
      </w:r>
    </w:p>
    <w:p w:rsidR="00A00CD5" w:rsidRPr="0070477C" w:rsidRDefault="0070477C" w:rsidP="0070477C">
      <w:pPr>
        <w:spacing w:after="0" w:line="360" w:lineRule="auto"/>
        <w:ind w:firstLineChars="200" w:firstLine="420"/>
        <w:rPr>
          <w:rFonts w:ascii="宋体" w:eastAsia="宋体" w:hAnsi="宋体" w:cs="宋体"/>
          <w:sz w:val="21"/>
          <w:szCs w:val="21"/>
          <w:lang w:eastAsia="zh-CN"/>
        </w:rPr>
      </w:pPr>
      <w:r w:rsidRPr="0070477C">
        <w:rPr>
          <w:rFonts w:ascii="宋体" w:eastAsia="宋体" w:hAnsi="宋体" w:cs="宋体" w:hint="eastAsia"/>
          <w:sz w:val="21"/>
          <w:szCs w:val="21"/>
          <w:lang w:eastAsia="zh-CN"/>
        </w:rPr>
        <w:lastRenderedPageBreak/>
        <w:t>3、本公告的解释权归</w:t>
      </w:r>
      <w:r w:rsidR="00F74712">
        <w:rPr>
          <w:rFonts w:ascii="宋体" w:eastAsia="宋体" w:hAnsi="宋体" w:cs="宋体" w:hint="eastAsia"/>
          <w:sz w:val="21"/>
          <w:szCs w:val="21"/>
          <w:lang w:eastAsia="zh-CN"/>
        </w:rPr>
        <w:t>鹏扬</w:t>
      </w:r>
      <w:r w:rsidRPr="0070477C">
        <w:rPr>
          <w:rFonts w:ascii="宋体" w:eastAsia="宋体" w:hAnsi="宋体" w:cs="宋体" w:hint="eastAsia"/>
          <w:sz w:val="21"/>
          <w:szCs w:val="21"/>
          <w:lang w:eastAsia="zh-CN"/>
        </w:rPr>
        <w:t>基金管理有限公司所有。投资者可以登录</w:t>
      </w:r>
      <w:r w:rsidR="00F74712">
        <w:rPr>
          <w:rFonts w:ascii="宋体" w:eastAsia="宋体" w:hAnsi="宋体" w:cs="宋体" w:hint="eastAsia"/>
          <w:sz w:val="21"/>
          <w:szCs w:val="21"/>
          <w:lang w:eastAsia="zh-CN"/>
        </w:rPr>
        <w:t>鹏扬</w:t>
      </w:r>
      <w:r w:rsidRPr="0070477C">
        <w:rPr>
          <w:rFonts w:ascii="宋体" w:eastAsia="宋体" w:hAnsi="宋体" w:cs="宋体" w:hint="eastAsia"/>
          <w:sz w:val="21"/>
          <w:szCs w:val="21"/>
          <w:lang w:eastAsia="zh-CN"/>
        </w:rPr>
        <w:t>基金管理有限公司网站（</w:t>
      </w:r>
      <w:r w:rsidRPr="0070477C">
        <w:rPr>
          <w:rFonts w:ascii="宋体" w:eastAsia="宋体" w:hAnsi="宋体" w:cs="宋体"/>
          <w:sz w:val="21"/>
          <w:szCs w:val="21"/>
          <w:lang w:eastAsia="zh-CN"/>
        </w:rPr>
        <w:t>www.pyamc.com</w:t>
      </w:r>
      <w:r w:rsidRPr="0070477C">
        <w:rPr>
          <w:rFonts w:ascii="宋体" w:eastAsia="宋体" w:hAnsi="宋体" w:cs="宋体" w:hint="eastAsia"/>
          <w:sz w:val="21"/>
          <w:szCs w:val="21"/>
          <w:lang w:eastAsia="zh-CN"/>
        </w:rPr>
        <w:t>）或拨打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鹏扬</w:t>
      </w:r>
      <w:r w:rsidRPr="0070477C">
        <w:rPr>
          <w:rFonts w:ascii="宋体" w:eastAsia="宋体" w:hAnsi="宋体" w:cs="宋体" w:hint="eastAsia"/>
          <w:sz w:val="21"/>
          <w:szCs w:val="21"/>
          <w:lang w:eastAsia="zh-CN"/>
        </w:rPr>
        <w:t>基金管理有限公司客服热线</w:t>
      </w:r>
      <w:r w:rsidRPr="0070477C">
        <w:rPr>
          <w:rFonts w:ascii="宋体" w:eastAsia="宋体" w:hAnsi="宋体" w:cs="宋体"/>
          <w:sz w:val="21"/>
          <w:szCs w:val="21"/>
          <w:lang w:eastAsia="zh-CN"/>
        </w:rPr>
        <w:t>400-968-6688</w:t>
      </w:r>
      <w:r w:rsidRPr="0070477C">
        <w:rPr>
          <w:rFonts w:ascii="宋体" w:eastAsia="宋体" w:hAnsi="宋体" w:cs="宋体" w:hint="eastAsia"/>
          <w:sz w:val="21"/>
          <w:szCs w:val="21"/>
          <w:lang w:eastAsia="zh-CN"/>
        </w:rPr>
        <w:t>（国内免长途话费）咨询相关情况。</w:t>
      </w:r>
    </w:p>
    <w:p w:rsidR="00580BE5" w:rsidRDefault="0070477C" w:rsidP="00965166">
      <w:pPr>
        <w:spacing w:beforeLines="50" w:after="0" w:line="360" w:lineRule="auto"/>
        <w:ind w:firstLineChars="200" w:firstLine="420"/>
        <w:outlineLvl w:val="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eastAsia="zh-CN"/>
        </w:rPr>
        <w:t>三</w:t>
      </w:r>
      <w:r w:rsidR="00DF1462">
        <w:rPr>
          <w:rFonts w:ascii="宋体" w:eastAsia="宋体" w:hAnsi="宋体" w:cs="宋体" w:hint="eastAsia"/>
          <w:sz w:val="21"/>
          <w:szCs w:val="21"/>
          <w:lang w:eastAsia="zh-CN"/>
        </w:rPr>
        <w:t>、风险提示</w:t>
      </w:r>
    </w:p>
    <w:p w:rsidR="00580BE5" w:rsidRDefault="00DF1462">
      <w:pPr>
        <w:widowControl/>
        <w:shd w:val="clear" w:color="auto" w:fill="FFFFFF"/>
        <w:spacing w:line="360" w:lineRule="auto"/>
        <w:ind w:firstLine="420"/>
        <w:rPr>
          <w:rFonts w:ascii="Times New Roman" w:hAnsi="Times New Roman" w:cs="Times New Roman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eastAsia="zh-CN"/>
        </w:rPr>
        <w:t>本公司承诺以诚实信用、勤勉尽责的原则管理和运用基金资产，但不保证基金一定盈利，也不保证最低收益。基金的过往业绩及其净值高低并不预示其未来业绩表现。销售机构根据法规要求对投资者类别、风险承受能力和基金的风险等级进行划分，并提出适当性匹配意见。投资者投资本公司管理的基金时，应认真阅读基金合同、招募说明书（更新）、产品资料概要（更新）等法律文件，全面认识基金的风险收益特征和产品特性，在了解产品情况、听取销售机构适当性匹配意见的基础上，充分考虑自身的风险承受能力、投资期限和投资目标，理性判断市场，谨慎做出投资决策。基金管理人提醒投资者基金投资的“买者自负”原则，在做出投资决策后，基金运营状况与基金净值变化引致的投资风险，由投资者自行负担。请投资者严格遵守反洗钱相关法律法规的规定，切实履行反洗钱义务。</w:t>
      </w:r>
    </w:p>
    <w:p w:rsidR="00580BE5" w:rsidRDefault="00DF1462">
      <w:pPr>
        <w:pStyle w:val="a8"/>
        <w:spacing w:before="0" w:beforeAutospacing="0" w:after="0" w:afterAutospacing="0" w:line="360" w:lineRule="atLeast"/>
        <w:ind w:firstLineChars="200" w:firstLine="420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特此公告</w:t>
      </w:r>
      <w:r>
        <w:rPr>
          <w:rFonts w:cs="Times New Roman" w:hint="eastAsia"/>
          <w:color w:val="000000"/>
          <w:sz w:val="21"/>
          <w:szCs w:val="21"/>
        </w:rPr>
        <w:t>。</w:t>
      </w:r>
    </w:p>
    <w:p w:rsidR="00580BE5" w:rsidRDefault="00DF1462">
      <w:pPr>
        <w:pStyle w:val="a8"/>
        <w:spacing w:before="0" w:beforeAutospacing="0" w:after="0" w:afterAutospacing="0" w:line="360" w:lineRule="atLeast"/>
        <w:ind w:firstLineChars="200" w:firstLine="420"/>
        <w:jc w:val="right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鹏扬基金管理有限公司</w:t>
      </w:r>
    </w:p>
    <w:p w:rsidR="00580BE5" w:rsidRDefault="00471933" w:rsidP="00471933">
      <w:pPr>
        <w:pStyle w:val="a8"/>
        <w:wordWrap w:val="0"/>
        <w:spacing w:before="0" w:beforeAutospacing="0" w:after="0" w:afterAutospacing="0" w:line="360" w:lineRule="atLeast"/>
        <w:ind w:firstLineChars="200" w:firstLine="420"/>
        <w:jc w:val="right"/>
        <w:rPr>
          <w:rFonts w:cs="Times New Roman"/>
          <w:color w:val="000000"/>
          <w:sz w:val="21"/>
          <w:szCs w:val="21"/>
        </w:rPr>
      </w:pPr>
      <w:r>
        <w:rPr>
          <w:rFonts w:cs="Times New Roman" w:hint="eastAsia"/>
          <w:color w:val="000000"/>
          <w:sz w:val="21"/>
          <w:szCs w:val="21"/>
        </w:rPr>
        <w:t>2</w:t>
      </w:r>
      <w:r>
        <w:rPr>
          <w:rFonts w:cs="Times New Roman"/>
          <w:color w:val="000000"/>
          <w:sz w:val="21"/>
          <w:szCs w:val="21"/>
        </w:rPr>
        <w:t>02</w:t>
      </w:r>
      <w:r w:rsidR="00FC7FC8">
        <w:rPr>
          <w:rFonts w:cs="Times New Roman"/>
          <w:color w:val="000000"/>
          <w:sz w:val="21"/>
          <w:szCs w:val="21"/>
        </w:rPr>
        <w:t>4</w:t>
      </w:r>
      <w:r w:rsidR="00DF1462">
        <w:rPr>
          <w:rFonts w:cs="Times New Roman"/>
          <w:color w:val="000000"/>
          <w:sz w:val="21"/>
          <w:szCs w:val="21"/>
        </w:rPr>
        <w:t>年</w:t>
      </w:r>
      <w:r w:rsidR="0081702A">
        <w:rPr>
          <w:rFonts w:cs="Times New Roman"/>
          <w:color w:val="000000"/>
          <w:sz w:val="21"/>
          <w:szCs w:val="21"/>
        </w:rPr>
        <w:t>2</w:t>
      </w:r>
      <w:r w:rsidR="00DF1462">
        <w:rPr>
          <w:rFonts w:cs="Times New Roman" w:hint="eastAsia"/>
          <w:color w:val="000000"/>
          <w:sz w:val="21"/>
          <w:szCs w:val="21"/>
        </w:rPr>
        <w:t>月</w:t>
      </w:r>
      <w:r w:rsidR="0081702A">
        <w:rPr>
          <w:rFonts w:cs="Times New Roman"/>
          <w:color w:val="000000"/>
          <w:sz w:val="21"/>
          <w:szCs w:val="21"/>
        </w:rPr>
        <w:t>3</w:t>
      </w:r>
      <w:r w:rsidR="00DF1462">
        <w:rPr>
          <w:rFonts w:cs="Times New Roman"/>
          <w:color w:val="000000"/>
          <w:sz w:val="21"/>
          <w:szCs w:val="21"/>
        </w:rPr>
        <w:t>日</w:t>
      </w:r>
      <w:r>
        <w:rPr>
          <w:rFonts w:cs="Times New Roman" w:hint="eastAsia"/>
          <w:color w:val="000000"/>
          <w:sz w:val="21"/>
          <w:szCs w:val="21"/>
        </w:rPr>
        <w:t xml:space="preserve"> </w:t>
      </w:r>
      <w:r>
        <w:rPr>
          <w:rFonts w:cs="Times New Roman"/>
          <w:color w:val="000000"/>
          <w:sz w:val="21"/>
          <w:szCs w:val="21"/>
        </w:rPr>
        <w:t xml:space="preserve">  </w:t>
      </w:r>
    </w:p>
    <w:sectPr w:rsidR="00580BE5" w:rsidSect="00EB4924">
      <w:type w:val="continuous"/>
      <w:pgSz w:w="11920" w:h="16840"/>
      <w:pgMar w:top="1559" w:right="1678" w:bottom="1134" w:left="167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62F" w:rsidRDefault="000C662F">
      <w:pPr>
        <w:spacing w:line="240" w:lineRule="auto"/>
      </w:pPr>
      <w:r>
        <w:separator/>
      </w:r>
    </w:p>
  </w:endnote>
  <w:endnote w:type="continuationSeparator" w:id="0">
    <w:p w:rsidR="000C662F" w:rsidRDefault="000C662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62F" w:rsidRDefault="000C662F">
      <w:pPr>
        <w:spacing w:after="0"/>
      </w:pPr>
      <w:r>
        <w:separator/>
      </w:r>
    </w:p>
  </w:footnote>
  <w:footnote w:type="continuationSeparator" w:id="0">
    <w:p w:rsidR="000C662F" w:rsidRDefault="000C662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A331D"/>
    <w:multiLevelType w:val="multilevel"/>
    <w:tmpl w:val="5A3A331D"/>
    <w:lvl w:ilvl="0">
      <w:start w:val="1"/>
      <w:numFmt w:val="decimal"/>
      <w:lvlText w:val="%1."/>
      <w:lvlJc w:val="left"/>
      <w:pPr>
        <w:ind w:left="935" w:hanging="420"/>
      </w:pPr>
    </w:lvl>
    <w:lvl w:ilvl="1">
      <w:start w:val="1"/>
      <w:numFmt w:val="lowerLetter"/>
      <w:lvlText w:val="%2)"/>
      <w:lvlJc w:val="left"/>
      <w:pPr>
        <w:ind w:left="1355" w:hanging="420"/>
      </w:pPr>
    </w:lvl>
    <w:lvl w:ilvl="2">
      <w:start w:val="1"/>
      <w:numFmt w:val="lowerRoman"/>
      <w:lvlText w:val="%3."/>
      <w:lvlJc w:val="right"/>
      <w:pPr>
        <w:ind w:left="1775" w:hanging="420"/>
      </w:pPr>
    </w:lvl>
    <w:lvl w:ilvl="3">
      <w:start w:val="1"/>
      <w:numFmt w:val="decimal"/>
      <w:lvlText w:val="%4."/>
      <w:lvlJc w:val="left"/>
      <w:pPr>
        <w:ind w:left="2195" w:hanging="420"/>
      </w:pPr>
    </w:lvl>
    <w:lvl w:ilvl="4">
      <w:start w:val="1"/>
      <w:numFmt w:val="lowerLetter"/>
      <w:lvlText w:val="%5)"/>
      <w:lvlJc w:val="left"/>
      <w:pPr>
        <w:ind w:left="2615" w:hanging="420"/>
      </w:pPr>
    </w:lvl>
    <w:lvl w:ilvl="5">
      <w:start w:val="1"/>
      <w:numFmt w:val="lowerRoman"/>
      <w:lvlText w:val="%6."/>
      <w:lvlJc w:val="right"/>
      <w:pPr>
        <w:ind w:left="3035" w:hanging="420"/>
      </w:pPr>
    </w:lvl>
    <w:lvl w:ilvl="6">
      <w:start w:val="1"/>
      <w:numFmt w:val="decimal"/>
      <w:lvlText w:val="%7."/>
      <w:lvlJc w:val="left"/>
      <w:pPr>
        <w:ind w:left="3455" w:hanging="420"/>
      </w:pPr>
    </w:lvl>
    <w:lvl w:ilvl="7">
      <w:start w:val="1"/>
      <w:numFmt w:val="lowerLetter"/>
      <w:lvlText w:val="%8)"/>
      <w:lvlJc w:val="left"/>
      <w:pPr>
        <w:ind w:left="3875" w:hanging="420"/>
      </w:pPr>
    </w:lvl>
    <w:lvl w:ilvl="8">
      <w:start w:val="1"/>
      <w:numFmt w:val="lowerRoman"/>
      <w:lvlText w:val="%9."/>
      <w:lvlJc w:val="right"/>
      <w:pPr>
        <w:ind w:left="429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ulTrailSpace/>
    <w:doNotExpandShiftReturn/>
    <w:adjustLineHeightInTable/>
    <w:useFELayout/>
  </w:compat>
  <w:docVars>
    <w:docVar w:name="commondata" w:val="eyJoZGlkIjoiMDgzMDQzMGY1NDY1ZGQzNWEwZDFkYzkwNmRiN2M5ODIifQ=="/>
  </w:docVars>
  <w:rsids>
    <w:rsidRoot w:val="00133F02"/>
    <w:rsid w:val="00001C85"/>
    <w:rsid w:val="00016025"/>
    <w:rsid w:val="00040675"/>
    <w:rsid w:val="000534B0"/>
    <w:rsid w:val="000546AC"/>
    <w:rsid w:val="000549EB"/>
    <w:rsid w:val="000625AC"/>
    <w:rsid w:val="000626CE"/>
    <w:rsid w:val="00070A3B"/>
    <w:rsid w:val="00081CD2"/>
    <w:rsid w:val="000903D1"/>
    <w:rsid w:val="00090C2E"/>
    <w:rsid w:val="00090CB1"/>
    <w:rsid w:val="000B469E"/>
    <w:rsid w:val="000B6C69"/>
    <w:rsid w:val="000C662F"/>
    <w:rsid w:val="000D2BC9"/>
    <w:rsid w:val="000D7A78"/>
    <w:rsid w:val="000D7A7C"/>
    <w:rsid w:val="000F09D6"/>
    <w:rsid w:val="000F5A37"/>
    <w:rsid w:val="001032D0"/>
    <w:rsid w:val="00105015"/>
    <w:rsid w:val="00106E86"/>
    <w:rsid w:val="001154D0"/>
    <w:rsid w:val="00115A02"/>
    <w:rsid w:val="001201FC"/>
    <w:rsid w:val="001232E7"/>
    <w:rsid w:val="00133F02"/>
    <w:rsid w:val="00135203"/>
    <w:rsid w:val="00136C75"/>
    <w:rsid w:val="00137905"/>
    <w:rsid w:val="00144CFF"/>
    <w:rsid w:val="001457B6"/>
    <w:rsid w:val="00177788"/>
    <w:rsid w:val="001777DF"/>
    <w:rsid w:val="001844FB"/>
    <w:rsid w:val="00190952"/>
    <w:rsid w:val="001932F0"/>
    <w:rsid w:val="00194BD2"/>
    <w:rsid w:val="001A0EAC"/>
    <w:rsid w:val="001A506E"/>
    <w:rsid w:val="001A6E18"/>
    <w:rsid w:val="001B13EB"/>
    <w:rsid w:val="001B2ED6"/>
    <w:rsid w:val="001C1297"/>
    <w:rsid w:val="001C27BA"/>
    <w:rsid w:val="001C3422"/>
    <w:rsid w:val="001C697C"/>
    <w:rsid w:val="001F1FD3"/>
    <w:rsid w:val="001F3A71"/>
    <w:rsid w:val="001F4462"/>
    <w:rsid w:val="00217766"/>
    <w:rsid w:val="00222184"/>
    <w:rsid w:val="002236AC"/>
    <w:rsid w:val="002241C3"/>
    <w:rsid w:val="002244A1"/>
    <w:rsid w:val="002360FB"/>
    <w:rsid w:val="002362D9"/>
    <w:rsid w:val="0024428A"/>
    <w:rsid w:val="002556C7"/>
    <w:rsid w:val="002671A5"/>
    <w:rsid w:val="0027204F"/>
    <w:rsid w:val="0029408D"/>
    <w:rsid w:val="00296976"/>
    <w:rsid w:val="002B116C"/>
    <w:rsid w:val="002B2370"/>
    <w:rsid w:val="002C0E6B"/>
    <w:rsid w:val="002C265B"/>
    <w:rsid w:val="003060A1"/>
    <w:rsid w:val="003072E1"/>
    <w:rsid w:val="00316490"/>
    <w:rsid w:val="00325F06"/>
    <w:rsid w:val="00341532"/>
    <w:rsid w:val="00344D34"/>
    <w:rsid w:val="00354D36"/>
    <w:rsid w:val="0036192F"/>
    <w:rsid w:val="0036483B"/>
    <w:rsid w:val="00364FEE"/>
    <w:rsid w:val="00365469"/>
    <w:rsid w:val="00371D62"/>
    <w:rsid w:val="00372AA7"/>
    <w:rsid w:val="00374569"/>
    <w:rsid w:val="003750E3"/>
    <w:rsid w:val="00377AF0"/>
    <w:rsid w:val="003842DF"/>
    <w:rsid w:val="00384835"/>
    <w:rsid w:val="00391E9A"/>
    <w:rsid w:val="00394A64"/>
    <w:rsid w:val="003A249C"/>
    <w:rsid w:val="003B089A"/>
    <w:rsid w:val="003B13FC"/>
    <w:rsid w:val="003B274E"/>
    <w:rsid w:val="003C2BD5"/>
    <w:rsid w:val="003C2CB2"/>
    <w:rsid w:val="003C48E0"/>
    <w:rsid w:val="003E408C"/>
    <w:rsid w:val="003E64AE"/>
    <w:rsid w:val="003F0470"/>
    <w:rsid w:val="003F109B"/>
    <w:rsid w:val="003F7AEC"/>
    <w:rsid w:val="004016B9"/>
    <w:rsid w:val="00410FF2"/>
    <w:rsid w:val="00413B55"/>
    <w:rsid w:val="00426502"/>
    <w:rsid w:val="00443E30"/>
    <w:rsid w:val="004526ED"/>
    <w:rsid w:val="00453FD1"/>
    <w:rsid w:val="004551CA"/>
    <w:rsid w:val="00460BC3"/>
    <w:rsid w:val="004636A3"/>
    <w:rsid w:val="00466553"/>
    <w:rsid w:val="00471933"/>
    <w:rsid w:val="00485BEA"/>
    <w:rsid w:val="004A4B0C"/>
    <w:rsid w:val="004A4E2F"/>
    <w:rsid w:val="004A6A48"/>
    <w:rsid w:val="004B3451"/>
    <w:rsid w:val="004C75F6"/>
    <w:rsid w:val="004E02D0"/>
    <w:rsid w:val="004E0635"/>
    <w:rsid w:val="004E3D6C"/>
    <w:rsid w:val="004F6575"/>
    <w:rsid w:val="005030B1"/>
    <w:rsid w:val="00504E48"/>
    <w:rsid w:val="00514053"/>
    <w:rsid w:val="00524005"/>
    <w:rsid w:val="005311B4"/>
    <w:rsid w:val="005524E4"/>
    <w:rsid w:val="005532E9"/>
    <w:rsid w:val="00554160"/>
    <w:rsid w:val="00563541"/>
    <w:rsid w:val="00566940"/>
    <w:rsid w:val="0056709B"/>
    <w:rsid w:val="00573648"/>
    <w:rsid w:val="00573F23"/>
    <w:rsid w:val="00577045"/>
    <w:rsid w:val="00577B20"/>
    <w:rsid w:val="00580BE5"/>
    <w:rsid w:val="0058448C"/>
    <w:rsid w:val="005C1A02"/>
    <w:rsid w:val="005C44FD"/>
    <w:rsid w:val="005C7330"/>
    <w:rsid w:val="005D3F4A"/>
    <w:rsid w:val="005F03D6"/>
    <w:rsid w:val="005F3224"/>
    <w:rsid w:val="005F3840"/>
    <w:rsid w:val="005F52CF"/>
    <w:rsid w:val="005F7899"/>
    <w:rsid w:val="00605A44"/>
    <w:rsid w:val="006224B7"/>
    <w:rsid w:val="0062322A"/>
    <w:rsid w:val="00625B75"/>
    <w:rsid w:val="00626C08"/>
    <w:rsid w:val="0063000E"/>
    <w:rsid w:val="00634A86"/>
    <w:rsid w:val="00641D62"/>
    <w:rsid w:val="00645D6E"/>
    <w:rsid w:val="00666EB0"/>
    <w:rsid w:val="00672237"/>
    <w:rsid w:val="00684C61"/>
    <w:rsid w:val="00687C83"/>
    <w:rsid w:val="00690259"/>
    <w:rsid w:val="00690B42"/>
    <w:rsid w:val="00691A73"/>
    <w:rsid w:val="0069611E"/>
    <w:rsid w:val="006966FF"/>
    <w:rsid w:val="006A00F1"/>
    <w:rsid w:val="006A4F59"/>
    <w:rsid w:val="006A65F7"/>
    <w:rsid w:val="006A71F2"/>
    <w:rsid w:val="006B1459"/>
    <w:rsid w:val="006B573D"/>
    <w:rsid w:val="006C1D60"/>
    <w:rsid w:val="006C3F55"/>
    <w:rsid w:val="006C54B2"/>
    <w:rsid w:val="006D6181"/>
    <w:rsid w:val="006D6281"/>
    <w:rsid w:val="006E2B77"/>
    <w:rsid w:val="006E46AF"/>
    <w:rsid w:val="006E7547"/>
    <w:rsid w:val="006F0E52"/>
    <w:rsid w:val="006F1AE0"/>
    <w:rsid w:val="006F1D89"/>
    <w:rsid w:val="007003D8"/>
    <w:rsid w:val="0070477C"/>
    <w:rsid w:val="00704E11"/>
    <w:rsid w:val="007126CD"/>
    <w:rsid w:val="00720257"/>
    <w:rsid w:val="00726E10"/>
    <w:rsid w:val="0072790E"/>
    <w:rsid w:val="00744672"/>
    <w:rsid w:val="00750867"/>
    <w:rsid w:val="00760ACB"/>
    <w:rsid w:val="00763444"/>
    <w:rsid w:val="00781CEE"/>
    <w:rsid w:val="00794E89"/>
    <w:rsid w:val="007A071F"/>
    <w:rsid w:val="007A63C4"/>
    <w:rsid w:val="007A778A"/>
    <w:rsid w:val="007B00BB"/>
    <w:rsid w:val="007B3BD7"/>
    <w:rsid w:val="007C2892"/>
    <w:rsid w:val="007C6829"/>
    <w:rsid w:val="007D4D9A"/>
    <w:rsid w:val="007D55B4"/>
    <w:rsid w:val="007E11FD"/>
    <w:rsid w:val="007E6A29"/>
    <w:rsid w:val="007F03A8"/>
    <w:rsid w:val="007F1187"/>
    <w:rsid w:val="007F34CD"/>
    <w:rsid w:val="00802157"/>
    <w:rsid w:val="008058B2"/>
    <w:rsid w:val="00805E1A"/>
    <w:rsid w:val="008073DB"/>
    <w:rsid w:val="00813F95"/>
    <w:rsid w:val="0081702A"/>
    <w:rsid w:val="00831C09"/>
    <w:rsid w:val="00833B5E"/>
    <w:rsid w:val="00840E5A"/>
    <w:rsid w:val="00840E8D"/>
    <w:rsid w:val="00845EA1"/>
    <w:rsid w:val="00846052"/>
    <w:rsid w:val="00851AA4"/>
    <w:rsid w:val="00852195"/>
    <w:rsid w:val="00861A15"/>
    <w:rsid w:val="00871329"/>
    <w:rsid w:val="00871E3B"/>
    <w:rsid w:val="00877C2B"/>
    <w:rsid w:val="00892082"/>
    <w:rsid w:val="0089784E"/>
    <w:rsid w:val="008A2EC2"/>
    <w:rsid w:val="008A6269"/>
    <w:rsid w:val="008C3B55"/>
    <w:rsid w:val="008D470C"/>
    <w:rsid w:val="008D5AE2"/>
    <w:rsid w:val="008E2B6D"/>
    <w:rsid w:val="008E2ECC"/>
    <w:rsid w:val="008E30DB"/>
    <w:rsid w:val="008E7DC9"/>
    <w:rsid w:val="008F09C0"/>
    <w:rsid w:val="008F5C2D"/>
    <w:rsid w:val="009035C5"/>
    <w:rsid w:val="00904CE2"/>
    <w:rsid w:val="009101A6"/>
    <w:rsid w:val="00922145"/>
    <w:rsid w:val="009250D6"/>
    <w:rsid w:val="00925164"/>
    <w:rsid w:val="009320C4"/>
    <w:rsid w:val="00940E16"/>
    <w:rsid w:val="0094189F"/>
    <w:rsid w:val="00942877"/>
    <w:rsid w:val="00964BDB"/>
    <w:rsid w:val="00965166"/>
    <w:rsid w:val="009663DB"/>
    <w:rsid w:val="0096666F"/>
    <w:rsid w:val="009831E0"/>
    <w:rsid w:val="0098652D"/>
    <w:rsid w:val="00990553"/>
    <w:rsid w:val="009943E8"/>
    <w:rsid w:val="00996124"/>
    <w:rsid w:val="009A1FF4"/>
    <w:rsid w:val="009A56F8"/>
    <w:rsid w:val="009A6A92"/>
    <w:rsid w:val="009A7DC1"/>
    <w:rsid w:val="009B30AA"/>
    <w:rsid w:val="009C3885"/>
    <w:rsid w:val="009C50B0"/>
    <w:rsid w:val="009D0EBD"/>
    <w:rsid w:val="009D5359"/>
    <w:rsid w:val="009D7DFF"/>
    <w:rsid w:val="009D7EEA"/>
    <w:rsid w:val="009F581C"/>
    <w:rsid w:val="009F63A5"/>
    <w:rsid w:val="00A00CD5"/>
    <w:rsid w:val="00A06251"/>
    <w:rsid w:val="00A23C47"/>
    <w:rsid w:val="00A25624"/>
    <w:rsid w:val="00A4198E"/>
    <w:rsid w:val="00A42783"/>
    <w:rsid w:val="00A479D1"/>
    <w:rsid w:val="00A5324A"/>
    <w:rsid w:val="00A55A8E"/>
    <w:rsid w:val="00A56152"/>
    <w:rsid w:val="00A56F4E"/>
    <w:rsid w:val="00A57BE9"/>
    <w:rsid w:val="00A6149E"/>
    <w:rsid w:val="00A66FAE"/>
    <w:rsid w:val="00A70E48"/>
    <w:rsid w:val="00A7532D"/>
    <w:rsid w:val="00A808D7"/>
    <w:rsid w:val="00A92F64"/>
    <w:rsid w:val="00A97660"/>
    <w:rsid w:val="00AA4BE8"/>
    <w:rsid w:val="00AB255D"/>
    <w:rsid w:val="00AC6D8E"/>
    <w:rsid w:val="00AE421A"/>
    <w:rsid w:val="00AF3553"/>
    <w:rsid w:val="00B06783"/>
    <w:rsid w:val="00B11DE5"/>
    <w:rsid w:val="00B1619D"/>
    <w:rsid w:val="00B16CA5"/>
    <w:rsid w:val="00B24CA4"/>
    <w:rsid w:val="00B256AB"/>
    <w:rsid w:val="00B26076"/>
    <w:rsid w:val="00B26E6A"/>
    <w:rsid w:val="00B271CC"/>
    <w:rsid w:val="00B33DBD"/>
    <w:rsid w:val="00B41BBB"/>
    <w:rsid w:val="00B41D4E"/>
    <w:rsid w:val="00B420D8"/>
    <w:rsid w:val="00B440ED"/>
    <w:rsid w:val="00B44200"/>
    <w:rsid w:val="00B502D1"/>
    <w:rsid w:val="00B51D01"/>
    <w:rsid w:val="00B53B82"/>
    <w:rsid w:val="00B60BD7"/>
    <w:rsid w:val="00B6180D"/>
    <w:rsid w:val="00B735F3"/>
    <w:rsid w:val="00B81614"/>
    <w:rsid w:val="00B81A2B"/>
    <w:rsid w:val="00B926C9"/>
    <w:rsid w:val="00BA2F74"/>
    <w:rsid w:val="00BA7305"/>
    <w:rsid w:val="00BB0BC9"/>
    <w:rsid w:val="00BB206B"/>
    <w:rsid w:val="00BB603B"/>
    <w:rsid w:val="00BD5D2E"/>
    <w:rsid w:val="00BE1A93"/>
    <w:rsid w:val="00BE423D"/>
    <w:rsid w:val="00BF0087"/>
    <w:rsid w:val="00BF0322"/>
    <w:rsid w:val="00BF3007"/>
    <w:rsid w:val="00BF40A7"/>
    <w:rsid w:val="00BF4874"/>
    <w:rsid w:val="00C13A5E"/>
    <w:rsid w:val="00C3014C"/>
    <w:rsid w:val="00C32C97"/>
    <w:rsid w:val="00C34EB5"/>
    <w:rsid w:val="00C4120E"/>
    <w:rsid w:val="00C428D0"/>
    <w:rsid w:val="00C54161"/>
    <w:rsid w:val="00C60F45"/>
    <w:rsid w:val="00C61803"/>
    <w:rsid w:val="00C82B88"/>
    <w:rsid w:val="00C83EDA"/>
    <w:rsid w:val="00C86C6A"/>
    <w:rsid w:val="00C90C55"/>
    <w:rsid w:val="00CA5F8B"/>
    <w:rsid w:val="00CA7296"/>
    <w:rsid w:val="00CC10E2"/>
    <w:rsid w:val="00CC7BA5"/>
    <w:rsid w:val="00CE16C9"/>
    <w:rsid w:val="00CF0705"/>
    <w:rsid w:val="00CF4EB0"/>
    <w:rsid w:val="00D15989"/>
    <w:rsid w:val="00D219D9"/>
    <w:rsid w:val="00D22C18"/>
    <w:rsid w:val="00D33572"/>
    <w:rsid w:val="00D40A64"/>
    <w:rsid w:val="00D40F31"/>
    <w:rsid w:val="00D5054D"/>
    <w:rsid w:val="00D5208D"/>
    <w:rsid w:val="00D56D88"/>
    <w:rsid w:val="00D640AA"/>
    <w:rsid w:val="00D77CA7"/>
    <w:rsid w:val="00D874C8"/>
    <w:rsid w:val="00D87A96"/>
    <w:rsid w:val="00D9490C"/>
    <w:rsid w:val="00D9493E"/>
    <w:rsid w:val="00DA0858"/>
    <w:rsid w:val="00DB4ED5"/>
    <w:rsid w:val="00DB562E"/>
    <w:rsid w:val="00DB7B5E"/>
    <w:rsid w:val="00DC1142"/>
    <w:rsid w:val="00DC27A3"/>
    <w:rsid w:val="00DE0AAB"/>
    <w:rsid w:val="00DE318C"/>
    <w:rsid w:val="00DF1462"/>
    <w:rsid w:val="00DF7F69"/>
    <w:rsid w:val="00E16915"/>
    <w:rsid w:val="00E26E65"/>
    <w:rsid w:val="00E35E45"/>
    <w:rsid w:val="00E502BC"/>
    <w:rsid w:val="00E50394"/>
    <w:rsid w:val="00E60636"/>
    <w:rsid w:val="00E65716"/>
    <w:rsid w:val="00E72464"/>
    <w:rsid w:val="00E77D06"/>
    <w:rsid w:val="00E80488"/>
    <w:rsid w:val="00E805F1"/>
    <w:rsid w:val="00E84A2B"/>
    <w:rsid w:val="00E94AEB"/>
    <w:rsid w:val="00EA1035"/>
    <w:rsid w:val="00EA2304"/>
    <w:rsid w:val="00EA7D9D"/>
    <w:rsid w:val="00EB4924"/>
    <w:rsid w:val="00ED79C0"/>
    <w:rsid w:val="00EE2E26"/>
    <w:rsid w:val="00EE5855"/>
    <w:rsid w:val="00EE7CE2"/>
    <w:rsid w:val="00EF7076"/>
    <w:rsid w:val="00F024E3"/>
    <w:rsid w:val="00F04EBA"/>
    <w:rsid w:val="00F05AF4"/>
    <w:rsid w:val="00F1047A"/>
    <w:rsid w:val="00F12231"/>
    <w:rsid w:val="00F12308"/>
    <w:rsid w:val="00F126BD"/>
    <w:rsid w:val="00F12E9D"/>
    <w:rsid w:val="00F132AC"/>
    <w:rsid w:val="00F20FAC"/>
    <w:rsid w:val="00F35AA9"/>
    <w:rsid w:val="00F4084C"/>
    <w:rsid w:val="00F55AD3"/>
    <w:rsid w:val="00F561D4"/>
    <w:rsid w:val="00F577DE"/>
    <w:rsid w:val="00F65495"/>
    <w:rsid w:val="00F74712"/>
    <w:rsid w:val="00F83E22"/>
    <w:rsid w:val="00F91873"/>
    <w:rsid w:val="00FA4404"/>
    <w:rsid w:val="00FA492D"/>
    <w:rsid w:val="00FA6E47"/>
    <w:rsid w:val="00FC1628"/>
    <w:rsid w:val="00FC7F1B"/>
    <w:rsid w:val="00FC7FC8"/>
    <w:rsid w:val="00FD2CCC"/>
    <w:rsid w:val="00FD59EF"/>
    <w:rsid w:val="00FE1FDA"/>
    <w:rsid w:val="00FE791E"/>
    <w:rsid w:val="01E91CF9"/>
    <w:rsid w:val="155B6ED6"/>
    <w:rsid w:val="23CE4935"/>
    <w:rsid w:val="28F76402"/>
    <w:rsid w:val="2DDC599D"/>
    <w:rsid w:val="305C0294"/>
    <w:rsid w:val="37133C97"/>
    <w:rsid w:val="388F044A"/>
    <w:rsid w:val="3F5A1788"/>
    <w:rsid w:val="40987CAD"/>
    <w:rsid w:val="4696761B"/>
    <w:rsid w:val="5B241A39"/>
    <w:rsid w:val="623B153A"/>
    <w:rsid w:val="628207F7"/>
    <w:rsid w:val="6A8910EC"/>
    <w:rsid w:val="743A1E64"/>
    <w:rsid w:val="7EDA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24"/>
    <w:pPr>
      <w:widowControl w:val="0"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EB4924"/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EB4924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EB4924"/>
    <w:pPr>
      <w:spacing w:after="0" w:line="240" w:lineRule="auto"/>
    </w:pPr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EB492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EB4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EB4924"/>
    <w:pPr>
      <w:widowControl/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eastAsia="zh-CN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sid w:val="00EB4924"/>
    <w:rPr>
      <w:b/>
      <w:bCs/>
    </w:rPr>
  </w:style>
  <w:style w:type="table" w:styleId="aa">
    <w:name w:val="Table Grid"/>
    <w:basedOn w:val="a1"/>
    <w:uiPriority w:val="59"/>
    <w:qFormat/>
    <w:rsid w:val="00EB4924"/>
    <w:rPr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qFormat/>
    <w:rsid w:val="00EB4924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qFormat/>
    <w:rsid w:val="00EB4924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sid w:val="00EB4924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EB4924"/>
    <w:rPr>
      <w:sz w:val="18"/>
      <w:szCs w:val="18"/>
    </w:rPr>
  </w:style>
  <w:style w:type="paragraph" w:styleId="ad">
    <w:name w:val="List Paragraph"/>
    <w:basedOn w:val="a"/>
    <w:uiPriority w:val="34"/>
    <w:qFormat/>
    <w:rsid w:val="00EB4924"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sid w:val="00EB4924"/>
    <w:rPr>
      <w:sz w:val="18"/>
      <w:szCs w:val="18"/>
    </w:rPr>
  </w:style>
  <w:style w:type="paragraph" w:customStyle="1" w:styleId="1">
    <w:name w:val="修订1"/>
    <w:hidden/>
    <w:uiPriority w:val="99"/>
    <w:semiHidden/>
    <w:qFormat/>
    <w:rsid w:val="00EB4924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har0">
    <w:name w:val="日期 Char"/>
    <w:basedOn w:val="a0"/>
    <w:link w:val="a4"/>
    <w:uiPriority w:val="99"/>
    <w:semiHidden/>
    <w:qFormat/>
    <w:rsid w:val="00EB4924"/>
  </w:style>
  <w:style w:type="character" w:customStyle="1" w:styleId="Char">
    <w:name w:val="批注文字 Char"/>
    <w:basedOn w:val="a0"/>
    <w:link w:val="a3"/>
    <w:uiPriority w:val="99"/>
    <w:semiHidden/>
    <w:qFormat/>
    <w:rsid w:val="00EB4924"/>
  </w:style>
  <w:style w:type="character" w:customStyle="1" w:styleId="Char4">
    <w:name w:val="批注主题 Char"/>
    <w:basedOn w:val="Char"/>
    <w:link w:val="a9"/>
    <w:uiPriority w:val="99"/>
    <w:semiHidden/>
    <w:qFormat/>
    <w:rsid w:val="00EB4924"/>
    <w:rPr>
      <w:b/>
      <w:bCs/>
    </w:rPr>
  </w:style>
  <w:style w:type="paragraph" w:customStyle="1" w:styleId="Default">
    <w:name w:val="Default"/>
    <w:qFormat/>
    <w:rsid w:val="00EB4924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FF8226-B591-4ED7-9888-0EF934762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1201</Characters>
  <Application>Microsoft Office Word</Application>
  <DocSecurity>4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卢春玲</dc:creator>
  <cp:lastModifiedBy>ZHONGM</cp:lastModifiedBy>
  <cp:revision>2</cp:revision>
  <dcterms:created xsi:type="dcterms:W3CDTF">2024-02-02T16:00:00Z</dcterms:created>
  <dcterms:modified xsi:type="dcterms:W3CDTF">2024-02-02T16:00:00Z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LastSaved">
    <vt:filetime>2017-07-11T00:00:00Z</vt:filetime>
  </property>
  <property fmtid="{D5CDD505-2E9C-101B-9397-08002B2CF9AE}" pid="4" name="KSOProductBuildVer">
    <vt:lpwstr>2052-11.1.0.11365</vt:lpwstr>
  </property>
  <property fmtid="{D5CDD505-2E9C-101B-9397-08002B2CF9AE}" pid="5" name="ICV">
    <vt:lpwstr>5B4FCE723F624B3696D5297B7FFAC67A</vt:lpwstr>
  </property>
</Properties>
</file>