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0" w:rsidRDefault="00F2734F" w:rsidP="008275D6">
      <w:pPr>
        <w:jc w:val="center"/>
        <w:rPr>
          <w:rFonts w:ascii="宋体" w:eastAsia="宋体" w:hAnsi="宋体"/>
          <w:b/>
          <w:sz w:val="32"/>
        </w:rPr>
      </w:pPr>
      <w:r w:rsidRPr="008275D6">
        <w:rPr>
          <w:rFonts w:ascii="宋体" w:eastAsia="宋体" w:hAnsi="宋体"/>
          <w:b/>
          <w:sz w:val="32"/>
        </w:rPr>
        <w:t>平安基金管理有限公司关于旗下基金投资关联方承销期内承销</w:t>
      </w:r>
      <w:r w:rsidR="007D0B20">
        <w:rPr>
          <w:rFonts w:ascii="宋体" w:eastAsia="宋体" w:hAnsi="宋体" w:hint="eastAsia"/>
          <w:b/>
          <w:sz w:val="32"/>
        </w:rPr>
        <w:t>证券</w:t>
      </w:r>
      <w:r w:rsidRPr="008275D6">
        <w:rPr>
          <w:rFonts w:ascii="宋体" w:eastAsia="宋体" w:hAnsi="宋体"/>
          <w:b/>
          <w:sz w:val="32"/>
        </w:rPr>
        <w:t>的公告</w:t>
      </w:r>
    </w:p>
    <w:p w:rsidR="008275D6" w:rsidRDefault="008275D6" w:rsidP="004F2BCA">
      <w:pPr>
        <w:spacing w:line="360" w:lineRule="auto"/>
        <w:ind w:firstLineChars="200" w:firstLine="420"/>
        <w:jc w:val="left"/>
      </w:pPr>
      <w:r>
        <w:t>根据《中华人民共和国证券投资基金法》《公开募集证券投资基金运作管理办法》《公开募集证券投资基金信息披露管理办法》及相关基金基金合同、招募说明书等有关规定，经履行适当审批程序，平安基金管理有限公司（“本公司”）旗下部分基金参与</w:t>
      </w:r>
      <w:r w:rsidRPr="008275D6">
        <w:t>2024年江苏省地方政府再融资专项债券(一期)</w:t>
      </w:r>
      <w:r w:rsidR="003B5D1E">
        <w:rPr>
          <w:rFonts w:hint="eastAsia"/>
        </w:rPr>
        <w:t>的</w:t>
      </w:r>
      <w:r>
        <w:rPr>
          <w:rFonts w:hint="eastAsia"/>
        </w:rPr>
        <w:t>招标</w:t>
      </w:r>
      <w:r w:rsidR="003B5D1E">
        <w:rPr>
          <w:rFonts w:hint="eastAsia"/>
        </w:rPr>
        <w:t>发行</w:t>
      </w:r>
      <w:r>
        <w:rPr>
          <w:rFonts w:hint="eastAsia"/>
        </w:rPr>
        <w:t>。</w:t>
      </w:r>
      <w:r>
        <w:t>本次发行</w:t>
      </w:r>
      <w:r w:rsidR="004F2BCA">
        <w:rPr>
          <w:rFonts w:hint="eastAsia"/>
        </w:rPr>
        <w:t>债券</w:t>
      </w:r>
      <w:r>
        <w:t>的主承销</w:t>
      </w:r>
      <w:r w:rsidR="004F2BCA">
        <w:rPr>
          <w:rFonts w:hint="eastAsia"/>
        </w:rPr>
        <w:t>商</w:t>
      </w:r>
      <w:r w:rsidR="004F2BCA" w:rsidRPr="004F2BCA">
        <w:rPr>
          <w:rFonts w:hint="eastAsia"/>
        </w:rPr>
        <w:t>交通银行股份有限公司</w:t>
      </w:r>
      <w:r w:rsidR="005F425B">
        <w:rPr>
          <w:rFonts w:hint="eastAsia"/>
        </w:rPr>
        <w:t>为本次参与招标的</w:t>
      </w:r>
      <w:r w:rsidR="005F425B" w:rsidRPr="005F425B">
        <w:rPr>
          <w:rFonts w:hint="eastAsia"/>
        </w:rPr>
        <w:t>平安添裕债券型证券投资基金</w:t>
      </w:r>
      <w:r w:rsidR="005F425B">
        <w:rPr>
          <w:rFonts w:hint="eastAsia"/>
        </w:rPr>
        <w:t>的基金托管人，</w:t>
      </w:r>
      <w:r w:rsidR="004F2BCA">
        <w:rPr>
          <w:rFonts w:hint="eastAsia"/>
        </w:rPr>
        <w:t>副主承销商平安银行股份</w:t>
      </w:r>
      <w:r w:rsidR="003B5D1E">
        <w:rPr>
          <w:rFonts w:hint="eastAsia"/>
        </w:rPr>
        <w:t>有限公司为</w:t>
      </w:r>
      <w:r w:rsidR="005F425B">
        <w:rPr>
          <w:rFonts w:hint="eastAsia"/>
        </w:rPr>
        <w:t>本公司关联方，且为</w:t>
      </w:r>
      <w:r w:rsidR="00493E13">
        <w:rPr>
          <w:rFonts w:hint="eastAsia"/>
        </w:rPr>
        <w:t>本次参与招标的</w:t>
      </w:r>
      <w:r w:rsidR="005F425B" w:rsidRPr="005F425B">
        <w:rPr>
          <w:rFonts w:hint="eastAsia"/>
        </w:rPr>
        <w:t>平安瑞尚六个月持有期混合型证券投资基金、平安鑫享混合型证券投资基金</w:t>
      </w:r>
      <w:r w:rsidR="005F425B" w:rsidRPr="005F425B">
        <w:t>、平安添润债券型证券投资基金</w:t>
      </w:r>
      <w:r w:rsidR="005F425B">
        <w:rPr>
          <w:rFonts w:hint="eastAsia"/>
        </w:rPr>
        <w:t>的基金托管人。</w:t>
      </w:r>
      <w:r w:rsidR="004F2BCA">
        <w:rPr>
          <w:rFonts w:hint="eastAsia"/>
        </w:rPr>
        <w:t>本次发行</w:t>
      </w:r>
      <w:r w:rsidR="003B5D1E">
        <w:rPr>
          <w:rFonts w:hint="eastAsia"/>
        </w:rPr>
        <w:t>采用</w:t>
      </w:r>
      <w:r w:rsidR="004F2BCA">
        <w:rPr>
          <w:rFonts w:hint="eastAsia"/>
        </w:rPr>
        <w:t>单一价格荷兰式招标</w:t>
      </w:r>
      <w:r w:rsidR="00604874">
        <w:rPr>
          <w:rFonts w:hint="eastAsia"/>
        </w:rPr>
        <w:t>的</w:t>
      </w:r>
      <w:r w:rsidR="003B5D1E">
        <w:rPr>
          <w:rFonts w:hint="eastAsia"/>
        </w:rPr>
        <w:t>招标方式</w:t>
      </w:r>
      <w:r w:rsidR="004F2BCA">
        <w:rPr>
          <w:rFonts w:hint="eastAsia"/>
        </w:rPr>
        <w:t>，本</w:t>
      </w:r>
      <w:r w:rsidR="003B5D1E">
        <w:rPr>
          <w:rFonts w:hint="eastAsia"/>
        </w:rPr>
        <w:t>期债券票面利率</w:t>
      </w:r>
      <w:r w:rsidR="004F2BCA">
        <w:rPr>
          <w:rFonts w:hint="eastAsia"/>
        </w:rPr>
        <w:t>2</w:t>
      </w:r>
      <w:r w:rsidR="004F2BCA">
        <w:t>.75</w:t>
      </w:r>
      <w:r w:rsidR="004F2BCA">
        <w:rPr>
          <w:rFonts w:hint="eastAsia"/>
        </w:rPr>
        <w:t>%</w:t>
      </w:r>
      <w:r w:rsidR="00604874">
        <w:rPr>
          <w:rFonts w:hint="eastAsia"/>
        </w:rPr>
        <w:t>，由全体招标参与方根据收益率曲线、期限利差、品种利差、流动性溢价以及发行人所处区域的经济、财政、债务</w:t>
      </w:r>
      <w:bookmarkStart w:id="0" w:name="_GoBack"/>
      <w:bookmarkEnd w:id="0"/>
      <w:r w:rsidR="00604874">
        <w:rPr>
          <w:rFonts w:hint="eastAsia"/>
        </w:rPr>
        <w:t>等因素确定。</w:t>
      </w:r>
    </w:p>
    <w:p w:rsidR="003B5D1E" w:rsidRDefault="003B5D1E" w:rsidP="004F2BCA">
      <w:pPr>
        <w:spacing w:line="360" w:lineRule="auto"/>
        <w:ind w:firstLineChars="200" w:firstLine="420"/>
        <w:jc w:val="left"/>
      </w:pPr>
      <w:r>
        <w:t>根据法律法规、基金合同及</w:t>
      </w:r>
      <w:r>
        <w:rPr>
          <w:rFonts w:hint="eastAsia"/>
        </w:rPr>
        <w:t>招标结果，</w:t>
      </w:r>
      <w:r>
        <w:t>现将本公司旗下基金获配信息公告如下：</w:t>
      </w:r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5D4383" w:rsidTr="003B42EB"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获配证券名称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获配数量(张</w:t>
            </w:r>
            <w:r>
              <w:t>)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获配金额(元</w:t>
            </w:r>
            <w:r>
              <w:t>)</w:t>
            </w:r>
          </w:p>
        </w:tc>
      </w:tr>
      <w:tr w:rsidR="005D4383" w:rsidTr="003B42EB"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3B5D1E">
              <w:rPr>
                <w:rFonts w:hint="eastAsia"/>
              </w:rPr>
              <w:t>平安添裕债券型证券投资基金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8275D6">
              <w:t>24江苏债</w:t>
            </w:r>
            <w:r>
              <w:t>02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t>40</w:t>
            </w: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4,0</w:t>
            </w:r>
            <w:r>
              <w:t>00</w:t>
            </w:r>
            <w:r>
              <w:rPr>
                <w:rFonts w:hint="eastAsia"/>
              </w:rPr>
              <w:t>,0</w:t>
            </w:r>
            <w:r>
              <w:t>00</w:t>
            </w:r>
          </w:p>
        </w:tc>
      </w:tr>
      <w:tr w:rsidR="005D4383" w:rsidTr="003B42EB"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3B5D1E">
              <w:rPr>
                <w:rFonts w:hint="eastAsia"/>
              </w:rPr>
              <w:t>平安瑞尚六个月持有期混合型证券投资基金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8275D6">
              <w:t>24江苏债</w:t>
            </w:r>
            <w:r>
              <w:t>02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t>50</w:t>
            </w: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t>5</w:t>
            </w:r>
            <w:r>
              <w:rPr>
                <w:rFonts w:hint="eastAsia"/>
              </w:rPr>
              <w:t>,0</w:t>
            </w:r>
            <w:r>
              <w:t>00</w:t>
            </w:r>
            <w:r>
              <w:rPr>
                <w:rFonts w:hint="eastAsia"/>
              </w:rPr>
              <w:t>,0</w:t>
            </w:r>
            <w:r>
              <w:t>00</w:t>
            </w:r>
          </w:p>
        </w:tc>
      </w:tr>
      <w:tr w:rsidR="005D4383" w:rsidTr="003B42EB"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3B5D1E">
              <w:rPr>
                <w:rFonts w:hint="eastAsia"/>
              </w:rPr>
              <w:t>平安鑫享混合型证券投资基金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8275D6">
              <w:t>24江苏债</w:t>
            </w:r>
            <w:r>
              <w:t>02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t>40</w:t>
            </w: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4,0</w:t>
            </w:r>
            <w:r>
              <w:t>00</w:t>
            </w:r>
            <w:r>
              <w:rPr>
                <w:rFonts w:hint="eastAsia"/>
              </w:rPr>
              <w:t>,0</w:t>
            </w:r>
            <w:r>
              <w:t>00</w:t>
            </w:r>
          </w:p>
        </w:tc>
      </w:tr>
      <w:tr w:rsidR="005D4383" w:rsidTr="003B42EB">
        <w:tc>
          <w:tcPr>
            <w:tcW w:w="2074" w:type="dxa"/>
          </w:tcPr>
          <w:p w:rsidR="005D4383" w:rsidRPr="003B5D1E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平</w:t>
            </w:r>
            <w:r w:rsidRPr="005B2C50">
              <w:rPr>
                <w:rFonts w:hint="eastAsia"/>
              </w:rPr>
              <w:t>安鑫瑞混合型证</w:t>
            </w:r>
            <w:r w:rsidRPr="005B2C50">
              <w:rPr>
                <w:rFonts w:hint="eastAsia"/>
              </w:rPr>
              <w:lastRenderedPageBreak/>
              <w:t>券投资基金</w:t>
            </w:r>
          </w:p>
        </w:tc>
        <w:tc>
          <w:tcPr>
            <w:tcW w:w="2074" w:type="dxa"/>
          </w:tcPr>
          <w:p w:rsidR="005D4383" w:rsidRPr="008275D6" w:rsidRDefault="005D4383" w:rsidP="003B42EB">
            <w:pPr>
              <w:spacing w:line="360" w:lineRule="auto"/>
              <w:jc w:val="left"/>
            </w:pPr>
            <w:r w:rsidRPr="008275D6">
              <w:lastRenderedPageBreak/>
              <w:t>24江苏债</w:t>
            </w:r>
            <w:r>
              <w:t>02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t>40</w:t>
            </w: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4,0</w:t>
            </w:r>
            <w:r>
              <w:t>00</w:t>
            </w:r>
            <w:r>
              <w:rPr>
                <w:rFonts w:hint="eastAsia"/>
              </w:rPr>
              <w:t>,0</w:t>
            </w:r>
            <w:r>
              <w:t>00</w:t>
            </w:r>
          </w:p>
        </w:tc>
      </w:tr>
      <w:tr w:rsidR="005D4383" w:rsidTr="003B42EB"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3B5D1E">
              <w:rPr>
                <w:rFonts w:hint="eastAsia"/>
              </w:rPr>
              <w:lastRenderedPageBreak/>
              <w:t>平安添润债券型证券投资基金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 w:rsidRPr="008275D6">
              <w:t>24江苏债</w:t>
            </w:r>
            <w:r>
              <w:t>02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,0</w:t>
            </w:r>
            <w:r>
              <w:t>00</w:t>
            </w:r>
          </w:p>
        </w:tc>
        <w:tc>
          <w:tcPr>
            <w:tcW w:w="2074" w:type="dxa"/>
          </w:tcPr>
          <w:p w:rsidR="005D4383" w:rsidRDefault="005D4383" w:rsidP="003B42EB">
            <w:pPr>
              <w:spacing w:line="360" w:lineRule="auto"/>
              <w:jc w:val="left"/>
            </w:pPr>
            <w:r>
              <w:t>1</w:t>
            </w:r>
            <w:r>
              <w:rPr>
                <w:rFonts w:hint="eastAsia"/>
              </w:rPr>
              <w:t>,0</w:t>
            </w:r>
            <w:r>
              <w:t>00</w:t>
            </w:r>
            <w:r>
              <w:rPr>
                <w:rFonts w:hint="eastAsia"/>
              </w:rPr>
              <w:t>,0</w:t>
            </w:r>
            <w:r>
              <w:t>00</w:t>
            </w:r>
          </w:p>
        </w:tc>
      </w:tr>
    </w:tbl>
    <w:p w:rsidR="007D0B20" w:rsidRDefault="007D0B20" w:rsidP="004F2BCA">
      <w:pPr>
        <w:spacing w:line="360" w:lineRule="auto"/>
        <w:ind w:firstLineChars="200" w:firstLine="420"/>
        <w:jc w:val="left"/>
      </w:pPr>
      <w:r>
        <w:rPr>
          <w:rFonts w:hint="eastAsia"/>
        </w:rPr>
        <w:t>注：上述获配金额未超过本次发行债券规模的1</w:t>
      </w:r>
      <w:r>
        <w:t>0%</w:t>
      </w:r>
      <w:r>
        <w:rPr>
          <w:rFonts w:hint="eastAsia"/>
        </w:rPr>
        <w:t>。</w:t>
      </w:r>
    </w:p>
    <w:p w:rsidR="00CA287D" w:rsidRPr="005D4383" w:rsidRDefault="00CA287D" w:rsidP="001319C3">
      <w:pPr>
        <w:spacing w:line="360" w:lineRule="auto"/>
        <w:ind w:firstLineChars="200" w:firstLine="420"/>
        <w:jc w:val="left"/>
      </w:pPr>
      <w:r>
        <w:t>本次</w:t>
      </w:r>
      <w:r>
        <w:rPr>
          <w:rFonts w:hint="eastAsia"/>
        </w:rPr>
        <w:t>招标</w:t>
      </w:r>
      <w:r>
        <w:t>过程公开透明，交易价格公允。本公司严格按照法律法规和本基金《基金合同》约定，履行相关程序，不存在利益输送情况</w:t>
      </w:r>
      <w:r>
        <w:rPr>
          <w:rFonts w:hint="eastAsia"/>
        </w:rPr>
        <w:t>。</w:t>
      </w:r>
    </w:p>
    <w:p w:rsidR="00CA287D" w:rsidRDefault="00CA287D" w:rsidP="004F2BCA">
      <w:pPr>
        <w:spacing w:line="360" w:lineRule="auto"/>
        <w:ind w:firstLineChars="200" w:firstLine="420"/>
        <w:jc w:val="left"/>
      </w:pPr>
      <w:r>
        <w:t xml:space="preserve">风险提示：本公司承诺以诚实信用、勤勉尽责的原则管理和运用基金资产，但不保证基金一定盈利，也不保证最低收益。投资者投资于上述基金时应认真阅读上述基金的基金合同、招募说明书等法律文件。敬请投资者留意投资风险。 </w:t>
      </w:r>
    </w:p>
    <w:p w:rsidR="00CA287D" w:rsidRDefault="00CA287D" w:rsidP="004F2BCA">
      <w:pPr>
        <w:spacing w:line="360" w:lineRule="auto"/>
        <w:ind w:firstLineChars="200" w:firstLine="420"/>
        <w:jc w:val="left"/>
      </w:pPr>
      <w:r>
        <w:t xml:space="preserve">特此公告 </w:t>
      </w:r>
    </w:p>
    <w:p w:rsidR="00CA287D" w:rsidRDefault="00CA287D" w:rsidP="00CA287D">
      <w:pPr>
        <w:spacing w:line="360" w:lineRule="auto"/>
        <w:ind w:firstLineChars="200" w:firstLine="420"/>
        <w:jc w:val="right"/>
      </w:pPr>
      <w:r>
        <w:t xml:space="preserve">平安基金管理有限公司 </w:t>
      </w:r>
    </w:p>
    <w:p w:rsidR="00CA287D" w:rsidRPr="004F2BCA" w:rsidRDefault="00CA287D" w:rsidP="00B74164">
      <w:pPr>
        <w:spacing w:line="360" w:lineRule="auto"/>
        <w:ind w:firstLineChars="200" w:firstLine="420"/>
        <w:jc w:val="right"/>
      </w:pPr>
      <w:r>
        <w:t>2024</w:t>
      </w:r>
      <w:r>
        <w:rPr>
          <w:rFonts w:hint="eastAsia"/>
        </w:rPr>
        <w:t>年</w:t>
      </w:r>
      <w:r>
        <w:t>02月0</w:t>
      </w:r>
      <w:r w:rsidR="007D0B20">
        <w:t>3</w:t>
      </w:r>
      <w:r>
        <w:t>日</w:t>
      </w:r>
    </w:p>
    <w:sectPr w:rsidR="00CA287D" w:rsidRPr="004F2BCA" w:rsidSect="0088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E2" w:rsidRDefault="00E84EE2" w:rsidP="005D4383">
      <w:r>
        <w:separator/>
      </w:r>
    </w:p>
  </w:endnote>
  <w:endnote w:type="continuationSeparator" w:id="0">
    <w:p w:rsidR="00E84EE2" w:rsidRDefault="00E84EE2" w:rsidP="005D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E2" w:rsidRDefault="00E84EE2" w:rsidP="005D4383">
      <w:r>
        <w:separator/>
      </w:r>
    </w:p>
  </w:footnote>
  <w:footnote w:type="continuationSeparator" w:id="0">
    <w:p w:rsidR="00E84EE2" w:rsidRDefault="00E84EE2" w:rsidP="005D4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D5"/>
    <w:rsid w:val="000814E0"/>
    <w:rsid w:val="001319C3"/>
    <w:rsid w:val="00342C72"/>
    <w:rsid w:val="003B5D1E"/>
    <w:rsid w:val="00493E13"/>
    <w:rsid w:val="004A2122"/>
    <w:rsid w:val="004F2BCA"/>
    <w:rsid w:val="005736B5"/>
    <w:rsid w:val="00584A7D"/>
    <w:rsid w:val="005D4383"/>
    <w:rsid w:val="005F425B"/>
    <w:rsid w:val="00604874"/>
    <w:rsid w:val="007D0B20"/>
    <w:rsid w:val="008275D6"/>
    <w:rsid w:val="00884E4A"/>
    <w:rsid w:val="00A11977"/>
    <w:rsid w:val="00B14FE0"/>
    <w:rsid w:val="00B74164"/>
    <w:rsid w:val="00CA287D"/>
    <w:rsid w:val="00DC03D5"/>
    <w:rsid w:val="00E84EE2"/>
    <w:rsid w:val="00F20CCA"/>
    <w:rsid w:val="00F2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4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3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38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3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3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4</DocSecurity>
  <Lines>6</Lines>
  <Paragraphs>1</Paragraphs>
  <ScaleCrop>false</ScaleCrop>
  <Company>PAIG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马众浩</dc:creator>
  <cp:keywords/>
  <dc:description/>
  <cp:lastModifiedBy>ZHONGM</cp:lastModifiedBy>
  <cp:revision>2</cp:revision>
  <dcterms:created xsi:type="dcterms:W3CDTF">2024-02-02T16:01:00Z</dcterms:created>
  <dcterms:modified xsi:type="dcterms:W3CDTF">2024-02-02T16:01:00Z</dcterms:modified>
</cp:coreProperties>
</file>