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DCC" w:rsidRDefault="00CF0856">
      <w:pPr>
        <w:adjustRightInd w:val="0"/>
        <w:snapToGrid w:val="0"/>
        <w:spacing w:line="400" w:lineRule="exact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中银基金管理有限公司关于旗下基金</w:t>
      </w:r>
      <w:r>
        <w:rPr>
          <w:rFonts w:hint="eastAsia"/>
          <w:b/>
          <w:sz w:val="28"/>
          <w:szCs w:val="28"/>
        </w:rPr>
        <w:t>202</w:t>
      </w:r>
      <w:r>
        <w:rPr>
          <w:b/>
          <w:sz w:val="28"/>
          <w:szCs w:val="28"/>
        </w:rPr>
        <w:t>5</w:t>
      </w:r>
      <w:r>
        <w:rPr>
          <w:rFonts w:hint="eastAsia"/>
          <w:b/>
          <w:sz w:val="28"/>
          <w:szCs w:val="28"/>
        </w:rPr>
        <w:t>年非港股通交易日暂停申购、赎回、转换、定期定额投资等业务的公告</w:t>
      </w:r>
    </w:p>
    <w:p w:rsidR="00643DCC" w:rsidRDefault="00643DCC">
      <w:pPr>
        <w:spacing w:line="400" w:lineRule="exact"/>
        <w:rPr>
          <w:b/>
        </w:rPr>
      </w:pP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为了保障基金平稳运作，保护持有人利益，方便投资者办理基金申购、赎回等业务，根据上海证券交易所和深圳证券交易所的通知，中银基金管理有限公司（以下简称“本公司”）根据</w:t>
      </w:r>
      <w:r>
        <w:t>旗下部分基金的基金合同等相关法律文件的约</w:t>
      </w:r>
      <w:bookmarkStart w:id="0" w:name="_GoBack"/>
      <w:bookmarkEnd w:id="0"/>
      <w:r>
        <w:t>定</w:t>
      </w:r>
      <w:r>
        <w:rPr>
          <w:rFonts w:hint="eastAsia"/>
        </w:rPr>
        <w:t>，</w:t>
      </w:r>
      <w:r>
        <w:t>决定对</w:t>
      </w:r>
      <w:r>
        <w:rPr>
          <w:rFonts w:hint="eastAsia"/>
        </w:rPr>
        <w:t>下述</w:t>
      </w:r>
      <w:r>
        <w:t>基金暂停办理</w:t>
      </w:r>
      <w:r>
        <w:rPr>
          <w:rFonts w:hint="eastAsia"/>
        </w:rPr>
        <w:t>申购、赎回、转换、定期定额投资等业务</w:t>
      </w:r>
      <w:r>
        <w:t>，并</w:t>
      </w:r>
      <w:r>
        <w:rPr>
          <w:rFonts w:hint="eastAsia"/>
        </w:rPr>
        <w:t>自下列非港股通交易日结束后的首个开放日</w:t>
      </w:r>
      <w:r>
        <w:t>恢复</w:t>
      </w:r>
      <w:r>
        <w:rPr>
          <w:rFonts w:hint="eastAsia"/>
        </w:rPr>
        <w:t>办理</w:t>
      </w:r>
      <w:r>
        <w:t>日常</w:t>
      </w:r>
      <w:r>
        <w:rPr>
          <w:rFonts w:hint="eastAsia"/>
        </w:rPr>
        <w:t>申购、赎回、转换、定期定额投资等业务</w:t>
      </w:r>
      <w:r>
        <w:t>。届时</w:t>
      </w:r>
      <w:r>
        <w:rPr>
          <w:rFonts w:hint="eastAsia"/>
        </w:rPr>
        <w:t>将</w:t>
      </w:r>
      <w:r>
        <w:t>不再另行公告。</w:t>
      </w:r>
    </w:p>
    <w:p w:rsidR="00643DCC" w:rsidRDefault="00643DCC">
      <w:pPr>
        <w:spacing w:line="400" w:lineRule="exact"/>
        <w:ind w:firstLineChars="200" w:firstLine="420"/>
      </w:pPr>
    </w:p>
    <w:p w:rsidR="00643DCC" w:rsidRDefault="00CF0856">
      <w:pPr>
        <w:spacing w:line="400" w:lineRule="exact"/>
        <w:ind w:firstLineChars="200" w:firstLine="422"/>
        <w:rPr>
          <w:b/>
        </w:rPr>
      </w:pPr>
      <w:r>
        <w:rPr>
          <w:rFonts w:hint="eastAsia"/>
          <w:b/>
        </w:rPr>
        <w:t>一</w:t>
      </w:r>
      <w:r>
        <w:rPr>
          <w:b/>
        </w:rPr>
        <w:t>、</w:t>
      </w:r>
      <w:r>
        <w:rPr>
          <w:rFonts w:hint="eastAsia"/>
          <w:b/>
        </w:rPr>
        <w:t>适用</w:t>
      </w:r>
      <w:r>
        <w:rPr>
          <w:b/>
        </w:rPr>
        <w:t>基金范围</w:t>
      </w:r>
    </w:p>
    <w:tbl>
      <w:tblPr>
        <w:tblW w:w="5000" w:type="pct"/>
        <w:tblLook w:val="04A0"/>
      </w:tblPr>
      <w:tblGrid>
        <w:gridCol w:w="1668"/>
        <w:gridCol w:w="5526"/>
        <w:gridCol w:w="1328"/>
      </w:tblGrid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基金全称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基金代码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中银港股通优势成长股票型证券投资基金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010204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中银大健康股票型证券投资基金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009414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中银大健康股票型证券投资基金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010321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中银高质量发展机遇混合型证券投资基金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009026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中银高质量发展机遇混合型证券投资基金</w:t>
            </w:r>
            <w:r>
              <w:rPr>
                <w:rFonts w:cs="Arial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017784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中银创新医疗混合型证券投资基金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007718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中银创新医疗混合型证券投资基金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010500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t>8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中银民丰回报混合型证券投资基金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007318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t>9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中银景元回报混合型证券投资基金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006952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t>10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中银双息回报混合型证券投资基金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006243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</w:pPr>
            <w:r>
              <w:rPr>
                <w:rFonts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中银双息回报混合型证券投资基金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014454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中银核心精选混合型证券投资基金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012706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中银核心精选混合型证券投资基金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012707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中银远见成长混合型证券投资基金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0</w:t>
            </w:r>
            <w:r>
              <w:rPr>
                <w:rFonts w:cs="Arial"/>
                <w:color w:val="000000"/>
                <w:sz w:val="20"/>
                <w:szCs w:val="20"/>
              </w:rPr>
              <w:t>14049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中银远见成长混合型证券投资基金</w:t>
            </w:r>
            <w:r>
              <w:rPr>
                <w:rFonts w:cs="Arial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0</w:t>
            </w:r>
            <w:r>
              <w:rPr>
                <w:rFonts w:cs="Arial"/>
                <w:color w:val="000000"/>
                <w:sz w:val="20"/>
                <w:szCs w:val="20"/>
              </w:rPr>
              <w:t>14050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1</w:t>
            </w:r>
            <w:r>
              <w:rPr>
                <w:rFonts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中银卓越成长混合型证券投资基金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016895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1</w:t>
            </w:r>
            <w:r>
              <w:rPr>
                <w:rFonts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中银卓越成长混合型证券投资基金</w:t>
            </w:r>
            <w:r>
              <w:rPr>
                <w:rFonts w:cs="Arial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0</w:t>
            </w:r>
            <w:r>
              <w:rPr>
                <w:rFonts w:cs="Arial"/>
                <w:color w:val="000000"/>
                <w:sz w:val="20"/>
                <w:szCs w:val="20"/>
              </w:rPr>
              <w:t>16896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中银港股通医药混合型发起式证券投资基金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020397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中银港股通医药混合型发起式证券投资基金</w:t>
            </w:r>
            <w:r>
              <w:rPr>
                <w:rFonts w:cs="Arial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020398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2</w:t>
            </w:r>
            <w:r>
              <w:rPr>
                <w:rFonts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中银数字经济混合型证券投资基金</w:t>
            </w:r>
            <w:r>
              <w:rPr>
                <w:rFonts w:cs="Arial"/>
                <w:color w:val="000000"/>
                <w:sz w:val="20"/>
                <w:szCs w:val="20"/>
              </w:rPr>
              <w:t>A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0</w:t>
            </w:r>
            <w:r>
              <w:rPr>
                <w:rFonts w:cs="Arial"/>
                <w:color w:val="000000"/>
                <w:sz w:val="20"/>
                <w:szCs w:val="20"/>
              </w:rPr>
              <w:t>19426</w:t>
            </w:r>
          </w:p>
        </w:tc>
      </w:tr>
      <w:tr w:rsidR="00643DCC">
        <w:trPr>
          <w:trHeight w:val="330"/>
        </w:trPr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2</w:t>
            </w:r>
            <w:r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32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中银数字经济混合型证券投资基金</w:t>
            </w:r>
            <w:r>
              <w:rPr>
                <w:rFonts w:cs="Arial"/>
                <w:color w:val="000000"/>
                <w:sz w:val="20"/>
                <w:szCs w:val="20"/>
              </w:rPr>
              <w:t>C</w:t>
            </w:r>
            <w:r>
              <w:rPr>
                <w:rFonts w:cs="Arial" w:hint="eastAsia"/>
                <w:color w:val="000000"/>
                <w:sz w:val="20"/>
                <w:szCs w:val="20"/>
              </w:rPr>
              <w:t>类</w:t>
            </w:r>
          </w:p>
        </w:tc>
        <w:tc>
          <w:tcPr>
            <w:tcW w:w="77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43DCC" w:rsidRDefault="00CF0856">
            <w:pPr>
              <w:widowControl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 w:hint="eastAsia"/>
                <w:color w:val="000000"/>
                <w:sz w:val="20"/>
                <w:szCs w:val="20"/>
              </w:rPr>
              <w:t>0</w:t>
            </w:r>
            <w:r>
              <w:rPr>
                <w:rFonts w:cs="Arial"/>
                <w:color w:val="000000"/>
                <w:sz w:val="20"/>
                <w:szCs w:val="20"/>
              </w:rPr>
              <w:t>19427</w:t>
            </w:r>
          </w:p>
        </w:tc>
      </w:tr>
    </w:tbl>
    <w:p w:rsidR="00643DCC" w:rsidRDefault="00643DCC">
      <w:pPr>
        <w:spacing w:line="400" w:lineRule="exact"/>
        <w:ind w:firstLineChars="200" w:firstLine="422"/>
        <w:rPr>
          <w:b/>
        </w:rPr>
      </w:pPr>
    </w:p>
    <w:p w:rsidR="00643DCC" w:rsidRDefault="00CF0856">
      <w:pPr>
        <w:spacing w:line="400" w:lineRule="exact"/>
        <w:ind w:firstLineChars="200" w:firstLine="422"/>
        <w:rPr>
          <w:b/>
        </w:rPr>
      </w:pPr>
      <w:r>
        <w:rPr>
          <w:rFonts w:hint="eastAsia"/>
          <w:b/>
        </w:rPr>
        <w:t>二</w:t>
      </w:r>
      <w:r>
        <w:rPr>
          <w:b/>
        </w:rPr>
        <w:t>、</w:t>
      </w:r>
      <w:r>
        <w:rPr>
          <w:rFonts w:hint="eastAsia"/>
          <w:b/>
        </w:rPr>
        <w:t>暂停</w:t>
      </w:r>
      <w:r>
        <w:rPr>
          <w:b/>
        </w:rPr>
        <w:t>时间</w:t>
      </w:r>
      <w:r>
        <w:rPr>
          <w:rFonts w:hint="eastAsia"/>
          <w:b/>
        </w:rPr>
        <w:t>安排</w:t>
      </w:r>
    </w:p>
    <w:tbl>
      <w:tblPr>
        <w:tblStyle w:val="a8"/>
        <w:tblW w:w="0" w:type="auto"/>
        <w:tblLook w:val="04A0"/>
      </w:tblPr>
      <w:tblGrid>
        <w:gridCol w:w="2840"/>
        <w:gridCol w:w="1379"/>
        <w:gridCol w:w="4303"/>
      </w:tblGrid>
      <w:tr w:rsidR="00643DCC">
        <w:tc>
          <w:tcPr>
            <w:tcW w:w="2840" w:type="dxa"/>
          </w:tcPr>
          <w:p w:rsidR="00643DCC" w:rsidRDefault="00CF0856">
            <w:pPr>
              <w:spacing w:line="400" w:lineRule="exac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年份</w:t>
            </w:r>
          </w:p>
        </w:tc>
        <w:tc>
          <w:tcPr>
            <w:tcW w:w="1379" w:type="dxa"/>
          </w:tcPr>
          <w:p w:rsidR="00643DCC" w:rsidRDefault="00CF0856">
            <w:pPr>
              <w:spacing w:line="400" w:lineRule="exac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月份</w:t>
            </w:r>
          </w:p>
        </w:tc>
        <w:tc>
          <w:tcPr>
            <w:tcW w:w="4303" w:type="dxa"/>
          </w:tcPr>
          <w:p w:rsidR="00643DCC" w:rsidRDefault="00CF0856">
            <w:pPr>
              <w:spacing w:line="400" w:lineRule="exac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日期</w:t>
            </w:r>
          </w:p>
        </w:tc>
      </w:tr>
      <w:tr w:rsidR="00643DCC">
        <w:tc>
          <w:tcPr>
            <w:tcW w:w="2840" w:type="dxa"/>
          </w:tcPr>
          <w:p w:rsidR="00643DCC" w:rsidRDefault="00CF0856">
            <w:pPr>
              <w:spacing w:line="400" w:lineRule="exact"/>
              <w:jc w:val="center"/>
            </w:pPr>
            <w:r>
              <w:t>2024</w:t>
            </w:r>
            <w:r>
              <w:t>年</w:t>
            </w:r>
          </w:p>
        </w:tc>
        <w:tc>
          <w:tcPr>
            <w:tcW w:w="1379" w:type="dxa"/>
          </w:tcPr>
          <w:p w:rsidR="00643DCC" w:rsidRDefault="00CF0856">
            <w:pPr>
              <w:spacing w:line="400" w:lineRule="exact"/>
              <w:jc w:val="center"/>
            </w:pPr>
            <w:r>
              <w:rPr>
                <w:rFonts w:hint="eastAsia"/>
              </w:rPr>
              <w:t>1</w:t>
            </w:r>
            <w:r>
              <w:t>2</w:t>
            </w:r>
            <w:r>
              <w:t>月</w:t>
            </w:r>
          </w:p>
        </w:tc>
        <w:tc>
          <w:tcPr>
            <w:tcW w:w="4303" w:type="dxa"/>
          </w:tcPr>
          <w:p w:rsidR="00643DCC" w:rsidRDefault="00CF0856">
            <w:pPr>
              <w:spacing w:line="400" w:lineRule="exact"/>
            </w:pPr>
            <w:r>
              <w:rPr>
                <w:rFonts w:hint="eastAsia"/>
              </w:rPr>
              <w:t>3</w:t>
            </w:r>
            <w:r>
              <w:t>1</w:t>
            </w:r>
            <w:r>
              <w:t>日</w:t>
            </w:r>
          </w:p>
        </w:tc>
      </w:tr>
      <w:tr w:rsidR="00643DCC">
        <w:tc>
          <w:tcPr>
            <w:tcW w:w="2840" w:type="dxa"/>
            <w:vMerge w:val="restart"/>
            <w:vAlign w:val="center"/>
          </w:tcPr>
          <w:p w:rsidR="00643DCC" w:rsidRDefault="00CF0856">
            <w:pPr>
              <w:spacing w:line="400" w:lineRule="exact"/>
              <w:jc w:val="center"/>
            </w:pPr>
            <w:r>
              <w:rPr>
                <w:rFonts w:hint="eastAsia"/>
              </w:rPr>
              <w:t>2</w:t>
            </w:r>
            <w:r>
              <w:t>025</w:t>
            </w:r>
            <w:r>
              <w:t>年</w:t>
            </w:r>
          </w:p>
        </w:tc>
        <w:tc>
          <w:tcPr>
            <w:tcW w:w="1379" w:type="dxa"/>
          </w:tcPr>
          <w:p w:rsidR="00643DCC" w:rsidRDefault="00CF0856">
            <w:pPr>
              <w:spacing w:line="400" w:lineRule="exact"/>
              <w:jc w:val="center"/>
            </w:pP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</w:p>
        </w:tc>
        <w:tc>
          <w:tcPr>
            <w:tcW w:w="4303" w:type="dxa"/>
          </w:tcPr>
          <w:p w:rsidR="00643DCC" w:rsidRDefault="00CF0856">
            <w:pPr>
              <w:spacing w:line="400" w:lineRule="exact"/>
              <w:jc w:val="left"/>
            </w:pPr>
            <w:r>
              <w:t>18</w:t>
            </w:r>
            <w:r>
              <w:rPr>
                <w:rFonts w:hint="eastAsia"/>
              </w:rPr>
              <w:t>日、</w:t>
            </w:r>
            <w:r>
              <w:rPr>
                <w:rFonts w:hint="eastAsia"/>
              </w:rPr>
              <w:t>2</w:t>
            </w:r>
            <w:r>
              <w:t>1</w:t>
            </w:r>
            <w:r>
              <w:t>日</w:t>
            </w:r>
          </w:p>
        </w:tc>
      </w:tr>
      <w:tr w:rsidR="00643DCC">
        <w:tc>
          <w:tcPr>
            <w:tcW w:w="2840" w:type="dxa"/>
            <w:vMerge/>
          </w:tcPr>
          <w:p w:rsidR="00643DCC" w:rsidRDefault="00643DCC">
            <w:pPr>
              <w:spacing w:line="400" w:lineRule="exact"/>
              <w:jc w:val="center"/>
            </w:pPr>
          </w:p>
        </w:tc>
        <w:tc>
          <w:tcPr>
            <w:tcW w:w="1379" w:type="dxa"/>
          </w:tcPr>
          <w:p w:rsidR="00643DCC" w:rsidRDefault="00CF0856">
            <w:pPr>
              <w:spacing w:line="400" w:lineRule="exact"/>
              <w:jc w:val="center"/>
            </w:pPr>
            <w:r>
              <w:t>7</w:t>
            </w:r>
            <w:r>
              <w:rPr>
                <w:rFonts w:hint="eastAsia"/>
              </w:rPr>
              <w:t>月</w:t>
            </w:r>
          </w:p>
        </w:tc>
        <w:tc>
          <w:tcPr>
            <w:tcW w:w="4303" w:type="dxa"/>
          </w:tcPr>
          <w:p w:rsidR="00643DCC" w:rsidRDefault="00CF0856">
            <w:pPr>
              <w:spacing w:line="400" w:lineRule="exact"/>
              <w:jc w:val="left"/>
            </w:pPr>
            <w:r>
              <w:t>1</w:t>
            </w:r>
            <w:r>
              <w:t>日</w:t>
            </w:r>
          </w:p>
        </w:tc>
      </w:tr>
      <w:tr w:rsidR="00643DCC">
        <w:tc>
          <w:tcPr>
            <w:tcW w:w="2840" w:type="dxa"/>
            <w:vMerge/>
          </w:tcPr>
          <w:p w:rsidR="00643DCC" w:rsidRDefault="00643DCC">
            <w:pPr>
              <w:spacing w:line="400" w:lineRule="exact"/>
              <w:jc w:val="center"/>
            </w:pPr>
          </w:p>
        </w:tc>
        <w:tc>
          <w:tcPr>
            <w:tcW w:w="1379" w:type="dxa"/>
          </w:tcPr>
          <w:p w:rsidR="00643DCC" w:rsidRDefault="00CF0856">
            <w:pPr>
              <w:spacing w:line="400" w:lineRule="exact"/>
              <w:jc w:val="center"/>
            </w:pPr>
            <w:r>
              <w:rPr>
                <w:rFonts w:hint="eastAsia"/>
              </w:rPr>
              <w:t>1</w:t>
            </w:r>
            <w:r>
              <w:t>0</w:t>
            </w:r>
            <w:r>
              <w:t>月</w:t>
            </w:r>
          </w:p>
        </w:tc>
        <w:tc>
          <w:tcPr>
            <w:tcW w:w="4303" w:type="dxa"/>
          </w:tcPr>
          <w:p w:rsidR="00643DCC" w:rsidRDefault="00CF0856">
            <w:pPr>
              <w:widowControl/>
              <w:wordWrap w:val="0"/>
              <w:spacing w:line="330" w:lineRule="atLeast"/>
              <w:jc w:val="left"/>
            </w:pPr>
            <w:r>
              <w:t>29</w:t>
            </w:r>
            <w:r>
              <w:t>日</w:t>
            </w:r>
          </w:p>
        </w:tc>
      </w:tr>
      <w:tr w:rsidR="00643DCC">
        <w:tc>
          <w:tcPr>
            <w:tcW w:w="2840" w:type="dxa"/>
            <w:vMerge/>
          </w:tcPr>
          <w:p w:rsidR="00643DCC" w:rsidRDefault="00643DCC">
            <w:pPr>
              <w:spacing w:line="400" w:lineRule="exact"/>
              <w:jc w:val="center"/>
            </w:pPr>
          </w:p>
        </w:tc>
        <w:tc>
          <w:tcPr>
            <w:tcW w:w="1379" w:type="dxa"/>
          </w:tcPr>
          <w:p w:rsidR="00643DCC" w:rsidRDefault="00CF0856">
            <w:pPr>
              <w:spacing w:line="400" w:lineRule="exact"/>
              <w:jc w:val="center"/>
            </w:pP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月</w:t>
            </w:r>
          </w:p>
        </w:tc>
        <w:tc>
          <w:tcPr>
            <w:tcW w:w="4303" w:type="dxa"/>
          </w:tcPr>
          <w:p w:rsidR="00643DCC" w:rsidRDefault="00CF0856">
            <w:pPr>
              <w:spacing w:line="400" w:lineRule="exact"/>
              <w:jc w:val="left"/>
            </w:pPr>
            <w:r>
              <w:t>24</w:t>
            </w:r>
            <w:r>
              <w:t>、</w:t>
            </w:r>
            <w:r>
              <w:rPr>
                <w:rFonts w:hint="eastAsia"/>
              </w:rPr>
              <w:t>2</w:t>
            </w:r>
            <w:r>
              <w:t>5</w:t>
            </w:r>
            <w:r>
              <w:t>日、</w:t>
            </w:r>
            <w:r>
              <w:t>26</w:t>
            </w:r>
            <w:r>
              <w:t>、</w:t>
            </w:r>
            <w:r>
              <w:t>31</w:t>
            </w:r>
            <w:r>
              <w:t>日</w:t>
            </w:r>
          </w:p>
        </w:tc>
      </w:tr>
    </w:tbl>
    <w:p w:rsidR="00643DCC" w:rsidRDefault="00CF0856">
      <w:pPr>
        <w:spacing w:line="400" w:lineRule="exact"/>
        <w:rPr>
          <w:b/>
        </w:rPr>
      </w:pPr>
      <w:r>
        <w:rPr>
          <w:rFonts w:hint="eastAsia"/>
          <w:b/>
        </w:rPr>
        <w:t xml:space="preserve">    </w:t>
      </w:r>
      <w:r>
        <w:rPr>
          <w:rFonts w:hint="eastAsia"/>
          <w:b/>
        </w:rPr>
        <w:t>重要提示：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1</w:t>
      </w:r>
      <w:r>
        <w:rPr>
          <w:rFonts w:hint="eastAsia"/>
        </w:rPr>
        <w:t>、上述非港股通交易日已剔除和上海证券交易所、深圳证券交易所休市日重合的日期。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2</w:t>
      </w:r>
      <w:r>
        <w:rPr>
          <w:rFonts w:hint="eastAsia"/>
        </w:rPr>
        <w:t>、如遇因其他原因暂停申购、赎回、转换、定期定额投资等业务的，具体业务办理以相关公告为准。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3</w:t>
      </w:r>
      <w:r>
        <w:rPr>
          <w:rFonts w:hint="eastAsia"/>
        </w:rPr>
        <w:t>、关于非港股通交易日的具体安排以上海证券交易所、深圳证券交易所发布的通知为准。</w:t>
      </w:r>
      <w:r>
        <w:rPr>
          <w:rFonts w:hint="eastAsia"/>
        </w:rPr>
        <w:t>202</w:t>
      </w:r>
      <w:r>
        <w:t>5</w:t>
      </w:r>
      <w:r>
        <w:rPr>
          <w:rFonts w:hint="eastAsia"/>
        </w:rPr>
        <w:t>年</w:t>
      </w:r>
      <w:r>
        <w:rPr>
          <w:rFonts w:hint="eastAsia"/>
        </w:rPr>
        <w:t>12</w:t>
      </w:r>
      <w:r>
        <w:rPr>
          <w:rFonts w:hint="eastAsia"/>
        </w:rPr>
        <w:t>月下旬是否暂停上述基金的日常申购、赎回、转换以及定期定额投资等业务，</w:t>
      </w:r>
      <w:r>
        <w:t>以证券交易所关于</w:t>
      </w:r>
      <w:r>
        <w:rPr>
          <w:rFonts w:hint="eastAsia"/>
        </w:rPr>
        <w:t>202</w:t>
      </w:r>
      <w:r>
        <w:t>6</w:t>
      </w:r>
      <w:r>
        <w:rPr>
          <w:rFonts w:hint="eastAsia"/>
        </w:rPr>
        <w:t>年节假日放假和休市的安排</w:t>
      </w:r>
      <w:r>
        <w:t>为准</w:t>
      </w:r>
      <w:r>
        <w:rPr>
          <w:rFonts w:hint="eastAsia"/>
        </w:rPr>
        <w:t>。</w:t>
      </w:r>
    </w:p>
    <w:p w:rsidR="00643DCC" w:rsidRDefault="00CF0856">
      <w:pPr>
        <w:spacing w:line="400" w:lineRule="exact"/>
        <w:ind w:firstLineChars="200" w:firstLine="422"/>
        <w:rPr>
          <w:b/>
        </w:rPr>
      </w:pPr>
      <w:r>
        <w:rPr>
          <w:rFonts w:hint="eastAsia"/>
          <w:b/>
        </w:rPr>
        <w:t>4</w:t>
      </w:r>
      <w:r>
        <w:rPr>
          <w:rFonts w:hint="eastAsia"/>
          <w:b/>
        </w:rPr>
        <w:t>、如本公司新增合同约定非港股通交易日不开放的基金，则可不再另行公告。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5</w:t>
      </w:r>
      <w:r>
        <w:rPr>
          <w:rFonts w:hint="eastAsia"/>
        </w:rPr>
        <w:t>、</w:t>
      </w:r>
      <w:r>
        <w:t>敬请</w:t>
      </w:r>
      <w:r>
        <w:rPr>
          <w:rFonts w:hint="eastAsia"/>
        </w:rPr>
        <w:t>投资者仔细阅读基金合同、基金招募说明书（更新）等法律文件，</w:t>
      </w:r>
      <w:r>
        <w:t>及早做好交易安排，避免因非港股通交易日带来不便。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投资者如欲了解详情，可登陆本公司网站（</w:t>
      </w:r>
      <w:r>
        <w:rPr>
          <w:rFonts w:hint="eastAsia"/>
        </w:rPr>
        <w:t>www.bocim.com</w:t>
      </w:r>
      <w:r>
        <w:rPr>
          <w:rFonts w:hint="eastAsia"/>
        </w:rPr>
        <w:t>）或拨打客户服务电话：</w:t>
      </w:r>
      <w:r>
        <w:rPr>
          <w:rFonts w:hint="eastAsia"/>
        </w:rPr>
        <w:t>400-888-5566</w:t>
      </w:r>
      <w:r>
        <w:rPr>
          <w:rFonts w:hint="eastAsia"/>
        </w:rPr>
        <w:t>；</w:t>
      </w:r>
      <w:r>
        <w:rPr>
          <w:rFonts w:hint="eastAsia"/>
        </w:rPr>
        <w:t>021-38834788</w:t>
      </w:r>
      <w:r>
        <w:rPr>
          <w:rFonts w:hint="eastAsia"/>
        </w:rPr>
        <w:t>咨询相关情况。</w:t>
      </w:r>
    </w:p>
    <w:p w:rsidR="00643DCC" w:rsidRDefault="00CF0856">
      <w:pPr>
        <w:spacing w:line="400" w:lineRule="exact"/>
        <w:ind w:firstLineChars="200" w:firstLine="422"/>
        <w:rPr>
          <w:b/>
        </w:rPr>
      </w:pPr>
      <w:r>
        <w:rPr>
          <w:rFonts w:hint="eastAsia"/>
          <w:b/>
        </w:rPr>
        <w:t>风险提示：</w:t>
      </w:r>
      <w:r>
        <w:rPr>
          <w:rFonts w:hint="eastAsia"/>
          <w:b/>
        </w:rPr>
        <w:t xml:space="preserve"> 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基金管理人承诺依照诚实信用、勤勉尽职的原则管理和运用基金资产，但不保证基金一定盈利，也不保证最低收益。基金的过往业绩及其净值高低并不预示其未来业绩表现。基金管理人提醒投资者基金投资的“买者自负”原则，在做出投资决策后，基金运营状况与基金净</w:t>
      </w:r>
      <w:r>
        <w:rPr>
          <w:rFonts w:hint="eastAsia"/>
        </w:rPr>
        <w:t>值变化引致的投资风险，由投资者自行负担。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投资者投资基金前应认真阅读基金合同、招募说明书等法律文件，了解拟投资基金的风险收益特征，并根据自身投资目的、投资期限、投资经验、资产状况等判断基金是否和投资者的风险承受能力相匹配。</w:t>
      </w:r>
    </w:p>
    <w:p w:rsidR="00643DCC" w:rsidRDefault="00CF0856">
      <w:pPr>
        <w:spacing w:line="400" w:lineRule="exact"/>
        <w:ind w:firstLineChars="200" w:firstLine="420"/>
      </w:pPr>
      <w:r>
        <w:rPr>
          <w:rFonts w:hint="eastAsia"/>
        </w:rPr>
        <w:t>特此公告。</w:t>
      </w:r>
    </w:p>
    <w:p w:rsidR="00643DCC" w:rsidRDefault="00643DCC">
      <w:pPr>
        <w:spacing w:line="400" w:lineRule="exact"/>
      </w:pPr>
    </w:p>
    <w:p w:rsidR="00643DCC" w:rsidRDefault="00CF0856">
      <w:pPr>
        <w:adjustRightInd w:val="0"/>
        <w:spacing w:line="400" w:lineRule="exact"/>
        <w:ind w:firstLineChars="200" w:firstLine="420"/>
        <w:rPr>
          <w:rFonts w:ascii="Times New Roman" w:hAnsi="Times New Roman"/>
          <w:color w:val="000000"/>
        </w:rPr>
      </w:pPr>
      <w:r>
        <w:rPr>
          <w:rFonts w:hint="eastAsia"/>
        </w:rPr>
        <w:t xml:space="preserve">                                              </w:t>
      </w:r>
    </w:p>
    <w:p w:rsidR="00643DCC" w:rsidRDefault="00CF0856">
      <w:pPr>
        <w:spacing w:line="400" w:lineRule="exact"/>
        <w:jc w:val="right"/>
        <w:rPr>
          <w:rFonts w:eastAsia="宋体"/>
          <w:szCs w:val="21"/>
        </w:rPr>
      </w:pPr>
      <w:r>
        <w:rPr>
          <w:rFonts w:eastAsia="宋体" w:hint="eastAsia"/>
          <w:szCs w:val="21"/>
        </w:rPr>
        <w:t>中银基金管理有限公司</w:t>
      </w:r>
    </w:p>
    <w:p w:rsidR="00643DCC" w:rsidRDefault="00CF0856">
      <w:pPr>
        <w:spacing w:line="400" w:lineRule="exact"/>
        <w:ind w:firstLineChars="3050" w:firstLine="6405"/>
        <w:jc w:val="right"/>
        <w:rPr>
          <w:rFonts w:eastAsia="宋体"/>
          <w:szCs w:val="21"/>
        </w:rPr>
      </w:pPr>
      <w:r>
        <w:rPr>
          <w:rFonts w:eastAsia="宋体" w:hint="eastAsia"/>
          <w:szCs w:val="21"/>
        </w:rPr>
        <w:t>202</w:t>
      </w:r>
      <w:r>
        <w:rPr>
          <w:rFonts w:eastAsia="宋体"/>
          <w:szCs w:val="21"/>
        </w:rPr>
        <w:t>4</w:t>
      </w:r>
      <w:r>
        <w:rPr>
          <w:rFonts w:eastAsia="宋体" w:hint="eastAsia"/>
          <w:szCs w:val="21"/>
        </w:rPr>
        <w:t>年</w:t>
      </w:r>
      <w:r>
        <w:rPr>
          <w:rFonts w:eastAsia="宋体"/>
          <w:szCs w:val="21"/>
        </w:rPr>
        <w:t>12</w:t>
      </w:r>
      <w:r>
        <w:rPr>
          <w:rFonts w:eastAsia="宋体" w:hint="eastAsia"/>
          <w:szCs w:val="21"/>
        </w:rPr>
        <w:t>月</w:t>
      </w:r>
      <w:r>
        <w:rPr>
          <w:rFonts w:eastAsia="宋体"/>
          <w:szCs w:val="21"/>
        </w:rPr>
        <w:t>31</w:t>
      </w:r>
      <w:r>
        <w:rPr>
          <w:rFonts w:eastAsia="宋体" w:hint="eastAsia"/>
          <w:szCs w:val="21"/>
        </w:rPr>
        <w:t>日</w:t>
      </w:r>
    </w:p>
    <w:p w:rsidR="00643DCC" w:rsidRDefault="00643DCC">
      <w:pPr>
        <w:spacing w:line="400" w:lineRule="exact"/>
      </w:pPr>
    </w:p>
    <w:sectPr w:rsidR="00643DCC" w:rsidSect="00643D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69D6"/>
    <w:rsid w:val="0007464A"/>
    <w:rsid w:val="00080946"/>
    <w:rsid w:val="00082C57"/>
    <w:rsid w:val="0008589E"/>
    <w:rsid w:val="00092F7F"/>
    <w:rsid w:val="000A2B40"/>
    <w:rsid w:val="000B0B5C"/>
    <w:rsid w:val="000B5861"/>
    <w:rsid w:val="000C6870"/>
    <w:rsid w:val="000F728D"/>
    <w:rsid w:val="001039D6"/>
    <w:rsid w:val="00141C73"/>
    <w:rsid w:val="00143756"/>
    <w:rsid w:val="00146E7A"/>
    <w:rsid w:val="00171D7F"/>
    <w:rsid w:val="00192F20"/>
    <w:rsid w:val="001C6BFC"/>
    <w:rsid w:val="001E1F0C"/>
    <w:rsid w:val="00204A26"/>
    <w:rsid w:val="00222154"/>
    <w:rsid w:val="002413A8"/>
    <w:rsid w:val="00247A9B"/>
    <w:rsid w:val="002627A3"/>
    <w:rsid w:val="002719F8"/>
    <w:rsid w:val="00275D43"/>
    <w:rsid w:val="002915DA"/>
    <w:rsid w:val="0029428D"/>
    <w:rsid w:val="002B5B4F"/>
    <w:rsid w:val="002F00B8"/>
    <w:rsid w:val="003009AE"/>
    <w:rsid w:val="00301587"/>
    <w:rsid w:val="00317FB8"/>
    <w:rsid w:val="00354D6D"/>
    <w:rsid w:val="00377B47"/>
    <w:rsid w:val="00397064"/>
    <w:rsid w:val="003C4CF8"/>
    <w:rsid w:val="003D07F9"/>
    <w:rsid w:val="003E3CC2"/>
    <w:rsid w:val="003E693A"/>
    <w:rsid w:val="003F4D3A"/>
    <w:rsid w:val="0040404C"/>
    <w:rsid w:val="00420D25"/>
    <w:rsid w:val="00450357"/>
    <w:rsid w:val="004653A2"/>
    <w:rsid w:val="00476294"/>
    <w:rsid w:val="004831F0"/>
    <w:rsid w:val="004E3B41"/>
    <w:rsid w:val="004F031D"/>
    <w:rsid w:val="00510E52"/>
    <w:rsid w:val="00524E8F"/>
    <w:rsid w:val="005442C0"/>
    <w:rsid w:val="0058384E"/>
    <w:rsid w:val="00595E7B"/>
    <w:rsid w:val="005A26A8"/>
    <w:rsid w:val="006175E7"/>
    <w:rsid w:val="0062198F"/>
    <w:rsid w:val="00624886"/>
    <w:rsid w:val="00637605"/>
    <w:rsid w:val="00643DCC"/>
    <w:rsid w:val="0064424E"/>
    <w:rsid w:val="00655B24"/>
    <w:rsid w:val="00676F8A"/>
    <w:rsid w:val="006B29B4"/>
    <w:rsid w:val="006B48C8"/>
    <w:rsid w:val="006E493F"/>
    <w:rsid w:val="006E559F"/>
    <w:rsid w:val="006F244C"/>
    <w:rsid w:val="00721778"/>
    <w:rsid w:val="00726A53"/>
    <w:rsid w:val="00735C62"/>
    <w:rsid w:val="00740292"/>
    <w:rsid w:val="007447F0"/>
    <w:rsid w:val="00770ACB"/>
    <w:rsid w:val="007747B6"/>
    <w:rsid w:val="007A700F"/>
    <w:rsid w:val="007C77D4"/>
    <w:rsid w:val="007E6A3F"/>
    <w:rsid w:val="007E6F88"/>
    <w:rsid w:val="007F6082"/>
    <w:rsid w:val="00860D09"/>
    <w:rsid w:val="00866BE7"/>
    <w:rsid w:val="008A5BC6"/>
    <w:rsid w:val="008A5F90"/>
    <w:rsid w:val="008A6505"/>
    <w:rsid w:val="008B1366"/>
    <w:rsid w:val="008B405E"/>
    <w:rsid w:val="008C71C1"/>
    <w:rsid w:val="008E4F69"/>
    <w:rsid w:val="008E53E9"/>
    <w:rsid w:val="00912474"/>
    <w:rsid w:val="00917812"/>
    <w:rsid w:val="0096326C"/>
    <w:rsid w:val="00973322"/>
    <w:rsid w:val="009752D4"/>
    <w:rsid w:val="00994E5B"/>
    <w:rsid w:val="009B5A64"/>
    <w:rsid w:val="009D5302"/>
    <w:rsid w:val="009E5855"/>
    <w:rsid w:val="009E5E79"/>
    <w:rsid w:val="00A119F9"/>
    <w:rsid w:val="00A11E53"/>
    <w:rsid w:val="00A536E5"/>
    <w:rsid w:val="00A739EA"/>
    <w:rsid w:val="00A76476"/>
    <w:rsid w:val="00AC2ECA"/>
    <w:rsid w:val="00AE0DCC"/>
    <w:rsid w:val="00AF4D64"/>
    <w:rsid w:val="00B20798"/>
    <w:rsid w:val="00B26D4A"/>
    <w:rsid w:val="00B364AF"/>
    <w:rsid w:val="00B47412"/>
    <w:rsid w:val="00B52607"/>
    <w:rsid w:val="00B533C0"/>
    <w:rsid w:val="00B80F3B"/>
    <w:rsid w:val="00BD64B5"/>
    <w:rsid w:val="00BF5526"/>
    <w:rsid w:val="00C051EA"/>
    <w:rsid w:val="00C14838"/>
    <w:rsid w:val="00C235A0"/>
    <w:rsid w:val="00C30112"/>
    <w:rsid w:val="00C33EB9"/>
    <w:rsid w:val="00C506D1"/>
    <w:rsid w:val="00C93355"/>
    <w:rsid w:val="00C97EA6"/>
    <w:rsid w:val="00CB04B1"/>
    <w:rsid w:val="00CC31BC"/>
    <w:rsid w:val="00CF0856"/>
    <w:rsid w:val="00CF1C16"/>
    <w:rsid w:val="00D12E6B"/>
    <w:rsid w:val="00D143B8"/>
    <w:rsid w:val="00D1525E"/>
    <w:rsid w:val="00D344D4"/>
    <w:rsid w:val="00D34CB2"/>
    <w:rsid w:val="00D57944"/>
    <w:rsid w:val="00D67560"/>
    <w:rsid w:val="00DB1703"/>
    <w:rsid w:val="00DB3DBB"/>
    <w:rsid w:val="00E04B02"/>
    <w:rsid w:val="00E054D3"/>
    <w:rsid w:val="00E443C7"/>
    <w:rsid w:val="00E66F7C"/>
    <w:rsid w:val="00E67259"/>
    <w:rsid w:val="00E70ADD"/>
    <w:rsid w:val="00E80CA3"/>
    <w:rsid w:val="00E84778"/>
    <w:rsid w:val="00E957CE"/>
    <w:rsid w:val="00EA0272"/>
    <w:rsid w:val="00EB0DB8"/>
    <w:rsid w:val="00F00D13"/>
    <w:rsid w:val="00F056F7"/>
    <w:rsid w:val="00F12E87"/>
    <w:rsid w:val="00F369D6"/>
    <w:rsid w:val="00F72266"/>
    <w:rsid w:val="00F7683B"/>
    <w:rsid w:val="00F9374C"/>
    <w:rsid w:val="00F976DA"/>
    <w:rsid w:val="00FB6A38"/>
    <w:rsid w:val="00FE4E10"/>
    <w:rsid w:val="0ECE3D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DC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643DCC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643DCC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643D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643D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sid w:val="00643DCC"/>
    <w:rPr>
      <w:b/>
      <w:bCs/>
    </w:rPr>
  </w:style>
  <w:style w:type="table" w:styleId="a8">
    <w:name w:val="Table Grid"/>
    <w:basedOn w:val="a1"/>
    <w:uiPriority w:val="59"/>
    <w:rsid w:val="00643D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semiHidden/>
    <w:unhideWhenUsed/>
    <w:rsid w:val="00643DCC"/>
    <w:rPr>
      <w:color w:val="5B9BD1"/>
      <w:u w:val="none"/>
      <w:shd w:val="clear" w:color="auto" w:fill="auto"/>
    </w:rPr>
  </w:style>
  <w:style w:type="character" w:styleId="aa">
    <w:name w:val="annotation reference"/>
    <w:basedOn w:val="a0"/>
    <w:uiPriority w:val="99"/>
    <w:semiHidden/>
    <w:unhideWhenUsed/>
    <w:rsid w:val="00643DCC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643DCC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643DCC"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643DCC"/>
  </w:style>
  <w:style w:type="character" w:customStyle="1" w:styleId="Char3">
    <w:name w:val="批注主题 Char"/>
    <w:basedOn w:val="Char"/>
    <w:link w:val="a7"/>
    <w:uiPriority w:val="99"/>
    <w:semiHidden/>
    <w:rsid w:val="00643DCC"/>
    <w:rPr>
      <w:b/>
      <w:bCs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643DCC"/>
    <w:rPr>
      <w:sz w:val="18"/>
      <w:szCs w:val="18"/>
    </w:rPr>
  </w:style>
  <w:style w:type="paragraph" w:styleId="ab">
    <w:name w:val="List Paragraph"/>
    <w:basedOn w:val="a"/>
    <w:uiPriority w:val="34"/>
    <w:qFormat/>
    <w:rsid w:val="00643DCC"/>
    <w:pPr>
      <w:ind w:firstLineChars="200" w:firstLine="420"/>
    </w:pPr>
  </w:style>
  <w:style w:type="paragraph" w:customStyle="1" w:styleId="1">
    <w:name w:val="修订1"/>
    <w:hidden/>
    <w:uiPriority w:val="99"/>
    <w:semiHidden/>
    <w:rsid w:val="00643DCC"/>
    <w:rPr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247</Words>
  <Characters>1410</Characters>
  <Application>Microsoft Office Word</Application>
  <DocSecurity>4</DocSecurity>
  <Lines>11</Lines>
  <Paragraphs>3</Paragraphs>
  <ScaleCrop>false</ScaleCrop>
  <Company>CNSTOCK</Company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李榕</dc:creator>
  <cp:lastModifiedBy>ZHONGM</cp:lastModifiedBy>
  <cp:revision>2</cp:revision>
  <dcterms:created xsi:type="dcterms:W3CDTF">2024-12-30T16:03:00Z</dcterms:created>
  <dcterms:modified xsi:type="dcterms:W3CDTF">2024-12-30T16:03:00Z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350C81AE481C435EA5159BEAFE221151</vt:lpwstr>
  </property>
</Properties>
</file>