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8A" w:rsidRPr="00C06479" w:rsidRDefault="00CA4C7C" w:rsidP="00CA4C7C">
      <w:pPr>
        <w:spacing w:line="360" w:lineRule="auto"/>
        <w:jc w:val="center"/>
        <w:rPr>
          <w:rFonts w:ascii="Times New Roman" w:eastAsia="宋体" w:hAnsi="Times New Roman" w:cs="Times New Roman"/>
          <w:b/>
          <w:bCs/>
          <w:color w:val="000000"/>
          <w:sz w:val="30"/>
          <w:szCs w:val="30"/>
        </w:rPr>
      </w:pPr>
      <w:r w:rsidRPr="00C06479">
        <w:rPr>
          <w:rFonts w:ascii="Times New Roman" w:eastAsia="宋体" w:hAnsi="Times New Roman" w:cs="Times New Roman" w:hint="eastAsia"/>
          <w:b/>
          <w:bCs/>
          <w:color w:val="000000"/>
          <w:sz w:val="30"/>
          <w:szCs w:val="30"/>
        </w:rPr>
        <w:t>汇丰晋信基金管理有限公司关于调</w:t>
      </w:r>
      <w:r w:rsidR="00C3099D" w:rsidRPr="00C06479">
        <w:rPr>
          <w:rFonts w:ascii="Times New Roman" w:eastAsia="宋体" w:hAnsi="Times New Roman" w:cs="Times New Roman" w:hint="eastAsia"/>
          <w:b/>
          <w:bCs/>
          <w:color w:val="000000"/>
          <w:sz w:val="30"/>
          <w:szCs w:val="30"/>
        </w:rPr>
        <w:t>低</w:t>
      </w:r>
      <w:r w:rsidRPr="00C06479">
        <w:rPr>
          <w:rFonts w:ascii="Times New Roman" w:eastAsia="宋体" w:hAnsi="Times New Roman" w:cs="Times New Roman" w:hint="eastAsia"/>
          <w:b/>
          <w:bCs/>
          <w:color w:val="000000"/>
          <w:sz w:val="30"/>
          <w:szCs w:val="30"/>
        </w:rPr>
        <w:t>旗下部分基金管理费率和托管费率并修改基金合同</w:t>
      </w:r>
      <w:r w:rsidR="00ED7678" w:rsidRPr="00C06479">
        <w:rPr>
          <w:rFonts w:ascii="Times New Roman" w:eastAsia="宋体" w:hAnsi="Times New Roman" w:cs="Times New Roman" w:hint="eastAsia"/>
          <w:b/>
          <w:bCs/>
          <w:color w:val="000000"/>
          <w:sz w:val="30"/>
          <w:szCs w:val="30"/>
        </w:rPr>
        <w:t>等法律文件</w:t>
      </w:r>
      <w:r w:rsidRPr="00C06479">
        <w:rPr>
          <w:rFonts w:ascii="Times New Roman" w:eastAsia="宋体" w:hAnsi="Times New Roman" w:cs="Times New Roman" w:hint="eastAsia"/>
          <w:b/>
          <w:bCs/>
          <w:color w:val="000000"/>
          <w:sz w:val="30"/>
          <w:szCs w:val="30"/>
        </w:rPr>
        <w:t>的公告</w:t>
      </w:r>
    </w:p>
    <w:p w:rsidR="00956464" w:rsidRDefault="00074BDC" w:rsidP="003F3123">
      <w:pPr>
        <w:widowControl/>
        <w:spacing w:line="360" w:lineRule="auto"/>
        <w:ind w:firstLineChars="200" w:firstLine="480"/>
        <w:rPr>
          <w:rFonts w:asciiTheme="majorEastAsia" w:eastAsiaTheme="majorEastAsia" w:hAnsiTheme="majorEastAsia" w:cs="Times New Roman"/>
          <w:sz w:val="24"/>
          <w:szCs w:val="24"/>
        </w:rPr>
      </w:pPr>
      <w:r w:rsidRPr="00C06479">
        <w:rPr>
          <w:rFonts w:asciiTheme="majorEastAsia" w:eastAsiaTheme="majorEastAsia" w:hAnsiTheme="majorEastAsia" w:cs="Times New Roman" w:hint="eastAsia"/>
          <w:sz w:val="24"/>
          <w:szCs w:val="24"/>
        </w:rPr>
        <w:t>为更好地满足广大投资者的投资理财需求，降低投资者的理财成本，</w:t>
      </w:r>
      <w:r w:rsidR="00CA4C7C" w:rsidRPr="00C06479">
        <w:rPr>
          <w:rFonts w:asciiTheme="majorEastAsia" w:eastAsiaTheme="majorEastAsia" w:hAnsiTheme="majorEastAsia" w:cs="Times New Roman" w:hint="eastAsia"/>
          <w:sz w:val="24"/>
          <w:szCs w:val="24"/>
        </w:rPr>
        <w:t>汇丰晋信基金管理有限公司（以下简称“本公司”）与旗下部分基金的各基金托管人协商一致，</w:t>
      </w:r>
      <w:r w:rsidR="00C3099D" w:rsidRPr="00C06479">
        <w:rPr>
          <w:rFonts w:asciiTheme="majorEastAsia" w:eastAsiaTheme="majorEastAsia" w:hAnsiTheme="majorEastAsia" w:cs="Times New Roman" w:hint="eastAsia"/>
          <w:sz w:val="24"/>
          <w:szCs w:val="24"/>
        </w:rPr>
        <w:t>经</w:t>
      </w:r>
      <w:r w:rsidR="00CA4C7C" w:rsidRPr="00C06479">
        <w:rPr>
          <w:rFonts w:asciiTheme="majorEastAsia" w:eastAsiaTheme="majorEastAsia" w:hAnsiTheme="majorEastAsia" w:cs="Times New Roman" w:hint="eastAsia"/>
          <w:sz w:val="24"/>
          <w:szCs w:val="24"/>
        </w:rPr>
        <w:t>履行适当程序，决定调整旗下部分</w:t>
      </w:r>
      <w:bookmarkStart w:id="0" w:name="_GoBack"/>
      <w:bookmarkEnd w:id="0"/>
      <w:r w:rsidR="00CA4C7C" w:rsidRPr="00C06479">
        <w:rPr>
          <w:rFonts w:asciiTheme="majorEastAsia" w:eastAsiaTheme="majorEastAsia" w:hAnsiTheme="majorEastAsia" w:cs="Times New Roman" w:hint="eastAsia"/>
          <w:sz w:val="24"/>
          <w:szCs w:val="24"/>
        </w:rPr>
        <w:t>基金的管理费率和托管费率</w:t>
      </w:r>
      <w:r w:rsidR="005A6FEB">
        <w:rPr>
          <w:rFonts w:asciiTheme="majorEastAsia" w:eastAsiaTheme="majorEastAsia" w:hAnsiTheme="majorEastAsia" w:cs="Times New Roman" w:hint="eastAsia"/>
          <w:sz w:val="24"/>
          <w:szCs w:val="24"/>
        </w:rPr>
        <w:t>（具体基金清单请见附件）</w:t>
      </w:r>
      <w:r w:rsidR="00CA4C7C" w:rsidRPr="00C06479">
        <w:rPr>
          <w:rFonts w:asciiTheme="majorEastAsia" w:eastAsiaTheme="majorEastAsia" w:hAnsiTheme="majorEastAsia" w:cs="Times New Roman" w:hint="eastAsia"/>
          <w:sz w:val="24"/>
          <w:szCs w:val="24"/>
        </w:rPr>
        <w:t>，并对</w:t>
      </w:r>
      <w:r w:rsidR="0075525C" w:rsidRPr="00C06479">
        <w:rPr>
          <w:rFonts w:asciiTheme="majorEastAsia" w:eastAsiaTheme="majorEastAsia" w:hAnsiTheme="majorEastAsia" w:cs="Times New Roman" w:hint="eastAsia"/>
          <w:sz w:val="24"/>
          <w:szCs w:val="24"/>
        </w:rPr>
        <w:t>相关</w:t>
      </w:r>
      <w:r w:rsidR="00CA4C7C" w:rsidRPr="00C06479">
        <w:rPr>
          <w:rFonts w:asciiTheme="majorEastAsia" w:eastAsiaTheme="majorEastAsia" w:hAnsiTheme="majorEastAsia" w:cs="Times New Roman" w:hint="eastAsia"/>
          <w:sz w:val="24"/>
          <w:szCs w:val="24"/>
        </w:rPr>
        <w:t>基金的基金合同及相关法律文件作相应修改。现将具体修改内容说明如下：</w:t>
      </w:r>
      <w:r w:rsidR="00BD3BD9" w:rsidRPr="00C06479">
        <w:rPr>
          <w:rFonts w:asciiTheme="majorEastAsia" w:eastAsiaTheme="majorEastAsia" w:hAnsiTheme="majorEastAsia" w:cs="Times New Roman"/>
          <w:sz w:val="24"/>
          <w:szCs w:val="24"/>
        </w:rPr>
        <w:t xml:space="preserve">  </w:t>
      </w:r>
    </w:p>
    <w:p w:rsidR="003F3123" w:rsidRPr="00C06479" w:rsidRDefault="005A6FEB" w:rsidP="003F3123">
      <w:pPr>
        <w:widowControl/>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1</w:t>
      </w:r>
      <w:r w:rsidR="00327C74" w:rsidRPr="00C06479">
        <w:rPr>
          <w:rFonts w:asciiTheme="majorEastAsia" w:eastAsiaTheme="majorEastAsia" w:hAnsiTheme="majorEastAsia" w:cs="Times New Roman" w:hint="eastAsia"/>
          <w:sz w:val="24"/>
          <w:szCs w:val="24"/>
        </w:rPr>
        <w:t>、</w:t>
      </w:r>
      <w:r w:rsidR="00CA4C7C" w:rsidRPr="00C06479">
        <w:rPr>
          <w:rFonts w:asciiTheme="majorEastAsia" w:eastAsiaTheme="majorEastAsia" w:hAnsiTheme="majorEastAsia" w:cs="Times New Roman" w:hint="eastAsia"/>
          <w:sz w:val="24"/>
          <w:szCs w:val="24"/>
        </w:rPr>
        <w:t>根据相关法律法规和基金合同的约定，本公司决定调</w:t>
      </w:r>
      <w:r w:rsidR="0075525C" w:rsidRPr="00C06479">
        <w:rPr>
          <w:rFonts w:asciiTheme="majorEastAsia" w:eastAsiaTheme="majorEastAsia" w:hAnsiTheme="majorEastAsia" w:cs="Times New Roman" w:hint="eastAsia"/>
          <w:sz w:val="24"/>
          <w:szCs w:val="24"/>
        </w:rPr>
        <w:t>低</w:t>
      </w:r>
      <w:r w:rsidR="00CA4C7C" w:rsidRPr="00C06479">
        <w:rPr>
          <w:rFonts w:asciiTheme="majorEastAsia" w:eastAsiaTheme="majorEastAsia" w:hAnsiTheme="majorEastAsia" w:cs="Times New Roman" w:hint="eastAsia"/>
          <w:sz w:val="24"/>
          <w:szCs w:val="24"/>
        </w:rPr>
        <w:t>旗下部分基金的管理费率和托管费率，并对相关基金合同进行必要的修改。</w:t>
      </w:r>
      <w:r w:rsidR="00881B9A" w:rsidRPr="00C06479">
        <w:rPr>
          <w:rFonts w:asciiTheme="majorEastAsia" w:eastAsiaTheme="majorEastAsia" w:hAnsiTheme="majorEastAsia" w:cs="Times New Roman" w:hint="eastAsia"/>
          <w:sz w:val="24"/>
          <w:szCs w:val="24"/>
        </w:rPr>
        <w:t>相</w:t>
      </w:r>
      <w:r w:rsidR="00CA4C7C" w:rsidRPr="00C06479">
        <w:rPr>
          <w:rFonts w:asciiTheme="majorEastAsia" w:eastAsiaTheme="majorEastAsia" w:hAnsiTheme="majorEastAsia" w:cs="Times New Roman" w:hint="eastAsia"/>
          <w:sz w:val="24"/>
          <w:szCs w:val="24"/>
        </w:rPr>
        <w:t>关基金的托管协议、招募说明书、基金产品资料概要据此相应进行必要修改。</w:t>
      </w:r>
    </w:p>
    <w:p w:rsidR="003A1E22" w:rsidRPr="00C06479" w:rsidRDefault="005A6FEB" w:rsidP="003F3123">
      <w:pPr>
        <w:widowControl/>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2</w:t>
      </w:r>
      <w:r w:rsidR="00CA4C7C" w:rsidRPr="00C06479">
        <w:rPr>
          <w:rFonts w:asciiTheme="majorEastAsia" w:eastAsiaTheme="majorEastAsia" w:hAnsiTheme="majorEastAsia" w:cs="Times New Roman" w:hint="eastAsia"/>
          <w:sz w:val="24"/>
          <w:szCs w:val="24"/>
        </w:rPr>
        <w:t>、本次相关基金的基金合同、托管协议、招募说明书和基金产品资料概要修改的内容和程序符合有关法律法规和基金合同的规定，对基金份额持有人利益无实质性不利影响，并已履行相应程序。除上述要素外，其余要素不作变更。</w:t>
      </w:r>
      <w:r w:rsidR="003663A2" w:rsidRPr="00C06479">
        <w:rPr>
          <w:rFonts w:asciiTheme="majorEastAsia" w:eastAsiaTheme="majorEastAsia" w:hAnsiTheme="majorEastAsia" w:cs="Times New Roman" w:hint="eastAsia"/>
          <w:sz w:val="24"/>
          <w:szCs w:val="24"/>
        </w:rPr>
        <w:t>相关基金</w:t>
      </w:r>
      <w:r w:rsidR="00CA4C7C" w:rsidRPr="00C06479">
        <w:rPr>
          <w:rFonts w:asciiTheme="majorEastAsia" w:eastAsiaTheme="majorEastAsia" w:hAnsiTheme="majorEastAsia" w:cs="Times New Roman" w:hint="eastAsia"/>
          <w:sz w:val="24"/>
          <w:szCs w:val="24"/>
        </w:rPr>
        <w:t>修改后的</w:t>
      </w:r>
      <w:r w:rsidR="00441DC5" w:rsidRPr="00C06479">
        <w:rPr>
          <w:rFonts w:asciiTheme="majorEastAsia" w:eastAsiaTheme="majorEastAsia" w:hAnsiTheme="majorEastAsia" w:cs="Times New Roman" w:hint="eastAsia"/>
          <w:sz w:val="24"/>
          <w:szCs w:val="24"/>
        </w:rPr>
        <w:t>基金合同及托管协议将于生效</w:t>
      </w:r>
      <w:r w:rsidR="00CA4C7C" w:rsidRPr="00C06479">
        <w:rPr>
          <w:rFonts w:asciiTheme="majorEastAsia" w:eastAsiaTheme="majorEastAsia" w:hAnsiTheme="majorEastAsia" w:cs="Times New Roman" w:hint="eastAsia"/>
          <w:sz w:val="24"/>
          <w:szCs w:val="24"/>
        </w:rPr>
        <w:t>日登载于基金管理人网站（www.hsbcjt.cn）及中国证监会基金电子披露网站（http://eid.csrc.gov.cn/fund）。</w:t>
      </w:r>
      <w:r w:rsidR="0075525C" w:rsidRPr="00C06479">
        <w:rPr>
          <w:rFonts w:asciiTheme="majorEastAsia" w:eastAsiaTheme="majorEastAsia" w:hAnsiTheme="majorEastAsia" w:cs="Times New Roman" w:hint="eastAsia"/>
          <w:sz w:val="24"/>
          <w:szCs w:val="24"/>
        </w:rPr>
        <w:t>基金管理</w:t>
      </w:r>
      <w:r w:rsidR="00155457" w:rsidRPr="00C06479">
        <w:rPr>
          <w:rFonts w:asciiTheme="majorEastAsia" w:eastAsiaTheme="majorEastAsia" w:hAnsiTheme="majorEastAsia" w:cs="Times New Roman" w:hint="eastAsia"/>
          <w:sz w:val="24"/>
          <w:szCs w:val="24"/>
        </w:rPr>
        <w:t>人将根据《公开募集证券投资基金信息披露管理办法》的有关规定，</w:t>
      </w:r>
      <w:r w:rsidR="0075525C" w:rsidRPr="00C06479">
        <w:rPr>
          <w:rFonts w:asciiTheme="majorEastAsia" w:eastAsiaTheme="majorEastAsia" w:hAnsiTheme="majorEastAsia" w:cs="Times New Roman" w:hint="eastAsia"/>
          <w:sz w:val="24"/>
          <w:szCs w:val="24"/>
        </w:rPr>
        <w:t>更新</w:t>
      </w:r>
      <w:r w:rsidR="00155457" w:rsidRPr="00C06479">
        <w:rPr>
          <w:rFonts w:asciiTheme="majorEastAsia" w:eastAsiaTheme="majorEastAsia" w:hAnsiTheme="majorEastAsia" w:cs="Times New Roman" w:hint="eastAsia"/>
          <w:sz w:val="24"/>
          <w:szCs w:val="24"/>
        </w:rPr>
        <w:t>相关</w:t>
      </w:r>
      <w:r w:rsidR="0075525C" w:rsidRPr="00C06479">
        <w:rPr>
          <w:rFonts w:asciiTheme="majorEastAsia" w:eastAsiaTheme="majorEastAsia" w:hAnsiTheme="majorEastAsia" w:cs="Times New Roman" w:hint="eastAsia"/>
          <w:sz w:val="24"/>
          <w:szCs w:val="24"/>
        </w:rPr>
        <w:t>基金招募说明书和产品资料概要</w:t>
      </w:r>
      <w:r w:rsidR="00155457" w:rsidRPr="00C06479">
        <w:rPr>
          <w:rFonts w:asciiTheme="majorEastAsia" w:eastAsiaTheme="majorEastAsia" w:hAnsiTheme="majorEastAsia" w:cs="Times New Roman" w:hint="eastAsia"/>
          <w:sz w:val="24"/>
          <w:szCs w:val="24"/>
        </w:rPr>
        <w:t>，</w:t>
      </w:r>
      <w:r w:rsidR="0075525C" w:rsidRPr="00C06479">
        <w:rPr>
          <w:rFonts w:asciiTheme="majorEastAsia" w:eastAsiaTheme="majorEastAsia" w:hAnsiTheme="majorEastAsia" w:cs="Times New Roman" w:hint="eastAsia"/>
          <w:sz w:val="24"/>
          <w:szCs w:val="24"/>
        </w:rPr>
        <w:t>并</w:t>
      </w:r>
      <w:r w:rsidR="00CA4C7C" w:rsidRPr="00C06479">
        <w:rPr>
          <w:rFonts w:asciiTheme="majorEastAsia" w:eastAsiaTheme="majorEastAsia" w:hAnsiTheme="majorEastAsia" w:cs="Times New Roman" w:hint="eastAsia"/>
          <w:sz w:val="24"/>
          <w:szCs w:val="24"/>
        </w:rPr>
        <w:t>在规定媒介上公告。</w:t>
      </w:r>
    </w:p>
    <w:p w:rsidR="003A1E22" w:rsidRPr="00C06479" w:rsidRDefault="005A6FEB" w:rsidP="003F3123">
      <w:pPr>
        <w:tabs>
          <w:tab w:val="left" w:pos="993"/>
          <w:tab w:val="left" w:pos="3780"/>
        </w:tabs>
        <w:autoSpaceDE w:val="0"/>
        <w:autoSpaceDN w:val="0"/>
        <w:adjustRightInd w:val="0"/>
        <w:snapToGrid w:val="0"/>
        <w:spacing w:line="360" w:lineRule="auto"/>
        <w:ind w:firstLineChars="200" w:firstLine="480"/>
        <w:textAlignment w:val="bottom"/>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3</w:t>
      </w:r>
      <w:r w:rsidR="003A1E22" w:rsidRPr="00C06479">
        <w:rPr>
          <w:rFonts w:asciiTheme="majorEastAsia" w:eastAsiaTheme="majorEastAsia" w:hAnsiTheme="majorEastAsia" w:cs="Times New Roman" w:hint="eastAsia"/>
          <w:sz w:val="24"/>
          <w:szCs w:val="24"/>
        </w:rPr>
        <w:t>、投资者可以登录本公司网站（www.hsbcjt.cn）或拨打客户服务电话（021-20376888）咨询相关信息。</w:t>
      </w:r>
    </w:p>
    <w:p w:rsidR="003A1E22" w:rsidRPr="00C06479" w:rsidRDefault="003A1E22" w:rsidP="003A1E22">
      <w:pPr>
        <w:tabs>
          <w:tab w:val="left" w:pos="993"/>
          <w:tab w:val="left" w:pos="3780"/>
        </w:tabs>
        <w:autoSpaceDE w:val="0"/>
        <w:autoSpaceDN w:val="0"/>
        <w:adjustRightInd w:val="0"/>
        <w:snapToGrid w:val="0"/>
        <w:spacing w:line="360" w:lineRule="auto"/>
        <w:ind w:firstLineChars="200" w:firstLine="480"/>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风险提示：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产品资料概要》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327C74" w:rsidRPr="00C06479" w:rsidRDefault="00327C74" w:rsidP="003A1E22">
      <w:pPr>
        <w:tabs>
          <w:tab w:val="left" w:pos="993"/>
          <w:tab w:val="left" w:pos="3780"/>
        </w:tabs>
        <w:autoSpaceDE w:val="0"/>
        <w:autoSpaceDN w:val="0"/>
        <w:adjustRightInd w:val="0"/>
        <w:snapToGrid w:val="0"/>
        <w:spacing w:line="360" w:lineRule="auto"/>
        <w:ind w:firstLineChars="200" w:firstLine="480"/>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lastRenderedPageBreak/>
        <w:t>通过港股通机制参与香港股票市场交易的公募基金会面临港股通机制下因投资环境、投资标的、市场制度以及交易规则等差异带来的特有风险，包括港股市场股价波动较大的风险（港股市场实行T+0回转交易，且对个股不设涨跌幅限制，港股股价可能表示出比A股更为剧烈的股价波动）、汇率风险(汇率波动可能对基金的投资收益造成损失)、港股通机制下交易日不连贯可能带来的风险（在内地开市香港休市的情形下，港股通不能正常交易，港股不能及时卖出，可能带来一定的流动风险）等。基金可根据投资策略需要或不同配置地市场环境的变化，选择将部分基金资产投资于港股或选择不将基金资产投资于港股，基金资产并非必然投资港股。</w:t>
      </w:r>
    </w:p>
    <w:p w:rsidR="003A1E22" w:rsidRPr="00C06479" w:rsidRDefault="003A1E22" w:rsidP="003A1E22">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p w:rsidR="003A1E22" w:rsidRPr="00C06479" w:rsidRDefault="003A1E22" w:rsidP="003A1E22">
      <w:pPr>
        <w:tabs>
          <w:tab w:val="left" w:pos="993"/>
          <w:tab w:val="left" w:pos="3780"/>
        </w:tabs>
        <w:autoSpaceDE w:val="0"/>
        <w:autoSpaceDN w:val="0"/>
        <w:adjustRightInd w:val="0"/>
        <w:snapToGrid w:val="0"/>
        <w:spacing w:line="360" w:lineRule="auto"/>
        <w:ind w:firstLineChars="200" w:firstLine="480"/>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特此公告。</w:t>
      </w:r>
    </w:p>
    <w:p w:rsidR="00735BDE" w:rsidRPr="00C06479" w:rsidRDefault="00735BDE" w:rsidP="003A1E22">
      <w:pPr>
        <w:tabs>
          <w:tab w:val="left" w:pos="993"/>
          <w:tab w:val="left" w:pos="3780"/>
        </w:tabs>
        <w:autoSpaceDE w:val="0"/>
        <w:autoSpaceDN w:val="0"/>
        <w:adjustRightInd w:val="0"/>
        <w:snapToGrid w:val="0"/>
        <w:spacing w:line="360" w:lineRule="auto"/>
        <w:ind w:firstLineChars="200" w:firstLine="420"/>
        <w:textAlignment w:val="bottom"/>
        <w:rPr>
          <w:rFonts w:asciiTheme="majorEastAsia" w:eastAsiaTheme="majorEastAsia" w:hAnsiTheme="majorEastAsia"/>
          <w:sz w:val="24"/>
        </w:rPr>
      </w:pPr>
      <w:r w:rsidRPr="00C06479">
        <w:rPr>
          <w:rFonts w:hint="eastAsia"/>
          <w:szCs w:val="21"/>
        </w:rPr>
        <w:t xml:space="preserve"> </w:t>
      </w:r>
      <w:r w:rsidRPr="00C06479">
        <w:rPr>
          <w:rFonts w:asciiTheme="majorEastAsia" w:eastAsiaTheme="majorEastAsia" w:hAnsiTheme="majorEastAsia" w:hint="eastAsia"/>
          <w:sz w:val="24"/>
        </w:rPr>
        <w:t xml:space="preserve">   </w:t>
      </w:r>
    </w:p>
    <w:p w:rsidR="000D5096" w:rsidRPr="00C06479" w:rsidRDefault="00735BDE" w:rsidP="003A1E22">
      <w:pPr>
        <w:tabs>
          <w:tab w:val="left" w:pos="993"/>
          <w:tab w:val="left" w:pos="3780"/>
        </w:tabs>
        <w:autoSpaceDE w:val="0"/>
        <w:autoSpaceDN w:val="0"/>
        <w:adjustRightInd w:val="0"/>
        <w:snapToGrid w:val="0"/>
        <w:spacing w:line="360" w:lineRule="auto"/>
        <w:ind w:firstLineChars="200" w:firstLine="420"/>
        <w:jc w:val="right"/>
        <w:textAlignment w:val="bottom"/>
        <w:rPr>
          <w:rFonts w:asciiTheme="majorEastAsia" w:eastAsiaTheme="majorEastAsia" w:hAnsiTheme="majorEastAsia"/>
          <w:sz w:val="24"/>
        </w:rPr>
      </w:pPr>
      <w:r w:rsidRPr="00C06479">
        <w:rPr>
          <w:rFonts w:hint="eastAsia"/>
          <w:szCs w:val="21"/>
        </w:rPr>
        <w:t xml:space="preserve">                                       </w:t>
      </w:r>
      <w:r w:rsidR="003A1E22" w:rsidRPr="00C06479">
        <w:rPr>
          <w:rFonts w:asciiTheme="majorEastAsia" w:eastAsiaTheme="majorEastAsia" w:hAnsiTheme="majorEastAsia" w:hint="eastAsia"/>
          <w:sz w:val="24"/>
        </w:rPr>
        <w:t xml:space="preserve">       </w:t>
      </w:r>
      <w:r w:rsidR="000D5096" w:rsidRPr="00C06479">
        <w:rPr>
          <w:rFonts w:asciiTheme="majorEastAsia" w:eastAsiaTheme="majorEastAsia" w:hAnsiTheme="majorEastAsia" w:hint="eastAsia"/>
          <w:sz w:val="24"/>
        </w:rPr>
        <w:t>汇丰晋信基金管理有限公司</w:t>
      </w:r>
    </w:p>
    <w:p w:rsidR="00EE70EC" w:rsidRDefault="00735BDE" w:rsidP="003A1E22">
      <w:pPr>
        <w:tabs>
          <w:tab w:val="left" w:pos="993"/>
          <w:tab w:val="left" w:pos="3780"/>
        </w:tabs>
        <w:autoSpaceDE w:val="0"/>
        <w:autoSpaceDN w:val="0"/>
        <w:adjustRightInd w:val="0"/>
        <w:snapToGrid w:val="0"/>
        <w:spacing w:line="360" w:lineRule="auto"/>
        <w:ind w:firstLineChars="200" w:firstLine="480"/>
        <w:jc w:val="right"/>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 xml:space="preserve">                          </w:t>
      </w:r>
      <w:r w:rsidR="00DA0A17" w:rsidRPr="00C06479">
        <w:rPr>
          <w:rFonts w:asciiTheme="majorEastAsia" w:eastAsiaTheme="majorEastAsia" w:hAnsiTheme="majorEastAsia" w:hint="eastAsia"/>
          <w:sz w:val="24"/>
        </w:rPr>
        <w:t xml:space="preserve">                 </w:t>
      </w:r>
      <w:r w:rsidR="003A1E22" w:rsidRPr="00C06479">
        <w:rPr>
          <w:rFonts w:asciiTheme="majorEastAsia" w:eastAsiaTheme="majorEastAsia" w:hAnsiTheme="majorEastAsia" w:hint="eastAsia"/>
          <w:sz w:val="24"/>
        </w:rPr>
        <w:t xml:space="preserve">  </w:t>
      </w:r>
      <w:r w:rsidR="000D5096" w:rsidRPr="00C06479">
        <w:rPr>
          <w:rFonts w:asciiTheme="majorEastAsia" w:eastAsiaTheme="majorEastAsia" w:hAnsiTheme="majorEastAsia" w:hint="eastAsia"/>
          <w:sz w:val="24"/>
        </w:rPr>
        <w:t>20</w:t>
      </w:r>
      <w:r w:rsidR="006A11C5" w:rsidRPr="00C06479">
        <w:rPr>
          <w:rFonts w:asciiTheme="majorEastAsia" w:eastAsiaTheme="majorEastAsia" w:hAnsiTheme="majorEastAsia" w:hint="eastAsia"/>
          <w:sz w:val="24"/>
        </w:rPr>
        <w:t>2</w:t>
      </w:r>
      <w:r w:rsidR="00327C74" w:rsidRPr="00C06479">
        <w:rPr>
          <w:rFonts w:asciiTheme="majorEastAsia" w:eastAsiaTheme="majorEastAsia" w:hAnsiTheme="majorEastAsia"/>
          <w:sz w:val="24"/>
        </w:rPr>
        <w:t>4</w:t>
      </w:r>
      <w:r w:rsidRPr="00C06479">
        <w:rPr>
          <w:rFonts w:asciiTheme="majorEastAsia" w:eastAsiaTheme="majorEastAsia" w:hAnsiTheme="majorEastAsia" w:hint="eastAsia"/>
          <w:sz w:val="24"/>
        </w:rPr>
        <w:t>年</w:t>
      </w:r>
      <w:r w:rsidR="00DA0A17" w:rsidRPr="00C06479">
        <w:rPr>
          <w:rFonts w:asciiTheme="majorEastAsia" w:eastAsiaTheme="majorEastAsia" w:hAnsiTheme="majorEastAsia" w:hint="eastAsia"/>
          <w:sz w:val="24"/>
        </w:rPr>
        <w:t>1</w:t>
      </w:r>
      <w:r w:rsidR="00DA0A17" w:rsidRPr="00C06479">
        <w:rPr>
          <w:rFonts w:asciiTheme="majorEastAsia" w:eastAsiaTheme="majorEastAsia" w:hAnsiTheme="majorEastAsia"/>
          <w:sz w:val="24"/>
        </w:rPr>
        <w:t>2</w:t>
      </w:r>
      <w:r w:rsidRPr="00C06479">
        <w:rPr>
          <w:rFonts w:asciiTheme="majorEastAsia" w:eastAsiaTheme="majorEastAsia" w:hAnsiTheme="majorEastAsia" w:hint="eastAsia"/>
          <w:sz w:val="24"/>
        </w:rPr>
        <w:t>月</w:t>
      </w:r>
      <w:r w:rsidR="00DA0A17" w:rsidRPr="00C06479">
        <w:rPr>
          <w:rFonts w:asciiTheme="majorEastAsia" w:eastAsiaTheme="majorEastAsia" w:hAnsiTheme="majorEastAsia" w:hint="eastAsia"/>
          <w:sz w:val="24"/>
        </w:rPr>
        <w:t>3</w:t>
      </w:r>
      <w:r w:rsidR="00DA0A17" w:rsidRPr="00C06479">
        <w:rPr>
          <w:rFonts w:asciiTheme="majorEastAsia" w:eastAsiaTheme="majorEastAsia" w:hAnsiTheme="majorEastAsia"/>
          <w:sz w:val="24"/>
        </w:rPr>
        <w:t>1</w:t>
      </w:r>
      <w:r w:rsidRPr="00C06479">
        <w:rPr>
          <w:rFonts w:asciiTheme="majorEastAsia" w:eastAsiaTheme="majorEastAsia" w:hAnsiTheme="majorEastAsia" w:hint="eastAsia"/>
          <w:sz w:val="24"/>
        </w:rPr>
        <w:t>日</w:t>
      </w:r>
    </w:p>
    <w:p w:rsidR="005A6FEB" w:rsidRDefault="005A6FEB" w:rsidP="003A1E22">
      <w:pPr>
        <w:tabs>
          <w:tab w:val="left" w:pos="993"/>
          <w:tab w:val="left" w:pos="3780"/>
        </w:tabs>
        <w:autoSpaceDE w:val="0"/>
        <w:autoSpaceDN w:val="0"/>
        <w:adjustRightInd w:val="0"/>
        <w:snapToGrid w:val="0"/>
        <w:spacing w:line="360" w:lineRule="auto"/>
        <w:ind w:firstLineChars="200" w:firstLine="480"/>
        <w:jc w:val="right"/>
        <w:textAlignment w:val="bottom"/>
        <w:rPr>
          <w:rFonts w:asciiTheme="majorEastAsia" w:eastAsiaTheme="majorEastAsia" w:hAnsiTheme="majorEastAsia"/>
          <w:sz w:val="24"/>
        </w:rPr>
      </w:pPr>
    </w:p>
    <w:p w:rsidR="005A6FEB" w:rsidRDefault="005A6FEB" w:rsidP="00CB1B1C">
      <w:pPr>
        <w:tabs>
          <w:tab w:val="left" w:pos="993"/>
          <w:tab w:val="left" w:pos="3780"/>
        </w:tabs>
        <w:autoSpaceDE w:val="0"/>
        <w:autoSpaceDN w:val="0"/>
        <w:adjustRightInd w:val="0"/>
        <w:snapToGrid w:val="0"/>
        <w:spacing w:line="360" w:lineRule="auto"/>
        <w:jc w:val="left"/>
        <w:textAlignment w:val="bottom"/>
        <w:rPr>
          <w:rFonts w:asciiTheme="majorEastAsia" w:eastAsiaTheme="majorEastAsia" w:hAnsiTheme="majorEastAsia"/>
          <w:sz w:val="24"/>
        </w:rPr>
      </w:pPr>
      <w:r>
        <w:rPr>
          <w:rFonts w:asciiTheme="majorEastAsia" w:eastAsiaTheme="majorEastAsia" w:hAnsiTheme="majorEastAsia" w:hint="eastAsia"/>
          <w:sz w:val="24"/>
        </w:rPr>
        <w:t>附件：</w:t>
      </w:r>
      <w:r w:rsidRPr="00CA4C7C">
        <w:rPr>
          <w:rFonts w:asciiTheme="majorEastAsia" w:eastAsiaTheme="majorEastAsia" w:hAnsiTheme="majorEastAsia"/>
          <w:sz w:val="24"/>
        </w:rPr>
        <w:t>相关基金名单（及费率调整安排）</w:t>
      </w:r>
    </w:p>
    <w:p w:rsidR="005A6FEB" w:rsidRPr="00C06479" w:rsidRDefault="005A6FEB" w:rsidP="00CB1B1C">
      <w:pPr>
        <w:widowControl/>
        <w:spacing w:line="360" w:lineRule="auto"/>
        <w:rPr>
          <w:rFonts w:asciiTheme="majorEastAsia" w:eastAsiaTheme="majorEastAsia" w:hAnsiTheme="majorEastAsia" w:cs="Times New Roman"/>
          <w:sz w:val="24"/>
          <w:szCs w:val="24"/>
        </w:rPr>
      </w:pPr>
      <w:r w:rsidRPr="00C06479">
        <w:rPr>
          <w:rFonts w:asciiTheme="majorEastAsia" w:eastAsiaTheme="majorEastAsia" w:hAnsiTheme="majorEastAsia" w:cs="Times New Roman" w:hint="eastAsia"/>
          <w:sz w:val="24"/>
          <w:szCs w:val="24"/>
        </w:rPr>
        <w:t>1、自2</w:t>
      </w:r>
      <w:r w:rsidRPr="00C06479">
        <w:rPr>
          <w:rFonts w:asciiTheme="majorEastAsia" w:eastAsiaTheme="majorEastAsia" w:hAnsiTheme="majorEastAsia" w:cs="Times New Roman"/>
          <w:sz w:val="24"/>
          <w:szCs w:val="24"/>
        </w:rPr>
        <w:t>024</w:t>
      </w:r>
      <w:r w:rsidRPr="00C06479">
        <w:rPr>
          <w:rFonts w:asciiTheme="majorEastAsia" w:eastAsiaTheme="majorEastAsia" w:hAnsiTheme="majorEastAsia" w:cs="Times New Roman" w:hint="eastAsia"/>
          <w:sz w:val="24"/>
          <w:szCs w:val="24"/>
        </w:rPr>
        <w:t>年</w:t>
      </w:r>
      <w:r w:rsidRPr="00C06479">
        <w:rPr>
          <w:rFonts w:asciiTheme="majorEastAsia" w:eastAsiaTheme="majorEastAsia" w:hAnsiTheme="majorEastAsia" w:cs="Times New Roman"/>
          <w:sz w:val="24"/>
          <w:szCs w:val="24"/>
        </w:rPr>
        <w:t>12</w:t>
      </w:r>
      <w:r w:rsidRPr="00C06479">
        <w:rPr>
          <w:rFonts w:asciiTheme="majorEastAsia" w:eastAsiaTheme="majorEastAsia" w:hAnsiTheme="majorEastAsia" w:cs="Times New Roman" w:hint="eastAsia"/>
          <w:sz w:val="24"/>
          <w:szCs w:val="24"/>
        </w:rPr>
        <w:t>月</w:t>
      </w:r>
      <w:r w:rsidRPr="00C06479">
        <w:rPr>
          <w:rFonts w:asciiTheme="majorEastAsia" w:eastAsiaTheme="majorEastAsia" w:hAnsiTheme="majorEastAsia" w:cs="Times New Roman"/>
          <w:sz w:val="24"/>
          <w:szCs w:val="24"/>
        </w:rPr>
        <w:t>31</w:t>
      </w:r>
      <w:r w:rsidRPr="00C06479">
        <w:rPr>
          <w:rFonts w:asciiTheme="majorEastAsia" w:eastAsiaTheme="majorEastAsia" w:hAnsiTheme="majorEastAsia" w:cs="Times New Roman" w:hint="eastAsia"/>
          <w:sz w:val="24"/>
          <w:szCs w:val="24"/>
        </w:rPr>
        <w:t>日起，调整下述基金的管理费</w:t>
      </w:r>
      <w:r w:rsidR="00FE1D52">
        <w:rPr>
          <w:rFonts w:asciiTheme="majorEastAsia" w:eastAsiaTheme="majorEastAsia" w:hAnsiTheme="majorEastAsia" w:cs="Times New Roman" w:hint="eastAsia"/>
          <w:sz w:val="24"/>
          <w:szCs w:val="24"/>
        </w:rPr>
        <w:t>率</w:t>
      </w:r>
      <w:r w:rsidRPr="00C06479">
        <w:rPr>
          <w:rFonts w:asciiTheme="majorEastAsia" w:eastAsiaTheme="majorEastAsia" w:hAnsiTheme="majorEastAsia" w:cs="Times New Roman" w:hint="eastAsia"/>
          <w:sz w:val="24"/>
          <w:szCs w:val="24"/>
        </w:rPr>
        <w:t>和托管费</w:t>
      </w:r>
      <w:r w:rsidR="00FE1D52">
        <w:rPr>
          <w:rFonts w:asciiTheme="majorEastAsia" w:eastAsiaTheme="majorEastAsia" w:hAnsiTheme="majorEastAsia" w:cs="Times New Roman" w:hint="eastAsia"/>
          <w:sz w:val="24"/>
          <w:szCs w:val="24"/>
        </w:rPr>
        <w:t>率</w:t>
      </w:r>
      <w:r w:rsidRPr="00C06479">
        <w:rPr>
          <w:rFonts w:asciiTheme="majorEastAsia" w:eastAsiaTheme="majorEastAsia" w:hAnsiTheme="majorEastAsia" w:cs="Times New Roman" w:hint="eastAsia"/>
          <w:sz w:val="24"/>
          <w:szCs w:val="24"/>
        </w:rPr>
        <w:t>：</w:t>
      </w:r>
    </w:p>
    <w:tbl>
      <w:tblPr>
        <w:tblStyle w:val="a7"/>
        <w:tblW w:w="9498" w:type="dxa"/>
        <w:tblInd w:w="-572" w:type="dxa"/>
        <w:tblLook w:val="04A0"/>
      </w:tblPr>
      <w:tblGrid>
        <w:gridCol w:w="709"/>
        <w:gridCol w:w="992"/>
        <w:gridCol w:w="3828"/>
        <w:gridCol w:w="992"/>
        <w:gridCol w:w="992"/>
        <w:gridCol w:w="992"/>
        <w:gridCol w:w="993"/>
      </w:tblGrid>
      <w:tr w:rsidR="005A6FEB" w:rsidRPr="00C06479" w:rsidTr="00CB1B1C">
        <w:tc>
          <w:tcPr>
            <w:tcW w:w="709" w:type="dxa"/>
            <w:vMerge w:val="restart"/>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序号</w:t>
            </w:r>
          </w:p>
        </w:tc>
        <w:tc>
          <w:tcPr>
            <w:tcW w:w="992" w:type="dxa"/>
            <w:vMerge w:val="restart"/>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基金主代码</w:t>
            </w:r>
          </w:p>
        </w:tc>
        <w:tc>
          <w:tcPr>
            <w:tcW w:w="3828" w:type="dxa"/>
            <w:vMerge w:val="restart"/>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基金名称</w:t>
            </w:r>
          </w:p>
        </w:tc>
        <w:tc>
          <w:tcPr>
            <w:tcW w:w="1984" w:type="dxa"/>
            <w:gridSpan w:val="2"/>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调整前</w:t>
            </w:r>
          </w:p>
        </w:tc>
        <w:tc>
          <w:tcPr>
            <w:tcW w:w="1985" w:type="dxa"/>
            <w:gridSpan w:val="2"/>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调整后</w:t>
            </w:r>
          </w:p>
        </w:tc>
      </w:tr>
      <w:tr w:rsidR="005A6FEB" w:rsidRPr="00C06479" w:rsidTr="00CB1B1C">
        <w:tc>
          <w:tcPr>
            <w:tcW w:w="709" w:type="dxa"/>
            <w:vMerge/>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tc>
        <w:tc>
          <w:tcPr>
            <w:tcW w:w="992" w:type="dxa"/>
            <w:vMerge/>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tc>
        <w:tc>
          <w:tcPr>
            <w:tcW w:w="3828" w:type="dxa"/>
            <w:vMerge/>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tc>
        <w:tc>
          <w:tcPr>
            <w:tcW w:w="992"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管理费率%</w:t>
            </w:r>
          </w:p>
        </w:tc>
        <w:tc>
          <w:tcPr>
            <w:tcW w:w="992"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托管费率%</w:t>
            </w:r>
          </w:p>
        </w:tc>
        <w:tc>
          <w:tcPr>
            <w:tcW w:w="992"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管理费率%</w:t>
            </w:r>
          </w:p>
        </w:tc>
        <w:tc>
          <w:tcPr>
            <w:tcW w:w="993"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托管费率%</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1</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5400</w:t>
            </w:r>
            <w:r w:rsidRPr="00C06479">
              <w:rPr>
                <w:rFonts w:asciiTheme="majorEastAsia" w:eastAsiaTheme="majorEastAsia" w:hAnsiTheme="majorEastAsia"/>
                <w:sz w:val="24"/>
              </w:rPr>
              <w:t>07</w:t>
            </w:r>
          </w:p>
        </w:tc>
        <w:tc>
          <w:tcPr>
            <w:tcW w:w="3828" w:type="dxa"/>
          </w:tcPr>
          <w:p w:rsidR="005A6FEB" w:rsidRPr="00C06479" w:rsidRDefault="005A6FEB" w:rsidP="006B0FA6">
            <w:pPr>
              <w:tabs>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汇丰晋信中小盘股票型证券投资基金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2</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002332</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汇丰晋信沪港深股票型证券投资基金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3</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004351</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汇丰晋信珠三角区域发展混合型证券投资基金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4</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006781</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汇丰晋信港股通精选股票型证券投资基金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007291</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汇丰晋信港股通双核策略混合型证</w:t>
            </w:r>
            <w:r w:rsidRPr="00C06479">
              <w:rPr>
                <w:rFonts w:asciiTheme="majorEastAsia" w:eastAsiaTheme="majorEastAsia" w:hAnsiTheme="majorEastAsia" w:hint="eastAsia"/>
                <w:sz w:val="24"/>
              </w:rPr>
              <w:lastRenderedPageBreak/>
              <w:t>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lastRenderedPageBreak/>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lastRenderedPageBreak/>
              <w:t>6</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011077</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汇丰晋信创新先锋股票型证券投资基金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7</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012358</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汇丰晋信医疗先锋混合型证券投资基金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8</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016174</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汇丰晋信策略优选混合型证券投资基金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b/>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9</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016285</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汇丰晋信龙头优势混合型证券投资基金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014917</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汇丰晋信时代先锋混合型证券投资基金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bl>
    <w:p w:rsidR="005A6FEB" w:rsidRPr="00C06479" w:rsidRDefault="005A6FEB" w:rsidP="00CB1B1C">
      <w:pPr>
        <w:widowControl/>
        <w:spacing w:line="360" w:lineRule="auto"/>
        <w:rPr>
          <w:rFonts w:asciiTheme="majorEastAsia" w:eastAsiaTheme="majorEastAsia" w:hAnsiTheme="majorEastAsia" w:cs="Times New Roman"/>
          <w:sz w:val="24"/>
          <w:szCs w:val="24"/>
        </w:rPr>
      </w:pPr>
      <w:r w:rsidRPr="00C06479">
        <w:rPr>
          <w:rFonts w:asciiTheme="majorEastAsia" w:eastAsiaTheme="majorEastAsia" w:hAnsiTheme="majorEastAsia" w:cs="Times New Roman" w:hint="eastAsia"/>
          <w:sz w:val="24"/>
          <w:szCs w:val="24"/>
        </w:rPr>
        <w:t>2、自</w:t>
      </w:r>
      <w:r w:rsidRPr="00C06479">
        <w:rPr>
          <w:rFonts w:asciiTheme="majorEastAsia" w:eastAsiaTheme="majorEastAsia" w:hAnsiTheme="majorEastAsia" w:cs="Times New Roman"/>
          <w:sz w:val="24"/>
          <w:szCs w:val="24"/>
        </w:rPr>
        <w:t>2025</w:t>
      </w:r>
      <w:r w:rsidRPr="00C06479">
        <w:rPr>
          <w:rFonts w:asciiTheme="majorEastAsia" w:eastAsiaTheme="majorEastAsia" w:hAnsiTheme="majorEastAsia" w:cs="Times New Roman" w:hint="eastAsia"/>
          <w:sz w:val="24"/>
          <w:szCs w:val="24"/>
        </w:rPr>
        <w:t>年</w:t>
      </w:r>
      <w:r w:rsidRPr="00C06479">
        <w:rPr>
          <w:rFonts w:asciiTheme="majorEastAsia" w:eastAsiaTheme="majorEastAsia" w:hAnsiTheme="majorEastAsia" w:cs="Times New Roman"/>
          <w:sz w:val="24"/>
          <w:szCs w:val="24"/>
        </w:rPr>
        <w:t>3</w:t>
      </w:r>
      <w:r w:rsidRPr="00C06479">
        <w:rPr>
          <w:rFonts w:asciiTheme="majorEastAsia" w:eastAsiaTheme="majorEastAsia" w:hAnsiTheme="majorEastAsia" w:cs="Times New Roman" w:hint="eastAsia"/>
          <w:sz w:val="24"/>
          <w:szCs w:val="24"/>
        </w:rPr>
        <w:t>月</w:t>
      </w:r>
      <w:r w:rsidRPr="00C06479">
        <w:rPr>
          <w:rFonts w:asciiTheme="majorEastAsia" w:eastAsiaTheme="majorEastAsia" w:hAnsiTheme="majorEastAsia" w:cs="Times New Roman"/>
          <w:sz w:val="24"/>
          <w:szCs w:val="24"/>
        </w:rPr>
        <w:t>31</w:t>
      </w:r>
      <w:r w:rsidRPr="00C06479">
        <w:rPr>
          <w:rFonts w:asciiTheme="majorEastAsia" w:eastAsiaTheme="majorEastAsia" w:hAnsiTheme="majorEastAsia" w:cs="Times New Roman" w:hint="eastAsia"/>
          <w:sz w:val="24"/>
          <w:szCs w:val="24"/>
        </w:rPr>
        <w:t>日起，调整下述基金的管理费</w:t>
      </w:r>
      <w:r w:rsidR="00FE1D52">
        <w:rPr>
          <w:rFonts w:asciiTheme="majorEastAsia" w:eastAsiaTheme="majorEastAsia" w:hAnsiTheme="majorEastAsia" w:cs="Times New Roman" w:hint="eastAsia"/>
          <w:sz w:val="24"/>
          <w:szCs w:val="24"/>
        </w:rPr>
        <w:t>率</w:t>
      </w:r>
      <w:r w:rsidRPr="00C06479">
        <w:rPr>
          <w:rFonts w:asciiTheme="majorEastAsia" w:eastAsiaTheme="majorEastAsia" w:hAnsiTheme="majorEastAsia" w:cs="Times New Roman" w:hint="eastAsia"/>
          <w:sz w:val="24"/>
          <w:szCs w:val="24"/>
        </w:rPr>
        <w:t>和托管费</w:t>
      </w:r>
      <w:r w:rsidR="00FE1D52">
        <w:rPr>
          <w:rFonts w:asciiTheme="majorEastAsia" w:eastAsiaTheme="majorEastAsia" w:hAnsiTheme="majorEastAsia" w:cs="Times New Roman" w:hint="eastAsia"/>
          <w:sz w:val="24"/>
          <w:szCs w:val="24"/>
        </w:rPr>
        <w:t>率</w:t>
      </w:r>
      <w:r w:rsidRPr="00C06479">
        <w:rPr>
          <w:rFonts w:asciiTheme="majorEastAsia" w:eastAsiaTheme="majorEastAsia" w:hAnsiTheme="majorEastAsia" w:cs="Times New Roman" w:hint="eastAsia"/>
          <w:sz w:val="24"/>
          <w:szCs w:val="24"/>
        </w:rPr>
        <w:t>：</w:t>
      </w:r>
    </w:p>
    <w:tbl>
      <w:tblPr>
        <w:tblStyle w:val="a7"/>
        <w:tblW w:w="9498" w:type="dxa"/>
        <w:tblInd w:w="-572" w:type="dxa"/>
        <w:tblLook w:val="04A0"/>
      </w:tblPr>
      <w:tblGrid>
        <w:gridCol w:w="709"/>
        <w:gridCol w:w="992"/>
        <w:gridCol w:w="3828"/>
        <w:gridCol w:w="992"/>
        <w:gridCol w:w="992"/>
        <w:gridCol w:w="992"/>
        <w:gridCol w:w="993"/>
      </w:tblGrid>
      <w:tr w:rsidR="005A6FEB" w:rsidRPr="00C06479" w:rsidTr="00CB1B1C">
        <w:tc>
          <w:tcPr>
            <w:tcW w:w="709" w:type="dxa"/>
            <w:vMerge w:val="restart"/>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序号</w:t>
            </w:r>
          </w:p>
        </w:tc>
        <w:tc>
          <w:tcPr>
            <w:tcW w:w="992" w:type="dxa"/>
            <w:vMerge w:val="restart"/>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基金主代码</w:t>
            </w:r>
          </w:p>
        </w:tc>
        <w:tc>
          <w:tcPr>
            <w:tcW w:w="3828" w:type="dxa"/>
            <w:vMerge w:val="restart"/>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基金名称</w:t>
            </w:r>
          </w:p>
        </w:tc>
        <w:tc>
          <w:tcPr>
            <w:tcW w:w="1984" w:type="dxa"/>
            <w:gridSpan w:val="2"/>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调整前</w:t>
            </w:r>
          </w:p>
        </w:tc>
        <w:tc>
          <w:tcPr>
            <w:tcW w:w="1985" w:type="dxa"/>
            <w:gridSpan w:val="2"/>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调整后</w:t>
            </w:r>
          </w:p>
        </w:tc>
      </w:tr>
      <w:tr w:rsidR="005A6FEB" w:rsidRPr="00C06479" w:rsidTr="00CB1B1C">
        <w:tc>
          <w:tcPr>
            <w:tcW w:w="709" w:type="dxa"/>
            <w:vMerge/>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tc>
        <w:tc>
          <w:tcPr>
            <w:tcW w:w="992" w:type="dxa"/>
            <w:vMerge/>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tc>
        <w:tc>
          <w:tcPr>
            <w:tcW w:w="3828" w:type="dxa"/>
            <w:vMerge/>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p>
        </w:tc>
        <w:tc>
          <w:tcPr>
            <w:tcW w:w="992"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管理费率%</w:t>
            </w:r>
          </w:p>
        </w:tc>
        <w:tc>
          <w:tcPr>
            <w:tcW w:w="992"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托管费率%</w:t>
            </w:r>
          </w:p>
        </w:tc>
        <w:tc>
          <w:tcPr>
            <w:tcW w:w="992"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管理费率%</w:t>
            </w:r>
          </w:p>
        </w:tc>
        <w:tc>
          <w:tcPr>
            <w:tcW w:w="993" w:type="dxa"/>
            <w:vAlign w:val="center"/>
          </w:tcPr>
          <w:p w:rsidR="005A6FEB" w:rsidRPr="00C06479" w:rsidRDefault="005A6FEB" w:rsidP="006B0FA6">
            <w:pPr>
              <w:tabs>
                <w:tab w:val="left" w:pos="993"/>
                <w:tab w:val="left" w:pos="3780"/>
              </w:tabs>
              <w:autoSpaceDE w:val="0"/>
              <w:autoSpaceDN w:val="0"/>
              <w:adjustRightInd w:val="0"/>
              <w:snapToGrid w:val="0"/>
              <w:spacing w:line="360" w:lineRule="auto"/>
              <w:jc w:val="center"/>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托管费率%</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540002</w:t>
            </w:r>
          </w:p>
        </w:tc>
        <w:tc>
          <w:tcPr>
            <w:tcW w:w="3828" w:type="dxa"/>
          </w:tcPr>
          <w:p w:rsidR="005A6FEB" w:rsidRPr="00C06479" w:rsidRDefault="005A6FEB" w:rsidP="006B0FA6">
            <w:pPr>
              <w:tabs>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汇丰晋信龙腾混合型证券投资基金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2</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5400</w:t>
            </w:r>
            <w:r w:rsidRPr="00C06479">
              <w:rPr>
                <w:rFonts w:asciiTheme="majorEastAsia" w:eastAsiaTheme="majorEastAsia" w:hAnsiTheme="majorEastAsia"/>
                <w:sz w:val="24"/>
              </w:rPr>
              <w:t>03</w:t>
            </w:r>
          </w:p>
        </w:tc>
        <w:tc>
          <w:tcPr>
            <w:tcW w:w="3828" w:type="dxa"/>
          </w:tcPr>
          <w:p w:rsidR="005A6FEB" w:rsidRPr="00C06479" w:rsidRDefault="005A6FEB" w:rsidP="006B0FA6">
            <w:pPr>
              <w:tabs>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汇丰晋信动态策略混合型证券投资基金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3</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540006</w:t>
            </w:r>
          </w:p>
        </w:tc>
        <w:tc>
          <w:tcPr>
            <w:tcW w:w="3828" w:type="dxa"/>
          </w:tcPr>
          <w:p w:rsidR="005A6FEB" w:rsidRPr="00C06479" w:rsidRDefault="005A6FEB" w:rsidP="006B0FA6">
            <w:pPr>
              <w:tabs>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汇丰晋信大盘股票型证券投资基金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4</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540008</w:t>
            </w:r>
          </w:p>
        </w:tc>
        <w:tc>
          <w:tcPr>
            <w:tcW w:w="3828" w:type="dxa"/>
          </w:tcPr>
          <w:p w:rsidR="005A6FEB" w:rsidRPr="00C06479" w:rsidRDefault="005A6FEB" w:rsidP="006B0FA6">
            <w:pPr>
              <w:tabs>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汇丰晋信低碳先锋股票型证券投资基金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000965</w:t>
            </w:r>
          </w:p>
        </w:tc>
        <w:tc>
          <w:tcPr>
            <w:tcW w:w="3828" w:type="dxa"/>
          </w:tcPr>
          <w:p w:rsidR="005A6FEB" w:rsidRPr="00C06479" w:rsidRDefault="005A6FEB" w:rsidP="006B0FA6">
            <w:pPr>
              <w:tabs>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汇丰晋信新动力混合型证券投资基金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6</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001643</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汇丰晋信智造先锋股票型证券投资基金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7</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004350</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汇丰晋信价值先锋股票型证券投资基金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8</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011578</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汇丰晋信核心成长混合型证券投资基金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r w:rsidR="005A6FEB" w:rsidRPr="00C06479" w:rsidTr="00CB1B1C">
        <w:tc>
          <w:tcPr>
            <w:tcW w:w="709"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9</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sz w:val="24"/>
              </w:rPr>
              <w:t>014423</w:t>
            </w:r>
          </w:p>
        </w:tc>
        <w:tc>
          <w:tcPr>
            <w:tcW w:w="3828"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汇丰晋信研究精选混合型证券投资基金</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.50</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.25</w:t>
            </w:r>
          </w:p>
        </w:tc>
        <w:tc>
          <w:tcPr>
            <w:tcW w:w="992"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1</w:t>
            </w:r>
            <w:r w:rsidRPr="00C06479">
              <w:rPr>
                <w:rFonts w:asciiTheme="majorEastAsia" w:eastAsiaTheme="majorEastAsia" w:hAnsiTheme="majorEastAsia"/>
                <w:sz w:val="24"/>
              </w:rPr>
              <w:t>.20</w:t>
            </w:r>
          </w:p>
        </w:tc>
        <w:tc>
          <w:tcPr>
            <w:tcW w:w="993" w:type="dxa"/>
          </w:tcPr>
          <w:p w:rsidR="005A6FEB" w:rsidRPr="00C06479" w:rsidRDefault="005A6FEB" w:rsidP="006B0FA6">
            <w:pPr>
              <w:tabs>
                <w:tab w:val="left" w:pos="993"/>
                <w:tab w:val="left" w:pos="3780"/>
              </w:tabs>
              <w:autoSpaceDE w:val="0"/>
              <w:autoSpaceDN w:val="0"/>
              <w:adjustRightInd w:val="0"/>
              <w:snapToGrid w:val="0"/>
              <w:spacing w:line="360" w:lineRule="auto"/>
              <w:textAlignment w:val="bottom"/>
              <w:rPr>
                <w:rFonts w:asciiTheme="majorEastAsia" w:eastAsiaTheme="majorEastAsia" w:hAnsiTheme="majorEastAsia"/>
                <w:sz w:val="24"/>
              </w:rPr>
            </w:pPr>
            <w:r w:rsidRPr="00C06479">
              <w:rPr>
                <w:rFonts w:asciiTheme="majorEastAsia" w:eastAsiaTheme="majorEastAsia" w:hAnsiTheme="majorEastAsia" w:hint="eastAsia"/>
                <w:sz w:val="24"/>
              </w:rPr>
              <w:t>0</w:t>
            </w:r>
            <w:r w:rsidRPr="00C06479">
              <w:rPr>
                <w:rFonts w:asciiTheme="majorEastAsia" w:eastAsiaTheme="majorEastAsia" w:hAnsiTheme="majorEastAsia"/>
                <w:sz w:val="24"/>
              </w:rPr>
              <w:t>.20</w:t>
            </w:r>
          </w:p>
        </w:tc>
      </w:tr>
    </w:tbl>
    <w:p w:rsidR="005A6FEB" w:rsidRPr="003A1E22" w:rsidRDefault="005A6FEB" w:rsidP="00CB1B1C">
      <w:pPr>
        <w:tabs>
          <w:tab w:val="left" w:pos="993"/>
          <w:tab w:val="left" w:pos="3780"/>
        </w:tabs>
        <w:autoSpaceDE w:val="0"/>
        <w:autoSpaceDN w:val="0"/>
        <w:adjustRightInd w:val="0"/>
        <w:snapToGrid w:val="0"/>
        <w:spacing w:line="360" w:lineRule="auto"/>
        <w:ind w:firstLineChars="200" w:firstLine="480"/>
        <w:jc w:val="left"/>
        <w:textAlignment w:val="bottom"/>
        <w:rPr>
          <w:rFonts w:asciiTheme="majorEastAsia" w:eastAsiaTheme="majorEastAsia" w:hAnsiTheme="majorEastAsia"/>
          <w:sz w:val="24"/>
        </w:rPr>
      </w:pPr>
    </w:p>
    <w:sectPr w:rsidR="005A6FEB" w:rsidRPr="003A1E22" w:rsidSect="008E1F2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118" w:rsidRDefault="00791118" w:rsidP="00EF604A">
      <w:r>
        <w:separator/>
      </w:r>
    </w:p>
  </w:endnote>
  <w:endnote w:type="continuationSeparator" w:id="0">
    <w:p w:rsidR="00791118" w:rsidRDefault="00791118" w:rsidP="00EF6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9F" w:rsidRDefault="008E1F2C">
    <w:pPr>
      <w:pStyle w:val="a4"/>
    </w:pPr>
    <w:r>
      <w:rPr>
        <w:noProof/>
      </w:rPr>
      <w:pict>
        <v:shapetype id="_x0000_t202" coordsize="21600,21600" o:spt="202" path="m,l,21600r21600,l21600,xe">
          <v:stroke joinstyle="miter"/>
          <v:path gradientshapeok="t" o:connecttype="rect"/>
        </v:shapetype>
        <v:shape id="MSIPCM88dc43168060452768e4f309" o:spid="_x0000_s4097" type="#_x0000_t202" alt="{&quot;HashCode&quot;:-80542239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BsKJRBgDAAA2BgAADgAAAAAAAAAAAAAA&#10;AAAuAgAAZHJzL2Uyb0RvYy54bWxQSwECLQAUAAYACAAAACEAn9VB7N8AAAALAQAADwAAAAAAAAAA&#10;AAAAAAByBQAAZHJzL2Rvd25yZXYueG1sUEsFBgAAAAAEAAQA8wAAAH4GAAAAAA==&#10;" o:allowincell="f" filled="f" stroked="f" strokeweight=".5pt">
          <v:textbox inset=",0,,0">
            <w:txbxContent>
              <w:p w:rsidR="00AD039F" w:rsidRPr="00AD039F" w:rsidRDefault="00AD039F" w:rsidP="00AD039F">
                <w:pPr>
                  <w:jc w:val="center"/>
                  <w:rPr>
                    <w:rFonts w:ascii="Calibri" w:hAnsi="Calibri" w:cs="Calibri"/>
                    <w:color w:val="000000"/>
                    <w:sz w:val="20"/>
                  </w:rPr>
                </w:pPr>
                <w:r w:rsidRPr="00AD039F">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118" w:rsidRDefault="00791118" w:rsidP="00EF604A">
      <w:r>
        <w:separator/>
      </w:r>
    </w:p>
  </w:footnote>
  <w:footnote w:type="continuationSeparator" w:id="0">
    <w:p w:rsidR="00791118" w:rsidRDefault="00791118" w:rsidP="00EF60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B102C"/>
    <w:multiLevelType w:val="hybridMultilevel"/>
    <w:tmpl w:val="540A566E"/>
    <w:lvl w:ilvl="0" w:tplc="0409000F">
      <w:start w:val="1"/>
      <w:numFmt w:val="decimal"/>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BDE"/>
    <w:rsid w:val="0002216B"/>
    <w:rsid w:val="00044E0A"/>
    <w:rsid w:val="00074BDC"/>
    <w:rsid w:val="00091E7E"/>
    <w:rsid w:val="00093F18"/>
    <w:rsid w:val="000B3272"/>
    <w:rsid w:val="000D26AD"/>
    <w:rsid w:val="000D5096"/>
    <w:rsid w:val="00120399"/>
    <w:rsid w:val="00122C60"/>
    <w:rsid w:val="00155457"/>
    <w:rsid w:val="00184A1B"/>
    <w:rsid w:val="001C1FC7"/>
    <w:rsid w:val="001F4617"/>
    <w:rsid w:val="001F698E"/>
    <w:rsid w:val="00217F67"/>
    <w:rsid w:val="002D5CCD"/>
    <w:rsid w:val="00323A6D"/>
    <w:rsid w:val="00327C74"/>
    <w:rsid w:val="003663A2"/>
    <w:rsid w:val="00395AB8"/>
    <w:rsid w:val="003A1E22"/>
    <w:rsid w:val="003B6DB8"/>
    <w:rsid w:val="003B733C"/>
    <w:rsid w:val="003C46DF"/>
    <w:rsid w:val="003F0E1F"/>
    <w:rsid w:val="003F3123"/>
    <w:rsid w:val="00441DC5"/>
    <w:rsid w:val="004B7A88"/>
    <w:rsid w:val="004C15C3"/>
    <w:rsid w:val="005869FF"/>
    <w:rsid w:val="005A12D2"/>
    <w:rsid w:val="005A6FEB"/>
    <w:rsid w:val="005A73C6"/>
    <w:rsid w:val="005A7E71"/>
    <w:rsid w:val="005E10AB"/>
    <w:rsid w:val="005E4CC6"/>
    <w:rsid w:val="00612644"/>
    <w:rsid w:val="006216A2"/>
    <w:rsid w:val="006A11C5"/>
    <w:rsid w:val="00705B8E"/>
    <w:rsid w:val="00735BDE"/>
    <w:rsid w:val="0075330F"/>
    <w:rsid w:val="0075525C"/>
    <w:rsid w:val="00786BCA"/>
    <w:rsid w:val="00791118"/>
    <w:rsid w:val="007A396C"/>
    <w:rsid w:val="007F0162"/>
    <w:rsid w:val="00800E0F"/>
    <w:rsid w:val="00881B9A"/>
    <w:rsid w:val="00883B3F"/>
    <w:rsid w:val="008A058A"/>
    <w:rsid w:val="008B2295"/>
    <w:rsid w:val="008E1F2C"/>
    <w:rsid w:val="008F43ED"/>
    <w:rsid w:val="00956464"/>
    <w:rsid w:val="009A3A67"/>
    <w:rsid w:val="009E553C"/>
    <w:rsid w:val="00A02082"/>
    <w:rsid w:val="00AA3305"/>
    <w:rsid w:val="00AD039F"/>
    <w:rsid w:val="00AD7D01"/>
    <w:rsid w:val="00B14139"/>
    <w:rsid w:val="00B158D0"/>
    <w:rsid w:val="00BD3BD9"/>
    <w:rsid w:val="00BF043F"/>
    <w:rsid w:val="00C062FE"/>
    <w:rsid w:val="00C06479"/>
    <w:rsid w:val="00C3099D"/>
    <w:rsid w:val="00C41762"/>
    <w:rsid w:val="00C638B1"/>
    <w:rsid w:val="00C70EA3"/>
    <w:rsid w:val="00C75868"/>
    <w:rsid w:val="00C8048B"/>
    <w:rsid w:val="00CA4C7C"/>
    <w:rsid w:val="00CB1B1C"/>
    <w:rsid w:val="00D106FA"/>
    <w:rsid w:val="00D204E7"/>
    <w:rsid w:val="00D43C70"/>
    <w:rsid w:val="00D91702"/>
    <w:rsid w:val="00DA0A17"/>
    <w:rsid w:val="00DF0027"/>
    <w:rsid w:val="00E25461"/>
    <w:rsid w:val="00EB692B"/>
    <w:rsid w:val="00ED7678"/>
    <w:rsid w:val="00EE49A0"/>
    <w:rsid w:val="00EE55F0"/>
    <w:rsid w:val="00EE70EC"/>
    <w:rsid w:val="00EF4C69"/>
    <w:rsid w:val="00EF604A"/>
    <w:rsid w:val="00F03EB0"/>
    <w:rsid w:val="00F1692E"/>
    <w:rsid w:val="00F252EB"/>
    <w:rsid w:val="00F71AA2"/>
    <w:rsid w:val="00FB0378"/>
    <w:rsid w:val="00FB6DFA"/>
    <w:rsid w:val="00FE1D52"/>
    <w:rsid w:val="00FF3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04A"/>
    <w:rPr>
      <w:sz w:val="18"/>
      <w:szCs w:val="18"/>
    </w:rPr>
  </w:style>
  <w:style w:type="paragraph" w:styleId="a4">
    <w:name w:val="footer"/>
    <w:basedOn w:val="a"/>
    <w:link w:val="Char0"/>
    <w:uiPriority w:val="99"/>
    <w:unhideWhenUsed/>
    <w:rsid w:val="00EF604A"/>
    <w:pPr>
      <w:tabs>
        <w:tab w:val="center" w:pos="4153"/>
        <w:tab w:val="right" w:pos="8306"/>
      </w:tabs>
      <w:snapToGrid w:val="0"/>
      <w:jc w:val="left"/>
    </w:pPr>
    <w:rPr>
      <w:sz w:val="18"/>
      <w:szCs w:val="18"/>
    </w:rPr>
  </w:style>
  <w:style w:type="character" w:customStyle="1" w:styleId="Char0">
    <w:name w:val="页脚 Char"/>
    <w:basedOn w:val="a0"/>
    <w:link w:val="a4"/>
    <w:uiPriority w:val="99"/>
    <w:rsid w:val="00EF604A"/>
    <w:rPr>
      <w:sz w:val="18"/>
      <w:szCs w:val="18"/>
    </w:rPr>
  </w:style>
  <w:style w:type="paragraph" w:styleId="a5">
    <w:name w:val="Balloon Text"/>
    <w:basedOn w:val="a"/>
    <w:link w:val="Char1"/>
    <w:uiPriority w:val="99"/>
    <w:semiHidden/>
    <w:unhideWhenUsed/>
    <w:rsid w:val="005E4CC6"/>
    <w:rPr>
      <w:sz w:val="18"/>
      <w:szCs w:val="18"/>
    </w:rPr>
  </w:style>
  <w:style w:type="character" w:customStyle="1" w:styleId="Char1">
    <w:name w:val="批注框文本 Char"/>
    <w:basedOn w:val="a0"/>
    <w:link w:val="a5"/>
    <w:uiPriority w:val="99"/>
    <w:semiHidden/>
    <w:rsid w:val="005E4CC6"/>
    <w:rPr>
      <w:sz w:val="18"/>
      <w:szCs w:val="18"/>
    </w:rPr>
  </w:style>
  <w:style w:type="paragraph" w:styleId="a6">
    <w:name w:val="List Paragraph"/>
    <w:basedOn w:val="a"/>
    <w:uiPriority w:val="34"/>
    <w:qFormat/>
    <w:rsid w:val="00AD7D01"/>
    <w:pPr>
      <w:ind w:firstLineChars="200" w:firstLine="420"/>
    </w:pPr>
  </w:style>
  <w:style w:type="table" w:styleId="a7">
    <w:name w:val="Table Grid"/>
    <w:basedOn w:val="a1"/>
    <w:uiPriority w:val="59"/>
    <w:rsid w:val="00CA4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75525C"/>
    <w:rPr>
      <w:sz w:val="21"/>
      <w:szCs w:val="21"/>
    </w:rPr>
  </w:style>
  <w:style w:type="paragraph" w:styleId="a9">
    <w:name w:val="annotation text"/>
    <w:basedOn w:val="a"/>
    <w:link w:val="Char2"/>
    <w:uiPriority w:val="99"/>
    <w:semiHidden/>
    <w:unhideWhenUsed/>
    <w:rsid w:val="0075525C"/>
    <w:pPr>
      <w:jc w:val="left"/>
    </w:pPr>
  </w:style>
  <w:style w:type="character" w:customStyle="1" w:styleId="Char2">
    <w:name w:val="批注文字 Char"/>
    <w:basedOn w:val="a0"/>
    <w:link w:val="a9"/>
    <w:uiPriority w:val="99"/>
    <w:semiHidden/>
    <w:rsid w:val="0075525C"/>
  </w:style>
  <w:style w:type="paragraph" w:styleId="aa">
    <w:name w:val="annotation subject"/>
    <w:basedOn w:val="a9"/>
    <w:next w:val="a9"/>
    <w:link w:val="Char3"/>
    <w:uiPriority w:val="99"/>
    <w:semiHidden/>
    <w:unhideWhenUsed/>
    <w:rsid w:val="0075525C"/>
    <w:rPr>
      <w:b/>
      <w:bCs/>
    </w:rPr>
  </w:style>
  <w:style w:type="character" w:customStyle="1" w:styleId="Char3">
    <w:name w:val="批注主题 Char"/>
    <w:basedOn w:val="Char2"/>
    <w:link w:val="aa"/>
    <w:uiPriority w:val="99"/>
    <w:semiHidden/>
    <w:rsid w:val="0075525C"/>
    <w:rPr>
      <w:b/>
      <w:bCs/>
    </w:rPr>
  </w:style>
  <w:style w:type="paragraph" w:styleId="ab">
    <w:name w:val="Date"/>
    <w:basedOn w:val="a"/>
    <w:next w:val="a"/>
    <w:link w:val="Char4"/>
    <w:uiPriority w:val="99"/>
    <w:semiHidden/>
    <w:unhideWhenUsed/>
    <w:rsid w:val="005A6FEB"/>
    <w:pPr>
      <w:ind w:leftChars="2500" w:left="100"/>
    </w:pPr>
  </w:style>
  <w:style w:type="character" w:customStyle="1" w:styleId="Char4">
    <w:name w:val="日期 Char"/>
    <w:basedOn w:val="a0"/>
    <w:link w:val="ab"/>
    <w:uiPriority w:val="99"/>
    <w:semiHidden/>
    <w:rsid w:val="005A6F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608E-190C-4850-A864-EB303580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B XUE</dc:creator>
  <cp:keywords>NOT-APPL</cp:keywords>
  <dc:description>NOT-APPL</dc:description>
  <cp:lastModifiedBy>ZHONGM</cp:lastModifiedBy>
  <cp:revision>2</cp:revision>
  <cp:lastPrinted>2019-11-06T06:03:00Z</cp:lastPrinted>
  <dcterms:created xsi:type="dcterms:W3CDTF">2024-12-30T16:01:00Z</dcterms:created>
  <dcterms:modified xsi:type="dcterms:W3CDTF">2024-12-30T16:01:00Z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External</vt:lpwstr>
  </property>
  <property fmtid="{D5CDD505-2E9C-101B-9397-08002B2CF9AE}" pid="3" name="Footers">
    <vt:lpwstr>External No 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2024-12-17T05:29:50Z</vt:lpwstr>
  </property>
  <property fmtid="{D5CDD505-2E9C-101B-9397-08002B2CF9AE}" pid="6" name="MSIP_Label_3486a02c-2dfb-4efe-823f-aa2d1f0e6ab7_Method">
    <vt:lpwstr>Privileged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e6991a09-0f52-4ab2-89e3-0d26286c2b4a</vt:lpwstr>
  </property>
  <property fmtid="{D5CDD505-2E9C-101B-9397-08002B2CF9AE}" pid="10" name="MSIP_Label_3486a02c-2dfb-4efe-823f-aa2d1f0e6ab7_ContentBits">
    <vt:lpwstr>2</vt:lpwstr>
  </property>
  <property fmtid="{D5CDD505-2E9C-101B-9397-08002B2CF9AE}" pid="11" name="Classification">
    <vt:lpwstr>PUBLIC</vt:lpwstr>
  </property>
</Properties>
</file>