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81" w:rsidRDefault="00941380" w:rsidP="00311781">
      <w:pPr>
        <w:adjustRightInd w:val="0"/>
        <w:spacing w:line="360" w:lineRule="auto"/>
        <w:jc w:val="center"/>
        <w:rPr>
          <w:rFonts w:ascii="Arial" w:eastAsia="宋体" w:hAnsi="Arial" w:cs="Arial"/>
          <w:b/>
          <w:sz w:val="28"/>
          <w:szCs w:val="28"/>
        </w:rPr>
      </w:pPr>
      <w:bookmarkStart w:id="0" w:name="_GoBack"/>
      <w:bookmarkEnd w:id="0"/>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63690E">
        <w:rPr>
          <w:rFonts w:ascii="Arial" w:eastAsia="宋体" w:hAnsi="Arial" w:cs="Arial" w:hint="eastAsia"/>
          <w:b/>
          <w:sz w:val="28"/>
          <w:szCs w:val="28"/>
        </w:rPr>
        <w:t>昆仑银行股份有限公司</w:t>
      </w:r>
      <w:r>
        <w:rPr>
          <w:rFonts w:ascii="Arial" w:eastAsia="宋体" w:hAnsi="Arial" w:cs="Arial"/>
          <w:b/>
          <w:sz w:val="28"/>
          <w:szCs w:val="28"/>
        </w:rPr>
        <w:t>申购费率优惠活动的公告</w:t>
      </w:r>
    </w:p>
    <w:p w:rsidR="00E53C93" w:rsidRPr="00311781" w:rsidRDefault="00E53C93">
      <w:pPr>
        <w:spacing w:line="360" w:lineRule="auto"/>
        <w:ind w:left="2160" w:hangingChars="900" w:hanging="2160"/>
        <w:jc w:val="center"/>
        <w:rPr>
          <w:rFonts w:ascii="Arial" w:eastAsia="宋体" w:hAnsi="Arial" w:cs="Arial"/>
          <w:sz w:val="24"/>
          <w:szCs w:val="24"/>
        </w:rPr>
      </w:pP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63690E">
        <w:rPr>
          <w:rFonts w:ascii="Arial" w:eastAsia="宋体" w:hAnsi="Arial" w:cs="Arial" w:hint="eastAsia"/>
          <w:sz w:val="24"/>
          <w:szCs w:val="24"/>
        </w:rPr>
        <w:t>昆仑银行股份有限公司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63690E">
        <w:rPr>
          <w:rFonts w:ascii="Arial" w:eastAsia="宋体" w:hAnsi="Arial" w:cs="Arial" w:hint="eastAsia"/>
          <w:sz w:val="24"/>
          <w:szCs w:val="24"/>
        </w:rPr>
        <w:t>昆仑银行</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5F24FD">
        <w:rPr>
          <w:rFonts w:ascii="Arial" w:eastAsia="宋体" w:hAnsi="Arial" w:cs="Arial"/>
          <w:sz w:val="24"/>
          <w:szCs w:val="24"/>
        </w:rPr>
        <w:t>2025</w:t>
      </w:r>
      <w:r w:rsidR="0063690E">
        <w:rPr>
          <w:rFonts w:ascii="Arial" w:eastAsia="宋体" w:hAnsi="Arial" w:cs="Arial"/>
          <w:sz w:val="24"/>
          <w:szCs w:val="24"/>
        </w:rPr>
        <w:t>年</w:t>
      </w:r>
      <w:r w:rsidR="0063690E">
        <w:rPr>
          <w:rFonts w:ascii="Arial" w:eastAsia="宋体" w:hAnsi="Arial" w:cs="Arial"/>
          <w:sz w:val="24"/>
          <w:szCs w:val="24"/>
        </w:rPr>
        <w:t>1</w:t>
      </w:r>
      <w:r w:rsidR="0063690E">
        <w:rPr>
          <w:rFonts w:ascii="Arial" w:eastAsia="宋体" w:hAnsi="Arial" w:cs="Arial"/>
          <w:sz w:val="24"/>
          <w:szCs w:val="24"/>
        </w:rPr>
        <w:t>月</w:t>
      </w:r>
      <w:r w:rsidR="0063690E">
        <w:rPr>
          <w:rFonts w:ascii="Arial" w:eastAsia="宋体" w:hAnsi="Arial" w:cs="Arial"/>
          <w:sz w:val="24"/>
          <w:szCs w:val="24"/>
        </w:rPr>
        <w:t>1</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63690E">
        <w:rPr>
          <w:rFonts w:ascii="Arial" w:eastAsia="宋体" w:hAnsi="Arial" w:cs="Arial" w:hint="eastAsia"/>
          <w:sz w:val="24"/>
          <w:szCs w:val="24"/>
        </w:rPr>
        <w:t>昆仑银行</w:t>
      </w:r>
      <w:r>
        <w:rPr>
          <w:rFonts w:ascii="Arial" w:eastAsia="宋体" w:hAnsi="Arial" w:cs="Arial"/>
          <w:sz w:val="24"/>
          <w:szCs w:val="24"/>
        </w:rPr>
        <w:t>申购（含定期定额投资）费率优惠活动。</w:t>
      </w:r>
    </w:p>
    <w:p w:rsidR="00E53C93" w:rsidRPr="0054106E" w:rsidRDefault="00E53C93">
      <w:pPr>
        <w:spacing w:line="360" w:lineRule="auto"/>
        <w:ind w:firstLineChars="200" w:firstLine="480"/>
        <w:rPr>
          <w:rFonts w:ascii="Arial" w:eastAsia="宋体" w:hAnsi="Arial" w:cs="Arial"/>
          <w:sz w:val="24"/>
          <w:szCs w:val="24"/>
        </w:rPr>
      </w:pPr>
    </w:p>
    <w:p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562" w:type="dxa"/>
        <w:tblInd w:w="-5" w:type="dxa"/>
        <w:tblLook w:val="04A0"/>
      </w:tblPr>
      <w:tblGrid>
        <w:gridCol w:w="704"/>
        <w:gridCol w:w="1506"/>
        <w:gridCol w:w="6352"/>
      </w:tblGrid>
      <w:tr w:rsidR="00A514D2" w:rsidRPr="005E4B40" w:rsidTr="00FB271F">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000390</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华商优势行业灵活配置混合型证券投资基金</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2</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001723</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华商新动力混合型证券投资基金A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3</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001751</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华商信用增强债券型证券投资基金A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4</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001822</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华商智能生活灵活配置混合型证券投资基金A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5</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001959</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华商乐享互联灵活配置混合型证券投资基金A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6</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003403</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华商瑞丰短债债券型证券投资基金A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7</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003598</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华商润丰灵活配置混合型证券投资基金A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8</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004423</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华商研究精选灵活配置混合型证券投资基金A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9</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008107</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华商医药医疗行业股票型证券投资基金</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10</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008488</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华商恒益稳健混合型证券投资基金</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11</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010761</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华商甄选回报混合型证券投资基金A</w:t>
            </w:r>
          </w:p>
        </w:tc>
      </w:tr>
      <w:tr w:rsidR="0063690E" w:rsidRPr="0063690E" w:rsidTr="006A0326">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12</w:t>
            </w:r>
          </w:p>
        </w:tc>
        <w:tc>
          <w:tcPr>
            <w:tcW w:w="1506" w:type="dxa"/>
            <w:tcBorders>
              <w:top w:val="nil"/>
              <w:left w:val="nil"/>
              <w:bottom w:val="single" w:sz="4" w:space="0" w:color="auto"/>
              <w:right w:val="single" w:sz="4" w:space="0" w:color="auto"/>
            </w:tcBorders>
            <w:shd w:val="clear" w:color="auto" w:fill="auto"/>
            <w:noWrap/>
            <w:vAlign w:val="center"/>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012056</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华商嘉悦平衡养老目标三年持有期混合型发起式基金中基金（FOF）A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13</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013192</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华商嘉悦稳健养老目标一年持有期混合型发起式基金中基金(FOF)A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14</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013958</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华商鑫选回报一年持有期混合型证券投资基金A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15</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018595</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华商利欣回报债券型证券投资基金A</w:t>
            </w:r>
          </w:p>
        </w:tc>
      </w:tr>
      <w:tr w:rsidR="0063690E"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3690E" w:rsidRPr="0063690E" w:rsidRDefault="0063690E"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16</w:t>
            </w:r>
          </w:p>
        </w:tc>
        <w:tc>
          <w:tcPr>
            <w:tcW w:w="1506"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019685</w:t>
            </w:r>
          </w:p>
        </w:tc>
        <w:tc>
          <w:tcPr>
            <w:tcW w:w="6352" w:type="dxa"/>
            <w:tcBorders>
              <w:top w:val="nil"/>
              <w:left w:val="nil"/>
              <w:bottom w:val="single" w:sz="4" w:space="0" w:color="auto"/>
              <w:right w:val="single" w:sz="4" w:space="0" w:color="auto"/>
            </w:tcBorders>
            <w:shd w:val="clear" w:color="auto" w:fill="auto"/>
            <w:noWrap/>
            <w:vAlign w:val="bottom"/>
            <w:hideMark/>
          </w:tcPr>
          <w:p w:rsidR="0063690E" w:rsidRPr="00735F1D" w:rsidRDefault="0063690E"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华商鸿裕利率债债券型证券投资基金</w:t>
            </w:r>
          </w:p>
        </w:tc>
      </w:tr>
      <w:tr w:rsidR="0019032C"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17</w:t>
            </w:r>
          </w:p>
        </w:tc>
        <w:tc>
          <w:tcPr>
            <w:tcW w:w="1506"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020408</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华商数字经济混合型证券投资基金A</w:t>
            </w:r>
          </w:p>
        </w:tc>
      </w:tr>
      <w:tr w:rsidR="0019032C"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18</w:t>
            </w:r>
          </w:p>
        </w:tc>
        <w:tc>
          <w:tcPr>
            <w:tcW w:w="1506"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020521</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华商安恒债券型证券投资基金A</w:t>
            </w:r>
          </w:p>
        </w:tc>
      </w:tr>
      <w:tr w:rsidR="0019032C"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19</w:t>
            </w:r>
          </w:p>
        </w:tc>
        <w:tc>
          <w:tcPr>
            <w:tcW w:w="1506"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020878</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华商融享稳健配置3个月持有期混合型基金中基金（FOF）A</w:t>
            </w:r>
          </w:p>
        </w:tc>
      </w:tr>
      <w:tr w:rsidR="0019032C" w:rsidRPr="0063690E" w:rsidTr="006A0326">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20</w:t>
            </w:r>
          </w:p>
        </w:tc>
        <w:tc>
          <w:tcPr>
            <w:tcW w:w="1506" w:type="dxa"/>
            <w:tcBorders>
              <w:top w:val="nil"/>
              <w:left w:val="nil"/>
              <w:bottom w:val="single" w:sz="4" w:space="0" w:color="auto"/>
              <w:right w:val="single" w:sz="4" w:space="0" w:color="auto"/>
            </w:tcBorders>
            <w:shd w:val="clear" w:color="auto" w:fill="auto"/>
            <w:noWrap/>
            <w:vAlign w:val="center"/>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022461</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华商中证A500指数增强型证券投资基金A</w:t>
            </w:r>
          </w:p>
          <w:p w:rsidR="001656D1" w:rsidRPr="00735F1D" w:rsidRDefault="001656D1" w:rsidP="0063690E">
            <w:pPr>
              <w:widowControl/>
              <w:jc w:val="center"/>
              <w:rPr>
                <w:rFonts w:ascii="宋体" w:eastAsia="宋体" w:hAnsi="宋体" w:cs="Arial"/>
                <w:kern w:val="0"/>
                <w:szCs w:val="20"/>
              </w:rPr>
            </w:pPr>
            <w:r w:rsidRPr="008A775F">
              <w:rPr>
                <w:rFonts w:ascii="宋体" w:eastAsia="宋体" w:hAnsi="宋体" w:cs="Arial" w:hint="eastAsia"/>
                <w:kern w:val="0"/>
                <w:szCs w:val="20"/>
              </w:rPr>
              <w:t>(本基金暂时处于封闭期)</w:t>
            </w:r>
          </w:p>
        </w:tc>
      </w:tr>
      <w:tr w:rsidR="0019032C"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21</w:t>
            </w:r>
          </w:p>
        </w:tc>
        <w:tc>
          <w:tcPr>
            <w:tcW w:w="1506"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630007</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华商稳健双利债券型证券投资基金A</w:t>
            </w:r>
          </w:p>
        </w:tc>
      </w:tr>
      <w:tr w:rsidR="0019032C" w:rsidRPr="0063690E" w:rsidTr="0063690E">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032C" w:rsidRPr="0063690E" w:rsidRDefault="0019032C" w:rsidP="0063690E">
            <w:pPr>
              <w:widowControl/>
              <w:jc w:val="center"/>
              <w:rPr>
                <w:rFonts w:ascii="宋体" w:eastAsia="宋体" w:hAnsi="宋体" w:cs="Arial"/>
                <w:kern w:val="0"/>
                <w:szCs w:val="20"/>
              </w:rPr>
            </w:pPr>
            <w:r w:rsidRPr="0063690E">
              <w:rPr>
                <w:rFonts w:ascii="宋体" w:eastAsia="宋体" w:hAnsi="宋体" w:cs="Arial" w:hint="eastAsia"/>
                <w:kern w:val="0"/>
                <w:szCs w:val="20"/>
              </w:rPr>
              <w:t>22</w:t>
            </w:r>
          </w:p>
        </w:tc>
        <w:tc>
          <w:tcPr>
            <w:tcW w:w="1506"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630008</w:t>
            </w:r>
          </w:p>
        </w:tc>
        <w:tc>
          <w:tcPr>
            <w:tcW w:w="6352" w:type="dxa"/>
            <w:tcBorders>
              <w:top w:val="nil"/>
              <w:left w:val="nil"/>
              <w:bottom w:val="single" w:sz="4" w:space="0" w:color="auto"/>
              <w:right w:val="single" w:sz="4" w:space="0" w:color="auto"/>
            </w:tcBorders>
            <w:shd w:val="clear" w:color="auto" w:fill="auto"/>
            <w:noWrap/>
            <w:vAlign w:val="bottom"/>
            <w:hideMark/>
          </w:tcPr>
          <w:p w:rsidR="0019032C" w:rsidRPr="00735F1D" w:rsidRDefault="0019032C" w:rsidP="0063690E">
            <w:pPr>
              <w:widowControl/>
              <w:jc w:val="center"/>
              <w:rPr>
                <w:rFonts w:ascii="宋体" w:eastAsia="宋体" w:hAnsi="宋体" w:cs="Arial"/>
                <w:kern w:val="0"/>
                <w:szCs w:val="20"/>
              </w:rPr>
            </w:pPr>
            <w:r w:rsidRPr="00735F1D">
              <w:rPr>
                <w:rFonts w:ascii="宋体" w:eastAsia="宋体" w:hAnsi="宋体" w:cs="Arial" w:hint="eastAsia"/>
                <w:kern w:val="0"/>
                <w:szCs w:val="20"/>
              </w:rPr>
              <w:t>华商策略精选灵活配置混合型证券投资基金</w:t>
            </w:r>
          </w:p>
        </w:tc>
      </w:tr>
    </w:tbl>
    <w:p w:rsidR="00F97E11" w:rsidRDefault="00F97E11">
      <w:pPr>
        <w:spacing w:line="360" w:lineRule="auto"/>
        <w:ind w:firstLineChars="200" w:firstLine="482"/>
        <w:rPr>
          <w:rFonts w:ascii="Arial" w:eastAsia="宋体" w:hAnsi="Arial" w:cs="Arial"/>
          <w:b/>
          <w:sz w:val="24"/>
          <w:szCs w:val="24"/>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lastRenderedPageBreak/>
        <w:t>1</w:t>
      </w:r>
      <w:r>
        <w:rPr>
          <w:rFonts w:ascii="Arial" w:eastAsia="宋体" w:hAnsi="Arial" w:cs="Arial"/>
          <w:sz w:val="24"/>
          <w:szCs w:val="24"/>
        </w:rPr>
        <w:t>、费率优惠内容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63690E">
        <w:rPr>
          <w:rFonts w:ascii="Arial" w:eastAsia="宋体" w:hAnsi="Arial" w:cs="Arial"/>
          <w:sz w:val="24"/>
          <w:szCs w:val="24"/>
        </w:rPr>
        <w:t>昆仑银行</w:t>
      </w:r>
      <w:r>
        <w:rPr>
          <w:rFonts w:ascii="Arial" w:eastAsia="宋体" w:hAnsi="Arial" w:cs="Arial"/>
          <w:sz w:val="24"/>
          <w:szCs w:val="24"/>
        </w:rPr>
        <w:t>申购上述基金可享有申购（含定期定额投资）</w:t>
      </w:r>
      <w:r w:rsidR="003B738D">
        <w:rPr>
          <w:rFonts w:ascii="Arial" w:eastAsia="宋体" w:hAnsi="Arial" w:cs="Arial"/>
          <w:sz w:val="24"/>
          <w:szCs w:val="24"/>
        </w:rPr>
        <w:t>1</w:t>
      </w:r>
      <w:r w:rsidR="003B738D">
        <w:rPr>
          <w:rFonts w:ascii="Arial" w:eastAsia="宋体" w:hAnsi="Arial" w:cs="Arial" w:hint="eastAsia"/>
          <w:sz w:val="24"/>
          <w:szCs w:val="24"/>
        </w:rPr>
        <w:t>折费率优惠</w:t>
      </w:r>
      <w:r w:rsidR="00637473">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63690E">
        <w:rPr>
          <w:rFonts w:ascii="Arial" w:eastAsia="宋体" w:hAnsi="Arial" w:cs="Arial"/>
          <w:sz w:val="24"/>
          <w:szCs w:val="24"/>
        </w:rPr>
        <w:t>昆仑银行</w:t>
      </w:r>
      <w:r>
        <w:rPr>
          <w:rFonts w:ascii="Arial" w:eastAsia="宋体" w:hAnsi="Arial" w:cs="Arial"/>
          <w:sz w:val="24"/>
          <w:szCs w:val="24"/>
        </w:rPr>
        <w:t>，费率优惠活动内容执行期间，调整适用基金范围、业务办理的相关规则及流程以</w:t>
      </w:r>
      <w:r w:rsidR="0063690E">
        <w:rPr>
          <w:rFonts w:ascii="Arial" w:eastAsia="宋体" w:hAnsi="Arial" w:cs="Arial"/>
          <w:sz w:val="24"/>
          <w:szCs w:val="24"/>
        </w:rPr>
        <w:t>昆仑银行</w:t>
      </w:r>
      <w:r>
        <w:rPr>
          <w:rFonts w:ascii="Arial" w:eastAsia="宋体" w:hAnsi="Arial" w:cs="Arial"/>
          <w:sz w:val="24"/>
          <w:szCs w:val="24"/>
        </w:rPr>
        <w:t>官方公告为准。</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rsidR="00E53C93" w:rsidRPr="00735F1D" w:rsidRDefault="00941380" w:rsidP="00735F1D">
      <w:pPr>
        <w:ind w:firstLineChars="200" w:firstLine="480"/>
        <w:rPr>
          <w:rFonts w:ascii="Arial" w:eastAsia="宋体" w:hAnsi="Arial" w:cs="Arial"/>
          <w:sz w:val="24"/>
          <w:szCs w:val="24"/>
        </w:rPr>
      </w:pPr>
      <w:r w:rsidRPr="00AC43C0">
        <w:rPr>
          <w:rFonts w:ascii="Arial" w:eastAsia="宋体" w:hAnsi="Arial" w:cs="Arial"/>
          <w:sz w:val="24"/>
          <w:szCs w:val="24"/>
        </w:rPr>
        <w:t>费率优惠起始时间为</w:t>
      </w:r>
      <w:r w:rsidR="00735F1D" w:rsidRPr="00AC43C0">
        <w:rPr>
          <w:rFonts w:ascii="Arial" w:eastAsia="宋体" w:hAnsi="Arial" w:cs="Arial" w:hint="eastAsia"/>
          <w:sz w:val="24"/>
          <w:szCs w:val="24"/>
        </w:rPr>
        <w:t>2025</w:t>
      </w:r>
      <w:r w:rsidR="00735F1D" w:rsidRPr="00AC43C0">
        <w:rPr>
          <w:rFonts w:ascii="Arial" w:eastAsia="宋体" w:hAnsi="Arial" w:cs="Arial" w:hint="eastAsia"/>
          <w:sz w:val="24"/>
          <w:szCs w:val="24"/>
        </w:rPr>
        <w:t>年</w:t>
      </w:r>
      <w:r w:rsidR="00735F1D" w:rsidRPr="00AC43C0">
        <w:rPr>
          <w:rFonts w:ascii="Arial" w:eastAsia="宋体" w:hAnsi="Arial" w:cs="Arial" w:hint="eastAsia"/>
          <w:sz w:val="24"/>
          <w:szCs w:val="24"/>
        </w:rPr>
        <w:t>1</w:t>
      </w:r>
      <w:r w:rsidR="00735F1D" w:rsidRPr="00AC43C0">
        <w:rPr>
          <w:rFonts w:ascii="Arial" w:eastAsia="宋体" w:hAnsi="Arial" w:cs="Arial" w:hint="eastAsia"/>
          <w:sz w:val="24"/>
          <w:szCs w:val="24"/>
        </w:rPr>
        <w:t>月</w:t>
      </w:r>
      <w:r w:rsidR="00735F1D" w:rsidRPr="00AC43C0">
        <w:rPr>
          <w:rFonts w:ascii="Arial" w:eastAsia="宋体" w:hAnsi="Arial" w:cs="Arial" w:hint="eastAsia"/>
          <w:sz w:val="24"/>
          <w:szCs w:val="24"/>
        </w:rPr>
        <w:t>1</w:t>
      </w:r>
      <w:r w:rsidR="00735F1D" w:rsidRPr="00AC43C0">
        <w:rPr>
          <w:rFonts w:ascii="Arial" w:eastAsia="宋体" w:hAnsi="Arial" w:cs="Arial" w:hint="eastAsia"/>
          <w:sz w:val="24"/>
          <w:szCs w:val="24"/>
        </w:rPr>
        <w:t>日至</w:t>
      </w:r>
      <w:r w:rsidR="00735F1D" w:rsidRPr="00AC43C0">
        <w:rPr>
          <w:rFonts w:ascii="Arial" w:eastAsia="宋体" w:hAnsi="Arial" w:cs="Arial" w:hint="eastAsia"/>
          <w:sz w:val="24"/>
          <w:szCs w:val="24"/>
        </w:rPr>
        <w:t>2025</w:t>
      </w:r>
      <w:r w:rsidR="00735F1D" w:rsidRPr="00AC43C0">
        <w:rPr>
          <w:rFonts w:ascii="Arial" w:eastAsia="宋体" w:hAnsi="Arial" w:cs="Arial" w:hint="eastAsia"/>
          <w:sz w:val="24"/>
          <w:szCs w:val="24"/>
        </w:rPr>
        <w:t>年</w:t>
      </w:r>
      <w:r w:rsidR="00735F1D" w:rsidRPr="00AC43C0">
        <w:rPr>
          <w:rFonts w:ascii="Arial" w:eastAsia="宋体" w:hAnsi="Arial" w:cs="Arial" w:hint="eastAsia"/>
          <w:sz w:val="24"/>
          <w:szCs w:val="24"/>
        </w:rPr>
        <w:t>12</w:t>
      </w:r>
      <w:r w:rsidR="00735F1D" w:rsidRPr="00AC43C0">
        <w:rPr>
          <w:rFonts w:ascii="Arial" w:eastAsia="宋体" w:hAnsi="Arial" w:cs="Arial" w:hint="eastAsia"/>
          <w:sz w:val="24"/>
          <w:szCs w:val="24"/>
        </w:rPr>
        <w:t>月</w:t>
      </w:r>
      <w:r w:rsidR="00735F1D" w:rsidRPr="00AC43C0">
        <w:rPr>
          <w:rFonts w:ascii="Arial" w:eastAsia="宋体" w:hAnsi="Arial" w:cs="Arial" w:hint="eastAsia"/>
          <w:sz w:val="24"/>
          <w:szCs w:val="24"/>
        </w:rPr>
        <w:t>31</w:t>
      </w:r>
      <w:r w:rsidR="00735F1D" w:rsidRPr="00AC43C0">
        <w:rPr>
          <w:rFonts w:ascii="Arial" w:eastAsia="宋体" w:hAnsi="Arial" w:cs="Arial" w:hint="eastAsia"/>
          <w:sz w:val="24"/>
          <w:szCs w:val="24"/>
        </w:rPr>
        <w:t>日。</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63690E">
        <w:rPr>
          <w:rFonts w:ascii="Arial" w:eastAsia="宋体" w:hAnsi="Arial" w:cs="Arial" w:hint="eastAsia"/>
          <w:sz w:val="24"/>
          <w:szCs w:val="24"/>
        </w:rPr>
        <w:t>昆仑银行</w:t>
      </w:r>
      <w:r>
        <w:rPr>
          <w:rFonts w:ascii="Arial" w:eastAsia="宋体" w:hAnsi="Arial" w:cs="Arial"/>
          <w:sz w:val="24"/>
          <w:szCs w:val="24"/>
        </w:rPr>
        <w:t>提交申请，约定每期扣款时间、扣款金额及扣款方式，由</w:t>
      </w:r>
      <w:r w:rsidR="0063690E">
        <w:rPr>
          <w:rFonts w:ascii="Arial" w:eastAsia="宋体" w:hAnsi="Arial" w:cs="Arial"/>
          <w:sz w:val="24"/>
          <w:szCs w:val="24"/>
        </w:rPr>
        <w:t>昆仑银行</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、投资者办理上述基金的定期定额投资业务时，相关流程和业务规则请遵循</w:t>
      </w:r>
      <w:r w:rsidR="0063690E">
        <w:rPr>
          <w:rFonts w:ascii="Arial" w:eastAsia="宋体" w:hAnsi="Arial" w:cs="Arial"/>
          <w:sz w:val="24"/>
          <w:szCs w:val="24"/>
        </w:rPr>
        <w:t>昆仑银行</w:t>
      </w:r>
      <w:r>
        <w:rPr>
          <w:rFonts w:ascii="Arial" w:eastAsia="宋体" w:hAnsi="Arial" w:cs="Arial"/>
          <w:sz w:val="24"/>
          <w:szCs w:val="24"/>
        </w:rPr>
        <w:t>的有关规定。</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r w:rsidR="00735F1D">
        <w:rPr>
          <w:rFonts w:ascii="Arial" w:eastAsia="宋体" w:hAnsi="Arial" w:cs="Arial" w:hint="eastAsia"/>
          <w:sz w:val="24"/>
          <w:szCs w:val="24"/>
        </w:rPr>
        <w:t>。</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rsidR="00735F1D" w:rsidRPr="00735F1D" w:rsidRDefault="00735F1D" w:rsidP="00735F1D">
      <w:pPr>
        <w:spacing w:line="360" w:lineRule="auto"/>
        <w:ind w:firstLineChars="200" w:firstLine="480"/>
        <w:rPr>
          <w:rFonts w:ascii="Arial" w:eastAsia="宋体" w:hAnsi="Arial" w:cs="Arial"/>
          <w:sz w:val="24"/>
          <w:szCs w:val="24"/>
        </w:rPr>
      </w:pPr>
    </w:p>
    <w:p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63690E">
        <w:rPr>
          <w:rFonts w:hint="eastAsia"/>
          <w:color w:val="000000"/>
        </w:rPr>
        <w:t>昆仑银行股份有限公司</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63690E" w:rsidRPr="0063690E">
        <w:rPr>
          <w:rFonts w:ascii="Arial" w:hAnsi="Arial" w:cs="Arial"/>
          <w:b/>
        </w:rPr>
        <w:t>95379</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63690E" w:rsidRPr="0063690E">
        <w:rPr>
          <w:rFonts w:ascii="Arial" w:hAnsi="Arial" w:cs="Arial"/>
          <w:b/>
        </w:rPr>
        <w:t>www.klb.com.cn</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lastRenderedPageBreak/>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rsidR="0063690E" w:rsidRDefault="005E4B40" w:rsidP="0063690E">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rsidR="0063690E" w:rsidRDefault="0063690E" w:rsidP="0063690E">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如果投资者购买的产品为养老目标基金，产品“养老”的名称不代表收益保障或其他任何形式的收益承诺，产品不保本，可能发生亏损。请投资者仔细阅读专门风险揭示书，确认了解产品特征。</w:t>
      </w:r>
    </w:p>
    <w:p w:rsidR="0063690E" w:rsidRDefault="0063690E" w:rsidP="0063690E">
      <w:pPr>
        <w:autoSpaceDE w:val="0"/>
        <w:autoSpaceDN w:val="0"/>
        <w:adjustRightInd w:val="0"/>
        <w:spacing w:line="360" w:lineRule="auto"/>
        <w:ind w:firstLineChars="200" w:firstLine="480"/>
        <w:jc w:val="left"/>
        <w:outlineLvl w:val="0"/>
        <w:rPr>
          <w:rFonts w:ascii="Arial" w:eastAsia="宋体" w:hAnsi="Arial" w:cs="Arial"/>
          <w:sz w:val="24"/>
        </w:rPr>
      </w:pPr>
      <w:r w:rsidRPr="00E57846">
        <w:rPr>
          <w:rFonts w:hint="eastAsia"/>
          <w:sz w:val="24"/>
        </w:rPr>
        <w:t>如果投资者购买的产品以在基金合同中约定了基金份额最短持有期限，在最短持有期限内，将面临因不能赎回或卖出基金份额而出现的流动性约束。</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投资有风险，选择须谨慎。</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rsidR="00E53C93" w:rsidRDefault="00E53C93">
      <w:pPr>
        <w:spacing w:line="360" w:lineRule="auto"/>
        <w:ind w:firstLineChars="200" w:firstLine="480"/>
        <w:jc w:val="right"/>
        <w:rPr>
          <w:rFonts w:ascii="Arial" w:eastAsia="宋体" w:hAnsi="Arial" w:cs="Arial"/>
          <w:sz w:val="24"/>
          <w:szCs w:val="24"/>
        </w:rPr>
      </w:pPr>
    </w:p>
    <w:p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rsidR="00E53C93" w:rsidRDefault="0063690E">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2024</w:t>
      </w:r>
      <w:r>
        <w:rPr>
          <w:rFonts w:ascii="Arial" w:eastAsia="宋体" w:hAnsi="Arial" w:cs="Arial"/>
          <w:sz w:val="24"/>
          <w:szCs w:val="24"/>
        </w:rPr>
        <w:t>年</w:t>
      </w:r>
      <w:r>
        <w:rPr>
          <w:rFonts w:ascii="Arial" w:eastAsia="宋体" w:hAnsi="Arial" w:cs="Arial"/>
          <w:sz w:val="24"/>
          <w:szCs w:val="24"/>
        </w:rPr>
        <w:t>12</w:t>
      </w:r>
      <w:r>
        <w:rPr>
          <w:rFonts w:ascii="Arial" w:eastAsia="宋体" w:hAnsi="Arial" w:cs="Arial"/>
          <w:sz w:val="24"/>
          <w:szCs w:val="24"/>
        </w:rPr>
        <w:t>月</w:t>
      </w:r>
      <w:r>
        <w:rPr>
          <w:rFonts w:ascii="Arial" w:eastAsia="宋体" w:hAnsi="Arial" w:cs="Arial"/>
          <w:sz w:val="24"/>
          <w:szCs w:val="24"/>
        </w:rPr>
        <w:t>31</w:t>
      </w:r>
      <w:r w:rsidR="00941380">
        <w:rPr>
          <w:rFonts w:ascii="Arial" w:eastAsia="宋体" w:hAnsi="Arial" w:cs="Arial"/>
          <w:sz w:val="24"/>
          <w:szCs w:val="24"/>
        </w:rPr>
        <w:t>日</w:t>
      </w:r>
    </w:p>
    <w:sectPr w:rsidR="00E53C93" w:rsidSect="00274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40" w:rsidRDefault="001D6B40"/>
  </w:endnote>
  <w:endnote w:type="continuationSeparator" w:id="0">
    <w:p w:rsidR="001D6B40" w:rsidRDefault="001D6B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40" w:rsidRDefault="001D6B40"/>
  </w:footnote>
  <w:footnote w:type="continuationSeparator" w:id="0">
    <w:p w:rsidR="001D6B40" w:rsidRDefault="001D6B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40B6"/>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56D1"/>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032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D6B40"/>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4880"/>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4E8"/>
    <w:rsid w:val="002B1541"/>
    <w:rsid w:val="002B2FA6"/>
    <w:rsid w:val="002B36FC"/>
    <w:rsid w:val="002B3F14"/>
    <w:rsid w:val="002B42E2"/>
    <w:rsid w:val="002B475A"/>
    <w:rsid w:val="002B4908"/>
    <w:rsid w:val="002B4D3B"/>
    <w:rsid w:val="002B6184"/>
    <w:rsid w:val="002B629B"/>
    <w:rsid w:val="002B6383"/>
    <w:rsid w:val="002C1184"/>
    <w:rsid w:val="002C3EEA"/>
    <w:rsid w:val="002C5456"/>
    <w:rsid w:val="002C6FB0"/>
    <w:rsid w:val="002C76D1"/>
    <w:rsid w:val="002D034F"/>
    <w:rsid w:val="002D0E33"/>
    <w:rsid w:val="002D28D1"/>
    <w:rsid w:val="002D376F"/>
    <w:rsid w:val="002D4C04"/>
    <w:rsid w:val="002D604C"/>
    <w:rsid w:val="002D65FF"/>
    <w:rsid w:val="002D6DE7"/>
    <w:rsid w:val="002D7EAE"/>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3671"/>
    <w:rsid w:val="003373F7"/>
    <w:rsid w:val="00340150"/>
    <w:rsid w:val="00340DAA"/>
    <w:rsid w:val="00341F9B"/>
    <w:rsid w:val="00342DDE"/>
    <w:rsid w:val="0034528C"/>
    <w:rsid w:val="0034727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B0F33"/>
    <w:rsid w:val="003B1189"/>
    <w:rsid w:val="003B26E3"/>
    <w:rsid w:val="003B558E"/>
    <w:rsid w:val="003B6C96"/>
    <w:rsid w:val="003B738D"/>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ACD"/>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33D9"/>
    <w:rsid w:val="004F5393"/>
    <w:rsid w:val="004F557F"/>
    <w:rsid w:val="004F5FF9"/>
    <w:rsid w:val="00500299"/>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473"/>
    <w:rsid w:val="005349D1"/>
    <w:rsid w:val="0053534F"/>
    <w:rsid w:val="005362BE"/>
    <w:rsid w:val="0054106E"/>
    <w:rsid w:val="00543415"/>
    <w:rsid w:val="00544442"/>
    <w:rsid w:val="005468CC"/>
    <w:rsid w:val="00546AFF"/>
    <w:rsid w:val="00546BB0"/>
    <w:rsid w:val="00551B45"/>
    <w:rsid w:val="00551F3A"/>
    <w:rsid w:val="00552153"/>
    <w:rsid w:val="0055346D"/>
    <w:rsid w:val="0055357E"/>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2C0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24FD"/>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6C7B"/>
    <w:rsid w:val="00627B45"/>
    <w:rsid w:val="00627CC7"/>
    <w:rsid w:val="00630438"/>
    <w:rsid w:val="006309FE"/>
    <w:rsid w:val="00631B1D"/>
    <w:rsid w:val="00631F12"/>
    <w:rsid w:val="00633CD6"/>
    <w:rsid w:val="00633E76"/>
    <w:rsid w:val="006365FB"/>
    <w:rsid w:val="0063690E"/>
    <w:rsid w:val="00636F32"/>
    <w:rsid w:val="00637473"/>
    <w:rsid w:val="00637828"/>
    <w:rsid w:val="00637EB1"/>
    <w:rsid w:val="0064052F"/>
    <w:rsid w:val="00640AB0"/>
    <w:rsid w:val="00640F22"/>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234D"/>
    <w:rsid w:val="00694311"/>
    <w:rsid w:val="00694469"/>
    <w:rsid w:val="00695AE7"/>
    <w:rsid w:val="00695CDA"/>
    <w:rsid w:val="00696CF6"/>
    <w:rsid w:val="00697609"/>
    <w:rsid w:val="006A0326"/>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5F1D"/>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4E1"/>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47C00"/>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08B4"/>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294E"/>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721"/>
    <w:rsid w:val="009F0D7E"/>
    <w:rsid w:val="009F0E12"/>
    <w:rsid w:val="009F18CC"/>
    <w:rsid w:val="009F332E"/>
    <w:rsid w:val="009F3C16"/>
    <w:rsid w:val="009F581D"/>
    <w:rsid w:val="009F5EE1"/>
    <w:rsid w:val="009F6702"/>
    <w:rsid w:val="009F6830"/>
    <w:rsid w:val="009F6B17"/>
    <w:rsid w:val="009F7629"/>
    <w:rsid w:val="009F77BF"/>
    <w:rsid w:val="00A00B8B"/>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2F84"/>
    <w:rsid w:val="00AA397A"/>
    <w:rsid w:val="00AA3CC3"/>
    <w:rsid w:val="00AA51DF"/>
    <w:rsid w:val="00AA5CE2"/>
    <w:rsid w:val="00AB12FB"/>
    <w:rsid w:val="00AB421C"/>
    <w:rsid w:val="00AB43AD"/>
    <w:rsid w:val="00AB702D"/>
    <w:rsid w:val="00AB7484"/>
    <w:rsid w:val="00AB74F0"/>
    <w:rsid w:val="00AB7526"/>
    <w:rsid w:val="00AC0800"/>
    <w:rsid w:val="00AC0C1F"/>
    <w:rsid w:val="00AC1A52"/>
    <w:rsid w:val="00AC1D7D"/>
    <w:rsid w:val="00AC3131"/>
    <w:rsid w:val="00AC43C0"/>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68D8"/>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5F1A"/>
    <w:rsid w:val="00B90E81"/>
    <w:rsid w:val="00B90F95"/>
    <w:rsid w:val="00B918CF"/>
    <w:rsid w:val="00B92CE2"/>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1239"/>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79E"/>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C5754"/>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5D87"/>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97E11"/>
    <w:rsid w:val="00FA152F"/>
    <w:rsid w:val="00FA205C"/>
    <w:rsid w:val="00FA2615"/>
    <w:rsid w:val="00FA2B08"/>
    <w:rsid w:val="00FA3086"/>
    <w:rsid w:val="00FA3E18"/>
    <w:rsid w:val="00FB058B"/>
    <w:rsid w:val="00FB271F"/>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80"/>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2748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74880"/>
    <w:pPr>
      <w:jc w:val="left"/>
    </w:pPr>
  </w:style>
  <w:style w:type="paragraph" w:styleId="a4">
    <w:name w:val="Balloon Text"/>
    <w:basedOn w:val="a"/>
    <w:link w:val="Char0"/>
    <w:uiPriority w:val="99"/>
    <w:semiHidden/>
    <w:unhideWhenUsed/>
    <w:qFormat/>
    <w:rsid w:val="00274880"/>
    <w:rPr>
      <w:sz w:val="18"/>
      <w:szCs w:val="18"/>
    </w:rPr>
  </w:style>
  <w:style w:type="paragraph" w:styleId="a5">
    <w:name w:val="footer"/>
    <w:basedOn w:val="a"/>
    <w:link w:val="Char1"/>
    <w:uiPriority w:val="99"/>
    <w:unhideWhenUsed/>
    <w:qFormat/>
    <w:rsid w:val="0027488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74880"/>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27488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74880"/>
    <w:rPr>
      <w:b/>
      <w:bCs/>
    </w:rPr>
  </w:style>
  <w:style w:type="table" w:styleId="a9">
    <w:name w:val="Table Grid"/>
    <w:basedOn w:val="a1"/>
    <w:uiPriority w:val="59"/>
    <w:qFormat/>
    <w:rsid w:val="00274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74880"/>
    <w:rPr>
      <w:b/>
      <w:bCs/>
    </w:rPr>
  </w:style>
  <w:style w:type="character" w:styleId="ab">
    <w:name w:val="Hyperlink"/>
    <w:basedOn w:val="a0"/>
    <w:unhideWhenUsed/>
    <w:qFormat/>
    <w:rsid w:val="00274880"/>
    <w:rPr>
      <w:color w:val="0000FF"/>
      <w:u w:val="single"/>
    </w:rPr>
  </w:style>
  <w:style w:type="character" w:styleId="ac">
    <w:name w:val="annotation reference"/>
    <w:basedOn w:val="a0"/>
    <w:uiPriority w:val="99"/>
    <w:semiHidden/>
    <w:unhideWhenUsed/>
    <w:qFormat/>
    <w:rsid w:val="00274880"/>
    <w:rPr>
      <w:sz w:val="21"/>
      <w:szCs w:val="21"/>
    </w:rPr>
  </w:style>
  <w:style w:type="character" w:customStyle="1" w:styleId="Char2">
    <w:name w:val="页眉 Char"/>
    <w:basedOn w:val="a0"/>
    <w:link w:val="a6"/>
    <w:uiPriority w:val="99"/>
    <w:qFormat/>
    <w:rsid w:val="00274880"/>
    <w:rPr>
      <w:sz w:val="18"/>
      <w:szCs w:val="18"/>
    </w:rPr>
  </w:style>
  <w:style w:type="character" w:customStyle="1" w:styleId="Char1">
    <w:name w:val="页脚 Char"/>
    <w:basedOn w:val="a0"/>
    <w:link w:val="a5"/>
    <w:uiPriority w:val="99"/>
    <w:qFormat/>
    <w:rsid w:val="00274880"/>
    <w:rPr>
      <w:sz w:val="18"/>
      <w:szCs w:val="18"/>
    </w:rPr>
  </w:style>
  <w:style w:type="paragraph" w:styleId="ad">
    <w:name w:val="List Paragraph"/>
    <w:basedOn w:val="a"/>
    <w:uiPriority w:val="34"/>
    <w:qFormat/>
    <w:rsid w:val="00274880"/>
    <w:pPr>
      <w:ind w:firstLineChars="200" w:firstLine="420"/>
    </w:pPr>
  </w:style>
  <w:style w:type="character" w:customStyle="1" w:styleId="2Char">
    <w:name w:val="标题 2 Char"/>
    <w:basedOn w:val="a0"/>
    <w:link w:val="2"/>
    <w:uiPriority w:val="9"/>
    <w:qFormat/>
    <w:rsid w:val="00274880"/>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sid w:val="00274880"/>
    <w:rPr>
      <w:sz w:val="18"/>
      <w:szCs w:val="18"/>
    </w:rPr>
  </w:style>
  <w:style w:type="character" w:customStyle="1" w:styleId="Char">
    <w:name w:val="批注文字 Char"/>
    <w:basedOn w:val="a0"/>
    <w:link w:val="a3"/>
    <w:uiPriority w:val="99"/>
    <w:semiHidden/>
    <w:qFormat/>
    <w:rsid w:val="00274880"/>
  </w:style>
  <w:style w:type="character" w:customStyle="1" w:styleId="Char3">
    <w:name w:val="批注主题 Char"/>
    <w:basedOn w:val="Char"/>
    <w:link w:val="a8"/>
    <w:uiPriority w:val="99"/>
    <w:semiHidden/>
    <w:qFormat/>
    <w:rsid w:val="00274880"/>
    <w:rPr>
      <w:b/>
      <w:bCs/>
    </w:rPr>
  </w:style>
  <w:style w:type="paragraph" w:customStyle="1" w:styleId="1">
    <w:name w:val="修订1"/>
    <w:hidden/>
    <w:uiPriority w:val="99"/>
    <w:semiHidden/>
    <w:qFormat/>
    <w:rsid w:val="00274880"/>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274880"/>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274880"/>
    <w:rPr>
      <w:rFonts w:asciiTheme="minorHAnsi" w:eastAsiaTheme="minorEastAsia" w:hAnsiTheme="minorHAnsi" w:cstheme="minorBidi"/>
      <w:kern w:val="2"/>
      <w:sz w:val="21"/>
      <w:szCs w:val="22"/>
    </w:rPr>
  </w:style>
  <w:style w:type="paragraph" w:customStyle="1" w:styleId="4">
    <w:name w:val="修订4"/>
    <w:hidden/>
    <w:uiPriority w:val="99"/>
    <w:unhideWhenUsed/>
    <w:qFormat/>
    <w:rsid w:val="00274880"/>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274880"/>
    <w:rPr>
      <w:rFonts w:asciiTheme="minorHAnsi" w:eastAsiaTheme="minorEastAsia" w:hAnsiTheme="minorHAnsi" w:cstheme="minorBidi"/>
      <w:kern w:val="2"/>
      <w:sz w:val="21"/>
      <w:szCs w:val="22"/>
    </w:rPr>
  </w:style>
  <w:style w:type="character" w:customStyle="1" w:styleId="font41">
    <w:name w:val="font41"/>
    <w:basedOn w:val="a0"/>
    <w:qFormat/>
    <w:rsid w:val="00274880"/>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0220646">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547527820">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4D6F-AF22-4A03-A4AA-3DA7F8D0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1736</Characters>
  <Application>Microsoft Office Word</Application>
  <DocSecurity>4</DocSecurity>
  <Lines>14</Lines>
  <Paragraphs>4</Paragraphs>
  <ScaleCrop>false</ScaleCrop>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ZHONGM</cp:lastModifiedBy>
  <cp:revision>2</cp:revision>
  <cp:lastPrinted>2023-05-22T08:08:00Z</cp:lastPrinted>
  <dcterms:created xsi:type="dcterms:W3CDTF">2024-12-30T16:01:00Z</dcterms:created>
  <dcterms:modified xsi:type="dcterms:W3CDTF">2024-12-30T16:01:00Z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