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BC" w:rsidRPr="009636D6" w:rsidRDefault="00A162D3" w:rsidP="009636D6">
      <w:pPr>
        <w:widowControl/>
        <w:shd w:val="clear" w:color="auto" w:fill="FFFFFF"/>
        <w:jc w:val="center"/>
        <w:rPr>
          <w:rFonts w:asciiTheme="majorEastAsia" w:eastAsiaTheme="majorEastAsia" w:hAnsiTheme="majorEastAsia" w:cs="Times New Roman"/>
          <w:bCs/>
          <w:sz w:val="28"/>
          <w:szCs w:val="40"/>
        </w:rPr>
      </w:pPr>
      <w:r w:rsidRPr="009636D6">
        <w:rPr>
          <w:rFonts w:asciiTheme="majorEastAsia" w:eastAsiaTheme="majorEastAsia" w:hAnsiTheme="majorEastAsia" w:cs="Times New Roman" w:hint="eastAsia"/>
          <w:bCs/>
          <w:sz w:val="28"/>
          <w:szCs w:val="40"/>
        </w:rPr>
        <w:t>兴业</w:t>
      </w:r>
      <w:r w:rsidR="00811203" w:rsidRPr="009636D6">
        <w:rPr>
          <w:rFonts w:asciiTheme="majorEastAsia" w:eastAsiaTheme="majorEastAsia" w:hAnsiTheme="majorEastAsia" w:cs="Times New Roman" w:hint="eastAsia"/>
          <w:bCs/>
          <w:sz w:val="28"/>
          <w:szCs w:val="40"/>
        </w:rPr>
        <w:t>基金管理有限公司关于</w:t>
      </w:r>
      <w:r w:rsidR="009636D6" w:rsidRPr="009636D6">
        <w:rPr>
          <w:rFonts w:asciiTheme="majorEastAsia" w:eastAsiaTheme="majorEastAsia" w:hAnsiTheme="majorEastAsia" w:cs="Times New Roman" w:hint="eastAsia"/>
          <w:bCs/>
          <w:sz w:val="28"/>
          <w:szCs w:val="40"/>
        </w:rPr>
        <w:t>旗下部分基金2024年底及2025年非港股通交易日暂停申购、赎回、转换和定期定额投资业务的公告</w:t>
      </w:r>
    </w:p>
    <w:p w:rsidR="00C609BC" w:rsidRPr="00687A31" w:rsidRDefault="00C609BC" w:rsidP="00C609BC">
      <w:pPr>
        <w:widowControl/>
        <w:shd w:val="clear" w:color="auto" w:fill="FFFFFF"/>
        <w:jc w:val="center"/>
        <w:rPr>
          <w:rFonts w:asciiTheme="majorEastAsia" w:eastAsiaTheme="majorEastAsia" w:hAnsiTheme="majorEastAsia" w:cs="宋体"/>
          <w:color w:val="333333"/>
          <w:kern w:val="0"/>
          <w:sz w:val="18"/>
          <w:szCs w:val="18"/>
        </w:rPr>
      </w:pPr>
    </w:p>
    <w:p w:rsidR="009636D6" w:rsidRPr="007B0FDD" w:rsidRDefault="009636D6" w:rsidP="009636D6">
      <w:pPr>
        <w:spacing w:line="360" w:lineRule="auto"/>
        <w:ind w:firstLineChars="200" w:firstLine="420"/>
        <w:jc w:val="lef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根据上海证券交易所《关于2024年岁末及2025年沪港通下港股通交易日安排的通知》及深圳证券交易所《关于2024年底及2025年深港通下的港股通交易日安排的通知》中有关港股通交易日的安排，为更好地保证相关基金的稳定运作，保护基金份额持有人利益，兴业基金管理有限公司（以下简称“本公司”）决定，除上海交易所和深圳交易所因境内节假日休市外，对2024年底及2025年处于上海证券交易所、深圳证券交易所交易日的非港股通交易日暂停下列基金的申购、赎回、转换和定期定额投资业务，届时不再另行公告，敬请投资者及早做好交易安排。</w:t>
      </w:r>
    </w:p>
    <w:p w:rsidR="00C44777" w:rsidRPr="000928AE" w:rsidRDefault="009636D6" w:rsidP="009636D6">
      <w:pPr>
        <w:spacing w:line="360" w:lineRule="auto"/>
        <w:ind w:firstLineChars="200" w:firstLine="422"/>
        <w:jc w:val="left"/>
        <w:rPr>
          <w:rFonts w:asciiTheme="minorEastAsia" w:hAnsiTheme="minorEastAsia" w:cs="宋体"/>
          <w:b/>
          <w:color w:val="333333"/>
          <w:kern w:val="0"/>
          <w:szCs w:val="21"/>
        </w:rPr>
      </w:pPr>
      <w:r w:rsidRPr="000928AE">
        <w:rPr>
          <w:rFonts w:asciiTheme="minorEastAsia" w:hAnsiTheme="minorEastAsia" w:cs="宋体" w:hint="eastAsia"/>
          <w:b/>
          <w:color w:val="333333"/>
          <w:kern w:val="0"/>
          <w:szCs w:val="21"/>
        </w:rPr>
        <w:t>2024年底及2025年非港股通交易日暂停申购赎回等业务的基金如下：</w:t>
      </w:r>
    </w:p>
    <w:tbl>
      <w:tblPr>
        <w:tblStyle w:val="ad"/>
        <w:tblW w:w="8617" w:type="dxa"/>
        <w:tblInd w:w="-147" w:type="dxa"/>
        <w:tblLook w:val="04A0"/>
      </w:tblPr>
      <w:tblGrid>
        <w:gridCol w:w="1761"/>
        <w:gridCol w:w="6856"/>
      </w:tblGrid>
      <w:tr w:rsidR="000125AC" w:rsidRPr="007B0FDD" w:rsidTr="00957AE5">
        <w:trPr>
          <w:trHeight w:val="470"/>
        </w:trPr>
        <w:tc>
          <w:tcPr>
            <w:tcW w:w="1761" w:type="dxa"/>
            <w:vAlign w:val="center"/>
          </w:tcPr>
          <w:p w:rsidR="000125AC" w:rsidRPr="007B0FDD" w:rsidRDefault="000125AC" w:rsidP="008D0CBB">
            <w:pPr>
              <w:spacing w:line="360" w:lineRule="auto"/>
              <w:jc w:val="center"/>
              <w:rPr>
                <w:rFonts w:asciiTheme="minorEastAsia" w:hAnsiTheme="minorEastAsia" w:cs="宋体"/>
                <w:b/>
                <w:color w:val="333333"/>
                <w:kern w:val="0"/>
                <w:szCs w:val="21"/>
              </w:rPr>
            </w:pPr>
            <w:r w:rsidRPr="007B0FDD">
              <w:rPr>
                <w:rFonts w:asciiTheme="minorEastAsia" w:hAnsiTheme="minorEastAsia" w:cs="宋体" w:hint="eastAsia"/>
                <w:b/>
                <w:color w:val="333333"/>
                <w:kern w:val="0"/>
                <w:szCs w:val="21"/>
              </w:rPr>
              <w:t>基金代码</w:t>
            </w:r>
          </w:p>
        </w:tc>
        <w:tc>
          <w:tcPr>
            <w:tcW w:w="6856" w:type="dxa"/>
            <w:vAlign w:val="center"/>
          </w:tcPr>
          <w:p w:rsidR="000125AC" w:rsidRPr="007B0FDD" w:rsidRDefault="000125AC" w:rsidP="008D0CBB">
            <w:pPr>
              <w:spacing w:line="360" w:lineRule="auto"/>
              <w:jc w:val="center"/>
              <w:rPr>
                <w:rFonts w:asciiTheme="minorEastAsia" w:hAnsiTheme="minorEastAsia" w:cs="宋体"/>
                <w:b/>
                <w:color w:val="333333"/>
                <w:kern w:val="0"/>
                <w:szCs w:val="21"/>
              </w:rPr>
            </w:pPr>
            <w:r w:rsidRPr="007B0FDD">
              <w:rPr>
                <w:rFonts w:asciiTheme="minorEastAsia" w:hAnsiTheme="minorEastAsia" w:cs="宋体" w:hint="eastAsia"/>
                <w:b/>
                <w:color w:val="333333"/>
                <w:kern w:val="0"/>
                <w:szCs w:val="21"/>
              </w:rPr>
              <w:t>基金名称</w:t>
            </w:r>
          </w:p>
        </w:tc>
      </w:tr>
      <w:tr w:rsidR="000125AC" w:rsidRPr="007B0FDD" w:rsidTr="00957AE5">
        <w:trPr>
          <w:trHeight w:val="470"/>
        </w:trPr>
        <w:tc>
          <w:tcPr>
            <w:tcW w:w="1761" w:type="dxa"/>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016703</w:t>
            </w:r>
          </w:p>
        </w:tc>
        <w:tc>
          <w:tcPr>
            <w:tcW w:w="6856" w:type="dxa"/>
            <w:vAlign w:val="center"/>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兴业品质睿选混合型发起式证券投资基金A</w:t>
            </w:r>
          </w:p>
        </w:tc>
      </w:tr>
      <w:tr w:rsidR="000125AC" w:rsidRPr="007B0FDD" w:rsidTr="00957AE5">
        <w:trPr>
          <w:trHeight w:val="459"/>
        </w:trPr>
        <w:tc>
          <w:tcPr>
            <w:tcW w:w="1761" w:type="dxa"/>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016704</w:t>
            </w:r>
          </w:p>
        </w:tc>
        <w:tc>
          <w:tcPr>
            <w:tcW w:w="6856" w:type="dxa"/>
            <w:vAlign w:val="center"/>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兴业品质睿选混合型发起式证券投资基金C</w:t>
            </w:r>
          </w:p>
        </w:tc>
      </w:tr>
      <w:tr w:rsidR="000125AC" w:rsidRPr="007B0FDD" w:rsidTr="00957AE5">
        <w:trPr>
          <w:trHeight w:val="459"/>
        </w:trPr>
        <w:tc>
          <w:tcPr>
            <w:tcW w:w="1761" w:type="dxa"/>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019587</w:t>
            </w:r>
          </w:p>
        </w:tc>
        <w:tc>
          <w:tcPr>
            <w:tcW w:w="6856" w:type="dxa"/>
            <w:vAlign w:val="center"/>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兴业弘远回报混合型发起式证券投资基金A</w:t>
            </w:r>
          </w:p>
        </w:tc>
      </w:tr>
      <w:tr w:rsidR="000125AC" w:rsidRPr="007B0FDD" w:rsidTr="00957AE5">
        <w:trPr>
          <w:trHeight w:val="459"/>
        </w:trPr>
        <w:tc>
          <w:tcPr>
            <w:tcW w:w="1761" w:type="dxa"/>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019588</w:t>
            </w:r>
          </w:p>
        </w:tc>
        <w:tc>
          <w:tcPr>
            <w:tcW w:w="6856" w:type="dxa"/>
            <w:vAlign w:val="center"/>
          </w:tcPr>
          <w:p w:rsidR="000125AC" w:rsidRPr="007B0FDD" w:rsidRDefault="000125AC" w:rsidP="00C408B2">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兴业弘远回报混合型发起式证券投资基金C</w:t>
            </w:r>
          </w:p>
        </w:tc>
      </w:tr>
      <w:tr w:rsidR="000125AC" w:rsidRPr="007B0FDD" w:rsidTr="00957AE5">
        <w:trPr>
          <w:trHeight w:val="459"/>
        </w:trPr>
        <w:tc>
          <w:tcPr>
            <w:tcW w:w="1761"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021377</w:t>
            </w:r>
          </w:p>
        </w:tc>
        <w:tc>
          <w:tcPr>
            <w:tcW w:w="6856"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hint="eastAsia"/>
                <w:szCs w:val="21"/>
              </w:rPr>
              <w:t>兴业中证港股通互联网指数型发起式证券投资基金</w:t>
            </w:r>
            <w:r w:rsidRPr="007B0FDD">
              <w:rPr>
                <w:rFonts w:asciiTheme="minorEastAsia" w:hAnsiTheme="minorEastAsia" w:hint="eastAsia"/>
                <w:color w:val="000000"/>
                <w:szCs w:val="21"/>
              </w:rPr>
              <w:t>A</w:t>
            </w:r>
          </w:p>
        </w:tc>
      </w:tr>
      <w:tr w:rsidR="000125AC" w:rsidRPr="007B0FDD" w:rsidTr="00957AE5">
        <w:trPr>
          <w:trHeight w:val="459"/>
        </w:trPr>
        <w:tc>
          <w:tcPr>
            <w:tcW w:w="1761"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021378</w:t>
            </w:r>
          </w:p>
        </w:tc>
        <w:tc>
          <w:tcPr>
            <w:tcW w:w="6856"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hint="eastAsia"/>
                <w:szCs w:val="21"/>
              </w:rPr>
              <w:t>兴业中证港股通互联网指数型发起式证券投资基金</w:t>
            </w:r>
            <w:r w:rsidRPr="007B0FDD">
              <w:rPr>
                <w:rFonts w:asciiTheme="minorEastAsia" w:hAnsiTheme="minorEastAsia" w:hint="eastAsia"/>
                <w:color w:val="000000"/>
                <w:szCs w:val="21"/>
              </w:rPr>
              <w:t>C</w:t>
            </w:r>
          </w:p>
        </w:tc>
      </w:tr>
      <w:tr w:rsidR="000125AC" w:rsidRPr="007B0FDD" w:rsidTr="00957AE5">
        <w:trPr>
          <w:trHeight w:val="459"/>
        </w:trPr>
        <w:tc>
          <w:tcPr>
            <w:tcW w:w="1761"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021931</w:t>
            </w:r>
          </w:p>
        </w:tc>
        <w:tc>
          <w:tcPr>
            <w:tcW w:w="6856" w:type="dxa"/>
            <w:vAlign w:val="center"/>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兴业华证沪港深红利100指数型证券投资基金A</w:t>
            </w:r>
          </w:p>
        </w:tc>
      </w:tr>
      <w:tr w:rsidR="000125AC" w:rsidRPr="007B0FDD" w:rsidTr="00957AE5">
        <w:trPr>
          <w:trHeight w:val="459"/>
        </w:trPr>
        <w:tc>
          <w:tcPr>
            <w:tcW w:w="1761" w:type="dxa"/>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szCs w:val="21"/>
              </w:rPr>
              <w:t>021932</w:t>
            </w:r>
          </w:p>
        </w:tc>
        <w:tc>
          <w:tcPr>
            <w:tcW w:w="6856" w:type="dxa"/>
            <w:vAlign w:val="center"/>
          </w:tcPr>
          <w:p w:rsidR="000125AC" w:rsidRPr="007B0FDD" w:rsidRDefault="000125AC" w:rsidP="00131320">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000000"/>
                <w:szCs w:val="21"/>
              </w:rPr>
              <w:t>兴业华证沪港深红利100指数型证券投资基金C</w:t>
            </w:r>
          </w:p>
        </w:tc>
      </w:tr>
    </w:tbl>
    <w:p w:rsidR="009636D6" w:rsidRDefault="009636D6" w:rsidP="007B33CD">
      <w:pPr>
        <w:spacing w:line="360" w:lineRule="auto"/>
        <w:ind w:firstLineChars="200" w:firstLine="422"/>
        <w:jc w:val="left"/>
        <w:rPr>
          <w:rFonts w:asciiTheme="minorEastAsia" w:hAnsiTheme="minorEastAsia" w:cs="宋体"/>
          <w:b/>
          <w:color w:val="333333"/>
          <w:kern w:val="0"/>
          <w:szCs w:val="21"/>
        </w:rPr>
      </w:pPr>
    </w:p>
    <w:p w:rsidR="003A5300" w:rsidRPr="007B0FDD" w:rsidRDefault="009636D6" w:rsidP="007B33CD">
      <w:pPr>
        <w:spacing w:line="360" w:lineRule="auto"/>
        <w:ind w:firstLineChars="200" w:firstLine="422"/>
        <w:jc w:val="left"/>
        <w:rPr>
          <w:rFonts w:asciiTheme="minorEastAsia" w:hAnsiTheme="minorEastAsia" w:cs="宋体"/>
          <w:b/>
          <w:color w:val="333333"/>
          <w:kern w:val="0"/>
          <w:szCs w:val="21"/>
        </w:rPr>
      </w:pPr>
      <w:r w:rsidRPr="007B0FDD">
        <w:rPr>
          <w:rFonts w:asciiTheme="minorEastAsia" w:hAnsiTheme="minorEastAsia" w:hint="eastAsia"/>
          <w:b/>
          <w:bCs/>
          <w:color w:val="000000"/>
          <w:szCs w:val="21"/>
        </w:rPr>
        <w:t>上述基金2024年底及2025年非港股通交易日提示如下：</w:t>
      </w:r>
    </w:p>
    <w:tbl>
      <w:tblPr>
        <w:tblStyle w:val="ad"/>
        <w:tblW w:w="8706" w:type="dxa"/>
        <w:tblInd w:w="-147" w:type="dxa"/>
        <w:tblLook w:val="04A0"/>
      </w:tblPr>
      <w:tblGrid>
        <w:gridCol w:w="1565"/>
        <w:gridCol w:w="1172"/>
        <w:gridCol w:w="5969"/>
      </w:tblGrid>
      <w:tr w:rsidR="00C44777" w:rsidRPr="007B0FDD" w:rsidTr="006B2B2B">
        <w:trPr>
          <w:trHeight w:val="454"/>
        </w:trPr>
        <w:tc>
          <w:tcPr>
            <w:tcW w:w="1565" w:type="dxa"/>
            <w:vAlign w:val="center"/>
          </w:tcPr>
          <w:p w:rsidR="00C44777" w:rsidRPr="007B0FDD" w:rsidRDefault="00C44777" w:rsidP="00C44777">
            <w:pPr>
              <w:spacing w:line="360" w:lineRule="auto"/>
              <w:jc w:val="center"/>
              <w:rPr>
                <w:rFonts w:asciiTheme="minorEastAsia" w:hAnsiTheme="minorEastAsia" w:cs="宋体"/>
                <w:b/>
                <w:color w:val="333333"/>
                <w:kern w:val="0"/>
                <w:szCs w:val="21"/>
              </w:rPr>
            </w:pPr>
            <w:r w:rsidRPr="007B0FDD">
              <w:rPr>
                <w:rFonts w:asciiTheme="minorEastAsia" w:hAnsiTheme="minorEastAsia" w:cs="宋体"/>
                <w:b/>
                <w:color w:val="333333"/>
                <w:kern w:val="0"/>
                <w:szCs w:val="21"/>
              </w:rPr>
              <w:t>年份</w:t>
            </w:r>
          </w:p>
        </w:tc>
        <w:tc>
          <w:tcPr>
            <w:tcW w:w="1172" w:type="dxa"/>
            <w:vAlign w:val="center"/>
          </w:tcPr>
          <w:p w:rsidR="00C44777" w:rsidRPr="007B0FDD" w:rsidRDefault="000928AE" w:rsidP="00C44777">
            <w:pPr>
              <w:spacing w:line="360" w:lineRule="auto"/>
              <w:jc w:val="center"/>
              <w:rPr>
                <w:rFonts w:asciiTheme="minorEastAsia" w:hAnsiTheme="minorEastAsia" w:cs="宋体"/>
                <w:b/>
                <w:color w:val="333333"/>
                <w:kern w:val="0"/>
                <w:szCs w:val="21"/>
              </w:rPr>
            </w:pPr>
            <w:r>
              <w:rPr>
                <w:rFonts w:asciiTheme="minorEastAsia" w:hAnsiTheme="minorEastAsia" w:cs="宋体" w:hint="eastAsia"/>
                <w:b/>
                <w:color w:val="333333"/>
                <w:kern w:val="0"/>
                <w:szCs w:val="21"/>
              </w:rPr>
              <w:t>月份</w:t>
            </w:r>
          </w:p>
        </w:tc>
        <w:tc>
          <w:tcPr>
            <w:tcW w:w="5969" w:type="dxa"/>
            <w:vAlign w:val="center"/>
          </w:tcPr>
          <w:p w:rsidR="00C44777" w:rsidRPr="007B0FDD" w:rsidRDefault="006F4589" w:rsidP="00C44777">
            <w:pPr>
              <w:spacing w:line="360" w:lineRule="auto"/>
              <w:jc w:val="center"/>
              <w:rPr>
                <w:rFonts w:asciiTheme="minorEastAsia" w:hAnsiTheme="minorEastAsia" w:cs="宋体"/>
                <w:b/>
                <w:color w:val="333333"/>
                <w:kern w:val="0"/>
                <w:szCs w:val="21"/>
              </w:rPr>
            </w:pPr>
            <w:r w:rsidRPr="006F4589">
              <w:rPr>
                <w:rFonts w:asciiTheme="minorEastAsia" w:hAnsiTheme="minorEastAsia" w:cs="宋体" w:hint="eastAsia"/>
                <w:b/>
                <w:color w:val="333333"/>
                <w:kern w:val="0"/>
                <w:szCs w:val="21"/>
              </w:rPr>
              <w:t>2024年底及2025年</w:t>
            </w:r>
            <w:r w:rsidR="00C44777" w:rsidRPr="007B0FDD">
              <w:rPr>
                <w:rFonts w:asciiTheme="minorEastAsia" w:hAnsiTheme="minorEastAsia" w:cs="宋体" w:hint="eastAsia"/>
                <w:b/>
                <w:color w:val="333333"/>
                <w:kern w:val="0"/>
                <w:szCs w:val="21"/>
              </w:rPr>
              <w:t>非港股通交易日</w:t>
            </w:r>
          </w:p>
        </w:tc>
      </w:tr>
      <w:tr w:rsidR="0082599B" w:rsidRPr="007B0FDD" w:rsidTr="006B2B2B">
        <w:trPr>
          <w:trHeight w:val="428"/>
        </w:trPr>
        <w:tc>
          <w:tcPr>
            <w:tcW w:w="1565" w:type="dxa"/>
            <w:vAlign w:val="center"/>
          </w:tcPr>
          <w:p w:rsidR="0082599B" w:rsidRPr="007B0FDD" w:rsidRDefault="00053618" w:rsidP="0082599B">
            <w:pPr>
              <w:spacing w:line="360" w:lineRule="auto"/>
              <w:jc w:val="center"/>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2</w:t>
            </w:r>
            <w:r w:rsidRPr="007B0FDD">
              <w:rPr>
                <w:rFonts w:asciiTheme="minorEastAsia" w:hAnsiTheme="minorEastAsia" w:cs="宋体"/>
                <w:color w:val="333333"/>
                <w:kern w:val="0"/>
                <w:szCs w:val="21"/>
              </w:rPr>
              <w:t>024年</w:t>
            </w:r>
          </w:p>
        </w:tc>
        <w:tc>
          <w:tcPr>
            <w:tcW w:w="1172"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12月</w:t>
            </w:r>
          </w:p>
        </w:tc>
        <w:tc>
          <w:tcPr>
            <w:tcW w:w="5969" w:type="dxa"/>
            <w:vAlign w:val="center"/>
          </w:tcPr>
          <w:p w:rsidR="0082599B" w:rsidRPr="007B0FDD" w:rsidRDefault="004C3EB0" w:rsidP="00E355CC">
            <w:pPr>
              <w:spacing w:line="360" w:lineRule="auto"/>
              <w:jc w:val="center"/>
              <w:rPr>
                <w:rFonts w:asciiTheme="minorEastAsia" w:hAnsiTheme="minorEastAsia" w:cs="宋体"/>
                <w:color w:val="333333"/>
                <w:kern w:val="0"/>
                <w:szCs w:val="21"/>
              </w:rPr>
            </w:pPr>
            <w:r w:rsidRPr="007B0FDD">
              <w:rPr>
                <w:rFonts w:asciiTheme="minorEastAsia" w:hAnsiTheme="minorEastAsia"/>
                <w:color w:val="333333"/>
                <w:szCs w:val="21"/>
              </w:rPr>
              <w:t>31日</w:t>
            </w:r>
          </w:p>
        </w:tc>
      </w:tr>
      <w:tr w:rsidR="0082599B" w:rsidRPr="007B0FDD" w:rsidTr="006B2B2B">
        <w:trPr>
          <w:trHeight w:val="406"/>
        </w:trPr>
        <w:tc>
          <w:tcPr>
            <w:tcW w:w="1565" w:type="dxa"/>
            <w:vMerge w:val="restart"/>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2</w:t>
            </w:r>
            <w:r w:rsidRPr="007B0FDD">
              <w:rPr>
                <w:rFonts w:asciiTheme="minorEastAsia" w:hAnsiTheme="minorEastAsia" w:cs="宋体"/>
                <w:color w:val="333333"/>
                <w:kern w:val="0"/>
                <w:szCs w:val="21"/>
              </w:rPr>
              <w:t>025年</w:t>
            </w:r>
          </w:p>
        </w:tc>
        <w:tc>
          <w:tcPr>
            <w:tcW w:w="1172"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4月</w:t>
            </w:r>
          </w:p>
        </w:tc>
        <w:tc>
          <w:tcPr>
            <w:tcW w:w="5969"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18日、21日（香港耶稣受难节、复活节）</w:t>
            </w:r>
          </w:p>
        </w:tc>
      </w:tr>
      <w:tr w:rsidR="0082599B" w:rsidRPr="007B0FDD" w:rsidTr="006B2B2B">
        <w:trPr>
          <w:trHeight w:val="406"/>
        </w:trPr>
        <w:tc>
          <w:tcPr>
            <w:tcW w:w="1565" w:type="dxa"/>
            <w:vMerge/>
            <w:vAlign w:val="center"/>
          </w:tcPr>
          <w:p w:rsidR="0082599B" w:rsidRPr="007B0FDD" w:rsidRDefault="0082599B" w:rsidP="0082599B">
            <w:pPr>
              <w:spacing w:line="360" w:lineRule="auto"/>
              <w:jc w:val="center"/>
              <w:rPr>
                <w:rFonts w:asciiTheme="minorEastAsia" w:hAnsiTheme="minorEastAsia" w:cs="宋体"/>
                <w:color w:val="333333"/>
                <w:kern w:val="0"/>
                <w:szCs w:val="21"/>
              </w:rPr>
            </w:pPr>
          </w:p>
        </w:tc>
        <w:tc>
          <w:tcPr>
            <w:tcW w:w="1172"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7月</w:t>
            </w:r>
          </w:p>
        </w:tc>
        <w:tc>
          <w:tcPr>
            <w:tcW w:w="5969"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1日（香港特别行政区成立纪念日）</w:t>
            </w:r>
          </w:p>
        </w:tc>
      </w:tr>
      <w:tr w:rsidR="009636D6" w:rsidRPr="007B0FDD" w:rsidTr="006B2B2B">
        <w:trPr>
          <w:trHeight w:val="406"/>
        </w:trPr>
        <w:tc>
          <w:tcPr>
            <w:tcW w:w="1565" w:type="dxa"/>
            <w:vMerge/>
            <w:vAlign w:val="center"/>
          </w:tcPr>
          <w:p w:rsidR="009636D6" w:rsidRPr="007B0FDD" w:rsidRDefault="009636D6" w:rsidP="0082599B">
            <w:pPr>
              <w:spacing w:line="360" w:lineRule="auto"/>
              <w:jc w:val="center"/>
              <w:rPr>
                <w:rFonts w:asciiTheme="minorEastAsia" w:hAnsiTheme="minorEastAsia" w:cs="宋体"/>
                <w:color w:val="333333"/>
                <w:kern w:val="0"/>
                <w:szCs w:val="21"/>
              </w:rPr>
            </w:pPr>
          </w:p>
        </w:tc>
        <w:tc>
          <w:tcPr>
            <w:tcW w:w="1172" w:type="dxa"/>
            <w:vAlign w:val="center"/>
          </w:tcPr>
          <w:p w:rsidR="009636D6" w:rsidRPr="007B0FDD" w:rsidRDefault="004C3EB0" w:rsidP="0082599B">
            <w:pPr>
              <w:spacing w:line="360" w:lineRule="auto"/>
              <w:jc w:val="center"/>
              <w:rPr>
                <w:rFonts w:asciiTheme="minorEastAsia" w:hAnsiTheme="minorEastAsia"/>
                <w:color w:val="333333"/>
                <w:szCs w:val="21"/>
              </w:rPr>
            </w:pPr>
            <w:r w:rsidRPr="007B0FDD">
              <w:rPr>
                <w:rFonts w:asciiTheme="minorEastAsia" w:hAnsiTheme="minorEastAsia" w:hint="eastAsia"/>
                <w:color w:val="333333"/>
                <w:szCs w:val="21"/>
              </w:rPr>
              <w:t>10月</w:t>
            </w:r>
          </w:p>
        </w:tc>
        <w:tc>
          <w:tcPr>
            <w:tcW w:w="5969" w:type="dxa"/>
            <w:vAlign w:val="center"/>
          </w:tcPr>
          <w:p w:rsidR="009636D6" w:rsidRPr="007B0FDD" w:rsidRDefault="004C3EB0" w:rsidP="0082599B">
            <w:pPr>
              <w:spacing w:line="360" w:lineRule="auto"/>
              <w:jc w:val="center"/>
              <w:rPr>
                <w:rFonts w:asciiTheme="minorEastAsia" w:hAnsiTheme="minorEastAsia"/>
                <w:color w:val="333333"/>
                <w:szCs w:val="21"/>
              </w:rPr>
            </w:pPr>
            <w:r w:rsidRPr="007B0FDD">
              <w:rPr>
                <w:rFonts w:asciiTheme="minorEastAsia" w:hAnsiTheme="minorEastAsia" w:hint="eastAsia"/>
                <w:color w:val="333333"/>
                <w:szCs w:val="21"/>
              </w:rPr>
              <w:t>29日（香港重阳节）</w:t>
            </w:r>
          </w:p>
        </w:tc>
      </w:tr>
      <w:tr w:rsidR="0082599B" w:rsidRPr="007B0FDD" w:rsidTr="006B2B2B">
        <w:trPr>
          <w:trHeight w:val="406"/>
        </w:trPr>
        <w:tc>
          <w:tcPr>
            <w:tcW w:w="1565" w:type="dxa"/>
            <w:vMerge/>
            <w:vAlign w:val="center"/>
          </w:tcPr>
          <w:p w:rsidR="0082599B" w:rsidRPr="007B0FDD" w:rsidRDefault="0082599B" w:rsidP="0082599B">
            <w:pPr>
              <w:spacing w:line="360" w:lineRule="auto"/>
              <w:jc w:val="center"/>
              <w:rPr>
                <w:rFonts w:asciiTheme="minorEastAsia" w:hAnsiTheme="minorEastAsia" w:cs="宋体"/>
                <w:color w:val="333333"/>
                <w:kern w:val="0"/>
                <w:szCs w:val="21"/>
              </w:rPr>
            </w:pPr>
          </w:p>
        </w:tc>
        <w:tc>
          <w:tcPr>
            <w:tcW w:w="1172"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color w:val="333333"/>
                <w:szCs w:val="21"/>
              </w:rPr>
              <w:t>12</w:t>
            </w:r>
            <w:r w:rsidRPr="007B0FDD">
              <w:rPr>
                <w:rFonts w:asciiTheme="minorEastAsia" w:hAnsiTheme="minorEastAsia" w:hint="eastAsia"/>
                <w:color w:val="333333"/>
                <w:szCs w:val="21"/>
              </w:rPr>
              <w:t>月</w:t>
            </w:r>
          </w:p>
        </w:tc>
        <w:tc>
          <w:tcPr>
            <w:tcW w:w="5969" w:type="dxa"/>
            <w:vAlign w:val="center"/>
          </w:tcPr>
          <w:p w:rsidR="0082599B" w:rsidRPr="007B0FDD" w:rsidRDefault="004C3EB0" w:rsidP="0082599B">
            <w:pPr>
              <w:spacing w:line="360" w:lineRule="auto"/>
              <w:jc w:val="center"/>
              <w:rPr>
                <w:rFonts w:asciiTheme="minorEastAsia" w:hAnsiTheme="minorEastAsia" w:cs="宋体"/>
                <w:color w:val="333333"/>
                <w:kern w:val="0"/>
                <w:szCs w:val="21"/>
              </w:rPr>
            </w:pPr>
            <w:r w:rsidRPr="007B0FDD">
              <w:rPr>
                <w:rFonts w:asciiTheme="minorEastAsia" w:hAnsiTheme="minorEastAsia" w:hint="eastAsia"/>
                <w:color w:val="333333"/>
                <w:szCs w:val="21"/>
              </w:rPr>
              <w:t>24日、25日、26日、31日（香港圣诞节、香港新年前夕）</w:t>
            </w:r>
          </w:p>
        </w:tc>
      </w:tr>
    </w:tbl>
    <w:p w:rsidR="00C44777" w:rsidRPr="007B0FDD" w:rsidRDefault="007B33CD" w:rsidP="004C3EB0">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lastRenderedPageBreak/>
        <w:t>注：</w:t>
      </w:r>
      <w:r w:rsidR="00C44777" w:rsidRPr="007B0FDD">
        <w:rPr>
          <w:rFonts w:asciiTheme="minorEastAsia" w:hAnsiTheme="minorEastAsia" w:cs="宋体" w:hint="eastAsia"/>
          <w:color w:val="333333"/>
          <w:kern w:val="0"/>
          <w:szCs w:val="21"/>
        </w:rPr>
        <w:t>1</w:t>
      </w:r>
      <w:r w:rsidR="00BB4F5B">
        <w:rPr>
          <w:rFonts w:asciiTheme="minorEastAsia" w:hAnsiTheme="minorEastAsia" w:cs="宋体" w:hint="eastAsia"/>
          <w:color w:val="333333"/>
          <w:kern w:val="0"/>
          <w:szCs w:val="21"/>
        </w:rPr>
        <w:t>、</w:t>
      </w:r>
      <w:r w:rsidR="004C3EB0" w:rsidRPr="007B0FDD">
        <w:rPr>
          <w:rFonts w:asciiTheme="minorEastAsia" w:hAnsiTheme="minorEastAsia" w:cs="宋体" w:hint="eastAsia"/>
          <w:color w:val="333333"/>
          <w:kern w:val="0"/>
          <w:szCs w:val="21"/>
        </w:rPr>
        <w:t>关于非港股通交易日的具体安排以上海证券交易所、深圳证券交易所发布的通知为准；</w:t>
      </w:r>
      <w:r w:rsidR="00C44777" w:rsidRPr="007B0FDD">
        <w:rPr>
          <w:rFonts w:asciiTheme="minorEastAsia" w:hAnsiTheme="minorEastAsia" w:cs="宋体" w:hint="eastAsia"/>
          <w:color w:val="333333"/>
          <w:kern w:val="0"/>
          <w:szCs w:val="21"/>
        </w:rPr>
        <w:t>上述非港股通交易日已剔除和上海证券交易所、深圳证券交易所休市日重合的日期。</w:t>
      </w:r>
    </w:p>
    <w:p w:rsidR="00C44777" w:rsidRPr="007B0FDD" w:rsidRDefault="00C44777" w:rsidP="00C44777">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2、如遇因其他原因暂停申购、赎回和定期定额投资等业务的，具体业务办理以相关公告为准。</w:t>
      </w:r>
    </w:p>
    <w:p w:rsidR="00C44777" w:rsidRPr="007B0FDD" w:rsidRDefault="004C3EB0" w:rsidP="00C44777">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color w:val="333333"/>
          <w:kern w:val="0"/>
          <w:szCs w:val="21"/>
        </w:rPr>
        <w:t>3</w:t>
      </w:r>
      <w:r w:rsidR="00C44777" w:rsidRPr="007B0FDD">
        <w:rPr>
          <w:rFonts w:asciiTheme="minorEastAsia" w:hAnsiTheme="minorEastAsia" w:cs="宋体" w:hint="eastAsia"/>
          <w:color w:val="333333"/>
          <w:kern w:val="0"/>
          <w:szCs w:val="21"/>
        </w:rPr>
        <w:t>、敬请投资者仔细阅读基金合同</w:t>
      </w:r>
      <w:r w:rsidR="00FA6D87">
        <w:rPr>
          <w:rFonts w:asciiTheme="minorEastAsia" w:hAnsiTheme="minorEastAsia" w:cs="宋体" w:hint="eastAsia"/>
          <w:color w:val="333333"/>
          <w:kern w:val="0"/>
          <w:szCs w:val="21"/>
        </w:rPr>
        <w:t>、招募说明书、产品资料概要等法律文件，及早做好交易安排，避免因</w:t>
      </w:r>
      <w:r w:rsidR="00C44777" w:rsidRPr="007B0FDD">
        <w:rPr>
          <w:rFonts w:asciiTheme="minorEastAsia" w:hAnsiTheme="minorEastAsia" w:cs="宋体" w:hint="eastAsia"/>
          <w:color w:val="333333"/>
          <w:kern w:val="0"/>
          <w:szCs w:val="21"/>
        </w:rPr>
        <w:t>基金暂停申购、定投、赎回等业务带来的</w:t>
      </w:r>
      <w:r w:rsidR="00FA6D87">
        <w:rPr>
          <w:rFonts w:asciiTheme="minorEastAsia" w:hAnsiTheme="minorEastAsia" w:cs="宋体" w:hint="eastAsia"/>
          <w:color w:val="333333"/>
          <w:kern w:val="0"/>
          <w:szCs w:val="21"/>
        </w:rPr>
        <w:t>不便</w:t>
      </w:r>
      <w:r w:rsidR="00C44777" w:rsidRPr="007B0FDD">
        <w:rPr>
          <w:rFonts w:asciiTheme="minorEastAsia" w:hAnsiTheme="minorEastAsia" w:cs="宋体" w:hint="eastAsia"/>
          <w:color w:val="333333"/>
          <w:kern w:val="0"/>
          <w:szCs w:val="21"/>
        </w:rPr>
        <w:t>。</w:t>
      </w:r>
    </w:p>
    <w:p w:rsidR="00C44777" w:rsidRPr="007B0FDD" w:rsidRDefault="004C3EB0" w:rsidP="00C44777">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color w:val="333333"/>
          <w:kern w:val="0"/>
          <w:szCs w:val="21"/>
        </w:rPr>
        <w:t>4</w:t>
      </w:r>
      <w:r w:rsidR="00C44777" w:rsidRPr="007B0FDD">
        <w:rPr>
          <w:rFonts w:asciiTheme="minorEastAsia" w:hAnsiTheme="minorEastAsia" w:cs="宋体" w:hint="eastAsia"/>
          <w:color w:val="333333"/>
          <w:kern w:val="0"/>
          <w:szCs w:val="21"/>
        </w:rPr>
        <w:t>、若港股通交易日安排发生变化或将来根据法律法规和基金合同的约定需要调整上述安排的，基金管理人将另行调整并公告。</w:t>
      </w:r>
    </w:p>
    <w:p w:rsidR="00C44777" w:rsidRPr="007B0FDD" w:rsidRDefault="004C3EB0" w:rsidP="00C44777">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color w:val="333333"/>
          <w:kern w:val="0"/>
          <w:szCs w:val="21"/>
        </w:rPr>
        <w:t>5</w:t>
      </w:r>
      <w:r w:rsidR="00C44777" w:rsidRPr="007B0FDD">
        <w:rPr>
          <w:rFonts w:asciiTheme="minorEastAsia" w:hAnsiTheme="minorEastAsia" w:cs="宋体" w:hint="eastAsia"/>
          <w:color w:val="333333"/>
          <w:kern w:val="0"/>
          <w:szCs w:val="21"/>
        </w:rPr>
        <w:t>、若出现新的证券交易市场、证券交易所交易时间变更或其他特殊情况，基金管理人将视情况对前述开放日及开放时间进行相应的调整并公告。</w:t>
      </w:r>
    </w:p>
    <w:p w:rsidR="00096A52" w:rsidRPr="007B0FDD" w:rsidRDefault="00096A52" w:rsidP="007B33CD">
      <w:pPr>
        <w:widowControl/>
        <w:shd w:val="clear" w:color="auto" w:fill="FFFFFF"/>
        <w:spacing w:line="360" w:lineRule="auto"/>
        <w:ind w:firstLine="480"/>
        <w:jc w:val="left"/>
        <w:rPr>
          <w:rFonts w:asciiTheme="minorEastAsia" w:hAnsiTheme="minorEastAsia" w:cs="宋体"/>
          <w:color w:val="333333"/>
          <w:kern w:val="0"/>
          <w:szCs w:val="21"/>
        </w:rPr>
      </w:pPr>
    </w:p>
    <w:p w:rsidR="00C609BC" w:rsidRPr="007B0FDD" w:rsidRDefault="008D0CBB" w:rsidP="007B33CD">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投资者可访问兴业</w:t>
      </w:r>
      <w:r w:rsidR="007B33CD" w:rsidRPr="007B0FDD">
        <w:rPr>
          <w:rFonts w:asciiTheme="minorEastAsia" w:hAnsiTheme="minorEastAsia" w:cs="宋体" w:hint="eastAsia"/>
          <w:color w:val="333333"/>
          <w:kern w:val="0"/>
          <w:szCs w:val="21"/>
        </w:rPr>
        <w:t>基金管理有限公司网站(</w:t>
      </w:r>
      <w:r w:rsidRPr="007B0FDD">
        <w:rPr>
          <w:rFonts w:asciiTheme="minorEastAsia" w:hAnsiTheme="minorEastAsia" w:cs="宋体"/>
          <w:color w:val="333333"/>
          <w:kern w:val="0"/>
          <w:szCs w:val="21"/>
        </w:rPr>
        <w:t>www.cib-fund.com.cn</w:t>
      </w:r>
      <w:r w:rsidR="007B33CD" w:rsidRPr="007B0FDD">
        <w:rPr>
          <w:rFonts w:asciiTheme="minorEastAsia" w:hAnsiTheme="minorEastAsia" w:cs="宋体" w:hint="eastAsia"/>
          <w:color w:val="333333"/>
          <w:kern w:val="0"/>
          <w:szCs w:val="21"/>
        </w:rPr>
        <w:t>)或拨打客户服务热线：400</w:t>
      </w:r>
      <w:r w:rsidRPr="007B0FDD">
        <w:rPr>
          <w:rFonts w:asciiTheme="minorEastAsia" w:hAnsiTheme="minorEastAsia" w:cs="宋体"/>
          <w:color w:val="333333"/>
          <w:kern w:val="0"/>
          <w:szCs w:val="21"/>
        </w:rPr>
        <w:t>00-95561</w:t>
      </w:r>
      <w:r w:rsidR="007B33CD" w:rsidRPr="007B0FDD">
        <w:rPr>
          <w:rFonts w:asciiTheme="minorEastAsia" w:hAnsiTheme="minorEastAsia" w:cs="宋体" w:hint="eastAsia"/>
          <w:color w:val="333333"/>
          <w:kern w:val="0"/>
          <w:szCs w:val="21"/>
        </w:rPr>
        <w:t>咨询相关情况。敬请投资者尽早做好交易安排，避免因假期原因带来不便。</w:t>
      </w:r>
    </w:p>
    <w:p w:rsidR="003A5300" w:rsidRPr="007B0FDD" w:rsidRDefault="00C609BC" w:rsidP="003A5300">
      <w:pPr>
        <w:widowControl/>
        <w:shd w:val="clear" w:color="auto" w:fill="FFFFFF"/>
        <w:spacing w:line="360" w:lineRule="auto"/>
        <w:ind w:firstLine="480"/>
        <w:jc w:val="lef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风险提示：</w:t>
      </w:r>
      <w:r w:rsidR="009960C1" w:rsidRPr="007B0FDD">
        <w:rPr>
          <w:rFonts w:asciiTheme="minorEastAsia" w:hAnsiTheme="minorEastAsia" w:cs="宋体" w:hint="eastAsia"/>
          <w:color w:val="333333"/>
          <w:kern w:val="0"/>
          <w:szCs w:val="21"/>
        </w:rPr>
        <w:t>基金管理人承诺以诚实信用、勤勉尽责的原则管理和运用基金财产，但不保证基金一定盈利，也不保证最低收益。</w:t>
      </w:r>
      <w:r w:rsidR="00C04BA2">
        <w:rPr>
          <w:rFonts w:asciiTheme="minorEastAsia" w:hAnsiTheme="minorEastAsia" w:cs="宋体" w:hint="eastAsia"/>
          <w:color w:val="333333"/>
          <w:kern w:val="0"/>
          <w:szCs w:val="21"/>
        </w:rPr>
        <w:t>投资人投资基金前请认真阅读</w:t>
      </w:r>
      <w:r w:rsidR="003A5300" w:rsidRPr="007B0FDD">
        <w:rPr>
          <w:rFonts w:asciiTheme="minorEastAsia" w:hAnsiTheme="minorEastAsia" w:cs="宋体" w:hint="eastAsia"/>
          <w:color w:val="333333"/>
          <w:kern w:val="0"/>
          <w:szCs w:val="21"/>
        </w:rPr>
        <w:t>基金的基金合同、招募说明书、产品资料概要及其更新等法律文件，了解所投资基金的风险收益特征，并根据自身风险承受能力选择适合自己的基金产品。敬请投资人注意投资风险。</w:t>
      </w:r>
      <w:bookmarkStart w:id="0" w:name="_GoBack"/>
      <w:bookmarkEnd w:id="0"/>
    </w:p>
    <w:p w:rsidR="00E8504A" w:rsidRPr="007B0FDD" w:rsidRDefault="00E8504A" w:rsidP="00911433">
      <w:pPr>
        <w:widowControl/>
        <w:shd w:val="clear" w:color="auto" w:fill="FFFFFF"/>
        <w:spacing w:line="360" w:lineRule="auto"/>
        <w:jc w:val="left"/>
        <w:rPr>
          <w:rFonts w:asciiTheme="minorEastAsia" w:hAnsiTheme="minorEastAsia" w:cs="宋体"/>
          <w:color w:val="333333"/>
          <w:kern w:val="0"/>
          <w:szCs w:val="21"/>
        </w:rPr>
      </w:pPr>
    </w:p>
    <w:p w:rsidR="00983664" w:rsidRPr="007B0FDD" w:rsidRDefault="00983664" w:rsidP="00911433">
      <w:pPr>
        <w:widowControl/>
        <w:shd w:val="clear" w:color="auto" w:fill="FFFFFF"/>
        <w:spacing w:line="360" w:lineRule="auto"/>
        <w:jc w:val="left"/>
        <w:rPr>
          <w:rFonts w:asciiTheme="minorEastAsia" w:hAnsiTheme="minorEastAsia" w:cs="宋体"/>
          <w:color w:val="333333"/>
          <w:kern w:val="0"/>
          <w:szCs w:val="21"/>
        </w:rPr>
      </w:pPr>
    </w:p>
    <w:p w:rsidR="00C609BC" w:rsidRPr="007B0FDD" w:rsidRDefault="00C609BC" w:rsidP="00C609BC">
      <w:pPr>
        <w:widowControl/>
        <w:shd w:val="clear" w:color="auto" w:fill="FFFFFF"/>
        <w:spacing w:line="360" w:lineRule="auto"/>
        <w:ind w:firstLine="480"/>
        <w:jc w:val="right"/>
        <w:rPr>
          <w:rFonts w:asciiTheme="minorEastAsia" w:hAnsiTheme="minorEastAsia" w:cs="宋体"/>
          <w:color w:val="333333"/>
          <w:kern w:val="0"/>
          <w:szCs w:val="21"/>
        </w:rPr>
      </w:pPr>
      <w:r w:rsidRPr="007B0FDD">
        <w:rPr>
          <w:rFonts w:asciiTheme="minorEastAsia" w:hAnsiTheme="minorEastAsia" w:cs="宋体" w:hint="eastAsia"/>
          <w:color w:val="333333"/>
          <w:kern w:val="0"/>
          <w:szCs w:val="21"/>
        </w:rPr>
        <w:t>兴业基金管理有限公司</w:t>
      </w:r>
    </w:p>
    <w:p w:rsidR="006332B1" w:rsidRPr="007B0FDD" w:rsidRDefault="008F112E" w:rsidP="00E43EE8">
      <w:pPr>
        <w:spacing w:line="360" w:lineRule="auto"/>
        <w:jc w:val="right"/>
        <w:rPr>
          <w:rFonts w:asciiTheme="minorEastAsia" w:hAnsiTheme="minorEastAsia"/>
          <w:szCs w:val="21"/>
        </w:rPr>
      </w:pPr>
      <w:r w:rsidRPr="007B0FDD">
        <w:rPr>
          <w:rFonts w:asciiTheme="minorEastAsia" w:hAnsiTheme="minorEastAsia" w:cs="宋体"/>
          <w:color w:val="333333"/>
          <w:kern w:val="0"/>
          <w:szCs w:val="21"/>
        </w:rPr>
        <w:t>2024</w:t>
      </w:r>
      <w:r w:rsidR="009960C1" w:rsidRPr="007B0FDD">
        <w:rPr>
          <w:rFonts w:asciiTheme="minorEastAsia" w:hAnsiTheme="minorEastAsia" w:cs="宋体" w:hint="eastAsia"/>
          <w:color w:val="333333"/>
          <w:kern w:val="0"/>
          <w:szCs w:val="21"/>
        </w:rPr>
        <w:t>年</w:t>
      </w:r>
      <w:r w:rsidR="00F37D33" w:rsidRPr="007B0FDD">
        <w:rPr>
          <w:rFonts w:asciiTheme="minorEastAsia" w:hAnsiTheme="minorEastAsia" w:cs="宋体"/>
          <w:color w:val="333333"/>
          <w:kern w:val="0"/>
          <w:szCs w:val="21"/>
        </w:rPr>
        <w:t>12</w:t>
      </w:r>
      <w:r w:rsidR="00BB1C06" w:rsidRPr="007B0FDD">
        <w:rPr>
          <w:rFonts w:asciiTheme="minorEastAsia" w:hAnsiTheme="minorEastAsia" w:cs="宋体" w:hint="eastAsia"/>
          <w:color w:val="333333"/>
          <w:kern w:val="0"/>
          <w:szCs w:val="21"/>
        </w:rPr>
        <w:t>月</w:t>
      </w:r>
      <w:r w:rsidR="00F37D33" w:rsidRPr="007B0FDD">
        <w:rPr>
          <w:rFonts w:asciiTheme="minorEastAsia" w:hAnsiTheme="minorEastAsia" w:cs="宋体"/>
          <w:color w:val="333333"/>
          <w:kern w:val="0"/>
          <w:szCs w:val="21"/>
        </w:rPr>
        <w:t>28</w:t>
      </w:r>
      <w:r w:rsidR="00BB1C06" w:rsidRPr="007B0FDD">
        <w:rPr>
          <w:rFonts w:asciiTheme="minorEastAsia" w:hAnsiTheme="minorEastAsia" w:cs="宋体" w:hint="eastAsia"/>
          <w:color w:val="333333"/>
          <w:kern w:val="0"/>
          <w:szCs w:val="21"/>
        </w:rPr>
        <w:t>日</w:t>
      </w:r>
    </w:p>
    <w:sectPr w:rsidR="006332B1" w:rsidRPr="007B0FDD" w:rsidSect="00633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00" w:rsidRDefault="00F37400" w:rsidP="00C609BC">
      <w:r>
        <w:separator/>
      </w:r>
    </w:p>
  </w:endnote>
  <w:endnote w:type="continuationSeparator" w:id="0">
    <w:p w:rsidR="00F37400" w:rsidRDefault="00F37400" w:rsidP="00C60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00" w:rsidRDefault="00F37400" w:rsidP="00C609BC">
      <w:r>
        <w:separator/>
      </w:r>
    </w:p>
  </w:footnote>
  <w:footnote w:type="continuationSeparator" w:id="0">
    <w:p w:rsidR="00F37400" w:rsidRDefault="00F37400" w:rsidP="00C609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9BC"/>
    <w:rsid w:val="000125AC"/>
    <w:rsid w:val="000149C4"/>
    <w:rsid w:val="00031AD6"/>
    <w:rsid w:val="00032DF1"/>
    <w:rsid w:val="00053618"/>
    <w:rsid w:val="00054D95"/>
    <w:rsid w:val="00083505"/>
    <w:rsid w:val="00087E89"/>
    <w:rsid w:val="000928AE"/>
    <w:rsid w:val="00096A52"/>
    <w:rsid w:val="000A0B47"/>
    <w:rsid w:val="000A6157"/>
    <w:rsid w:val="000B54CD"/>
    <w:rsid w:val="000E3EE5"/>
    <w:rsid w:val="000F5E3D"/>
    <w:rsid w:val="0012596C"/>
    <w:rsid w:val="00131320"/>
    <w:rsid w:val="001368E2"/>
    <w:rsid w:val="001531BE"/>
    <w:rsid w:val="00166D41"/>
    <w:rsid w:val="00182B43"/>
    <w:rsid w:val="001F199D"/>
    <w:rsid w:val="002212CC"/>
    <w:rsid w:val="00247692"/>
    <w:rsid w:val="002504B4"/>
    <w:rsid w:val="00250FF6"/>
    <w:rsid w:val="002851F5"/>
    <w:rsid w:val="00297ECB"/>
    <w:rsid w:val="002A1A56"/>
    <w:rsid w:val="002A61A8"/>
    <w:rsid w:val="002B1ECF"/>
    <w:rsid w:val="002B6A76"/>
    <w:rsid w:val="002C74CA"/>
    <w:rsid w:val="002C7742"/>
    <w:rsid w:val="002E6C79"/>
    <w:rsid w:val="002F2A0C"/>
    <w:rsid w:val="003149B7"/>
    <w:rsid w:val="00346FDF"/>
    <w:rsid w:val="00394E69"/>
    <w:rsid w:val="003A5300"/>
    <w:rsid w:val="003B1730"/>
    <w:rsid w:val="003B5750"/>
    <w:rsid w:val="00407C83"/>
    <w:rsid w:val="00411656"/>
    <w:rsid w:val="00416008"/>
    <w:rsid w:val="004455EC"/>
    <w:rsid w:val="004672B8"/>
    <w:rsid w:val="004B3259"/>
    <w:rsid w:val="004C18EC"/>
    <w:rsid w:val="004C3EB0"/>
    <w:rsid w:val="005067C6"/>
    <w:rsid w:val="00582B00"/>
    <w:rsid w:val="00585ECE"/>
    <w:rsid w:val="0059514A"/>
    <w:rsid w:val="005A45C6"/>
    <w:rsid w:val="005B2F23"/>
    <w:rsid w:val="005B38C1"/>
    <w:rsid w:val="005E4280"/>
    <w:rsid w:val="00604142"/>
    <w:rsid w:val="006168D8"/>
    <w:rsid w:val="00616D32"/>
    <w:rsid w:val="006332B1"/>
    <w:rsid w:val="006438CC"/>
    <w:rsid w:val="006502E8"/>
    <w:rsid w:val="00661E96"/>
    <w:rsid w:val="00674413"/>
    <w:rsid w:val="00687A31"/>
    <w:rsid w:val="00692740"/>
    <w:rsid w:val="006A4118"/>
    <w:rsid w:val="006B23B1"/>
    <w:rsid w:val="006B2B2B"/>
    <w:rsid w:val="006B79F8"/>
    <w:rsid w:val="006F4589"/>
    <w:rsid w:val="00712629"/>
    <w:rsid w:val="00720552"/>
    <w:rsid w:val="00731B16"/>
    <w:rsid w:val="0073210E"/>
    <w:rsid w:val="00735DD8"/>
    <w:rsid w:val="00737A31"/>
    <w:rsid w:val="00756F8F"/>
    <w:rsid w:val="0076298E"/>
    <w:rsid w:val="00771FBD"/>
    <w:rsid w:val="00774DA9"/>
    <w:rsid w:val="00791C7C"/>
    <w:rsid w:val="007A3E71"/>
    <w:rsid w:val="007B0FDD"/>
    <w:rsid w:val="007B33CD"/>
    <w:rsid w:val="007C0A43"/>
    <w:rsid w:val="007E79B1"/>
    <w:rsid w:val="00800A45"/>
    <w:rsid w:val="00805E5D"/>
    <w:rsid w:val="00811203"/>
    <w:rsid w:val="0082320B"/>
    <w:rsid w:val="0082599B"/>
    <w:rsid w:val="008809CE"/>
    <w:rsid w:val="00882C35"/>
    <w:rsid w:val="008A6F2C"/>
    <w:rsid w:val="008D0CBB"/>
    <w:rsid w:val="008D5240"/>
    <w:rsid w:val="008D6547"/>
    <w:rsid w:val="008F112E"/>
    <w:rsid w:val="00906E79"/>
    <w:rsid w:val="00911433"/>
    <w:rsid w:val="00936A5B"/>
    <w:rsid w:val="00951C50"/>
    <w:rsid w:val="00956DFD"/>
    <w:rsid w:val="00957AE5"/>
    <w:rsid w:val="00961217"/>
    <w:rsid w:val="009636D6"/>
    <w:rsid w:val="00980169"/>
    <w:rsid w:val="00983664"/>
    <w:rsid w:val="0099239E"/>
    <w:rsid w:val="009960C1"/>
    <w:rsid w:val="009A4C0F"/>
    <w:rsid w:val="009C5A69"/>
    <w:rsid w:val="009C6A9B"/>
    <w:rsid w:val="009C7876"/>
    <w:rsid w:val="009F0728"/>
    <w:rsid w:val="009F1144"/>
    <w:rsid w:val="00A14B70"/>
    <w:rsid w:val="00A154E3"/>
    <w:rsid w:val="00A162D3"/>
    <w:rsid w:val="00A46CAD"/>
    <w:rsid w:val="00A62E97"/>
    <w:rsid w:val="00A94111"/>
    <w:rsid w:val="00AC7F8B"/>
    <w:rsid w:val="00AD5210"/>
    <w:rsid w:val="00AF4B8B"/>
    <w:rsid w:val="00B70511"/>
    <w:rsid w:val="00BB1C06"/>
    <w:rsid w:val="00BB4F5B"/>
    <w:rsid w:val="00C04BA2"/>
    <w:rsid w:val="00C052AC"/>
    <w:rsid w:val="00C175C3"/>
    <w:rsid w:val="00C408B2"/>
    <w:rsid w:val="00C42FE8"/>
    <w:rsid w:val="00C44777"/>
    <w:rsid w:val="00C516CB"/>
    <w:rsid w:val="00C545EA"/>
    <w:rsid w:val="00C609BC"/>
    <w:rsid w:val="00C6681E"/>
    <w:rsid w:val="00C80C20"/>
    <w:rsid w:val="00C816B9"/>
    <w:rsid w:val="00C843F7"/>
    <w:rsid w:val="00CB1357"/>
    <w:rsid w:val="00CC2C4D"/>
    <w:rsid w:val="00CD20D9"/>
    <w:rsid w:val="00D03155"/>
    <w:rsid w:val="00D04BCB"/>
    <w:rsid w:val="00D13D1B"/>
    <w:rsid w:val="00D256A4"/>
    <w:rsid w:val="00D42C51"/>
    <w:rsid w:val="00D661DB"/>
    <w:rsid w:val="00DA29C7"/>
    <w:rsid w:val="00DC5A6C"/>
    <w:rsid w:val="00DF744E"/>
    <w:rsid w:val="00E03A6E"/>
    <w:rsid w:val="00E079A8"/>
    <w:rsid w:val="00E34001"/>
    <w:rsid w:val="00E355CC"/>
    <w:rsid w:val="00E43EE8"/>
    <w:rsid w:val="00E61BA4"/>
    <w:rsid w:val="00E62C38"/>
    <w:rsid w:val="00E729AB"/>
    <w:rsid w:val="00E7323E"/>
    <w:rsid w:val="00E8504A"/>
    <w:rsid w:val="00E8615F"/>
    <w:rsid w:val="00E93781"/>
    <w:rsid w:val="00EA0A6F"/>
    <w:rsid w:val="00EC1ADA"/>
    <w:rsid w:val="00EC2A38"/>
    <w:rsid w:val="00EE3913"/>
    <w:rsid w:val="00F067DE"/>
    <w:rsid w:val="00F37400"/>
    <w:rsid w:val="00F37D33"/>
    <w:rsid w:val="00F52903"/>
    <w:rsid w:val="00F52D2F"/>
    <w:rsid w:val="00F737B0"/>
    <w:rsid w:val="00FA6D87"/>
    <w:rsid w:val="00FB7322"/>
    <w:rsid w:val="00FE01B5"/>
    <w:rsid w:val="00FE2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9BC"/>
    <w:rPr>
      <w:sz w:val="18"/>
      <w:szCs w:val="18"/>
    </w:rPr>
  </w:style>
  <w:style w:type="paragraph" w:styleId="a4">
    <w:name w:val="footer"/>
    <w:basedOn w:val="a"/>
    <w:link w:val="Char0"/>
    <w:uiPriority w:val="99"/>
    <w:unhideWhenUsed/>
    <w:rsid w:val="00C609BC"/>
    <w:pPr>
      <w:tabs>
        <w:tab w:val="center" w:pos="4153"/>
        <w:tab w:val="right" w:pos="8306"/>
      </w:tabs>
      <w:snapToGrid w:val="0"/>
      <w:jc w:val="left"/>
    </w:pPr>
    <w:rPr>
      <w:sz w:val="18"/>
      <w:szCs w:val="18"/>
    </w:rPr>
  </w:style>
  <w:style w:type="character" w:customStyle="1" w:styleId="Char0">
    <w:name w:val="页脚 Char"/>
    <w:basedOn w:val="a0"/>
    <w:link w:val="a4"/>
    <w:uiPriority w:val="99"/>
    <w:rsid w:val="00C609BC"/>
    <w:rPr>
      <w:sz w:val="18"/>
      <w:szCs w:val="18"/>
    </w:rPr>
  </w:style>
  <w:style w:type="paragraph" w:styleId="a5">
    <w:name w:val="Normal (Web)"/>
    <w:basedOn w:val="a"/>
    <w:uiPriority w:val="99"/>
    <w:semiHidden/>
    <w:unhideWhenUsed/>
    <w:rsid w:val="00C609BC"/>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C609BC"/>
    <w:pPr>
      <w:ind w:leftChars="2500" w:left="100"/>
    </w:pPr>
  </w:style>
  <w:style w:type="character" w:customStyle="1" w:styleId="Char1">
    <w:name w:val="日期 Char"/>
    <w:basedOn w:val="a0"/>
    <w:link w:val="a6"/>
    <w:uiPriority w:val="99"/>
    <w:semiHidden/>
    <w:rsid w:val="00C609BC"/>
  </w:style>
  <w:style w:type="character" w:styleId="a7">
    <w:name w:val="annotation reference"/>
    <w:basedOn w:val="a0"/>
    <w:uiPriority w:val="99"/>
    <w:semiHidden/>
    <w:unhideWhenUsed/>
    <w:rsid w:val="002E6C79"/>
    <w:rPr>
      <w:sz w:val="21"/>
      <w:szCs w:val="21"/>
    </w:rPr>
  </w:style>
  <w:style w:type="paragraph" w:styleId="a8">
    <w:name w:val="annotation text"/>
    <w:basedOn w:val="a"/>
    <w:link w:val="Char2"/>
    <w:uiPriority w:val="99"/>
    <w:semiHidden/>
    <w:unhideWhenUsed/>
    <w:rsid w:val="002E6C79"/>
    <w:pPr>
      <w:jc w:val="left"/>
    </w:pPr>
  </w:style>
  <w:style w:type="character" w:customStyle="1" w:styleId="Char2">
    <w:name w:val="批注文字 Char"/>
    <w:basedOn w:val="a0"/>
    <w:link w:val="a8"/>
    <w:uiPriority w:val="99"/>
    <w:semiHidden/>
    <w:rsid w:val="002E6C79"/>
  </w:style>
  <w:style w:type="paragraph" w:styleId="a9">
    <w:name w:val="annotation subject"/>
    <w:basedOn w:val="a8"/>
    <w:next w:val="a8"/>
    <w:link w:val="Char3"/>
    <w:uiPriority w:val="99"/>
    <w:semiHidden/>
    <w:unhideWhenUsed/>
    <w:rsid w:val="002E6C79"/>
    <w:rPr>
      <w:b/>
      <w:bCs/>
    </w:rPr>
  </w:style>
  <w:style w:type="character" w:customStyle="1" w:styleId="Char3">
    <w:name w:val="批注主题 Char"/>
    <w:basedOn w:val="Char2"/>
    <w:link w:val="a9"/>
    <w:uiPriority w:val="99"/>
    <w:semiHidden/>
    <w:rsid w:val="002E6C79"/>
    <w:rPr>
      <w:b/>
      <w:bCs/>
    </w:rPr>
  </w:style>
  <w:style w:type="paragraph" w:styleId="aa">
    <w:name w:val="Balloon Text"/>
    <w:basedOn w:val="a"/>
    <w:link w:val="Char4"/>
    <w:uiPriority w:val="99"/>
    <w:semiHidden/>
    <w:unhideWhenUsed/>
    <w:rsid w:val="002E6C79"/>
    <w:rPr>
      <w:sz w:val="18"/>
      <w:szCs w:val="18"/>
    </w:rPr>
  </w:style>
  <w:style w:type="character" w:customStyle="1" w:styleId="Char4">
    <w:name w:val="批注框文本 Char"/>
    <w:basedOn w:val="a0"/>
    <w:link w:val="aa"/>
    <w:uiPriority w:val="99"/>
    <w:semiHidden/>
    <w:rsid w:val="002E6C79"/>
    <w:rPr>
      <w:sz w:val="18"/>
      <w:szCs w:val="18"/>
    </w:rPr>
  </w:style>
  <w:style w:type="paragraph" w:styleId="ab">
    <w:name w:val="footnote text"/>
    <w:basedOn w:val="a"/>
    <w:link w:val="Char5"/>
    <w:uiPriority w:val="99"/>
    <w:semiHidden/>
    <w:unhideWhenUsed/>
    <w:rsid w:val="00604142"/>
    <w:pPr>
      <w:snapToGrid w:val="0"/>
      <w:jc w:val="left"/>
    </w:pPr>
    <w:rPr>
      <w:sz w:val="18"/>
      <w:szCs w:val="18"/>
    </w:rPr>
  </w:style>
  <w:style w:type="character" w:customStyle="1" w:styleId="Char5">
    <w:name w:val="脚注文本 Char"/>
    <w:basedOn w:val="a0"/>
    <w:link w:val="ab"/>
    <w:uiPriority w:val="99"/>
    <w:semiHidden/>
    <w:rsid w:val="00604142"/>
    <w:rPr>
      <w:sz w:val="18"/>
      <w:szCs w:val="18"/>
    </w:rPr>
  </w:style>
  <w:style w:type="character" w:styleId="ac">
    <w:name w:val="footnote reference"/>
    <w:basedOn w:val="a0"/>
    <w:uiPriority w:val="99"/>
    <w:semiHidden/>
    <w:unhideWhenUsed/>
    <w:rsid w:val="00604142"/>
    <w:rPr>
      <w:vertAlign w:val="superscript"/>
    </w:rPr>
  </w:style>
  <w:style w:type="table" w:styleId="ad">
    <w:name w:val="Table Grid"/>
    <w:basedOn w:val="a1"/>
    <w:uiPriority w:val="59"/>
    <w:rsid w:val="008D0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300591">
      <w:bodyDiv w:val="1"/>
      <w:marLeft w:val="0"/>
      <w:marRight w:val="0"/>
      <w:marTop w:val="0"/>
      <w:marBottom w:val="0"/>
      <w:divBdr>
        <w:top w:val="none" w:sz="0" w:space="0" w:color="auto"/>
        <w:left w:val="none" w:sz="0" w:space="0" w:color="auto"/>
        <w:bottom w:val="none" w:sz="0" w:space="0" w:color="auto"/>
        <w:right w:val="none" w:sz="0" w:space="0" w:color="auto"/>
      </w:divBdr>
      <w:divsChild>
        <w:div w:id="703096992">
          <w:marLeft w:val="0"/>
          <w:marRight w:val="0"/>
          <w:marTop w:val="0"/>
          <w:marBottom w:val="0"/>
          <w:divBdr>
            <w:top w:val="none" w:sz="0" w:space="0" w:color="auto"/>
            <w:left w:val="none" w:sz="0" w:space="0" w:color="auto"/>
            <w:bottom w:val="none" w:sz="0" w:space="0" w:color="auto"/>
            <w:right w:val="none" w:sz="0" w:space="0" w:color="auto"/>
          </w:divBdr>
        </w:div>
      </w:divsChild>
    </w:div>
    <w:div w:id="238713565">
      <w:bodyDiv w:val="1"/>
      <w:marLeft w:val="0"/>
      <w:marRight w:val="0"/>
      <w:marTop w:val="0"/>
      <w:marBottom w:val="0"/>
      <w:divBdr>
        <w:top w:val="none" w:sz="0" w:space="0" w:color="auto"/>
        <w:left w:val="none" w:sz="0" w:space="0" w:color="auto"/>
        <w:bottom w:val="none" w:sz="0" w:space="0" w:color="auto"/>
        <w:right w:val="none" w:sz="0" w:space="0" w:color="auto"/>
      </w:divBdr>
      <w:divsChild>
        <w:div w:id="1155998791">
          <w:marLeft w:val="0"/>
          <w:marRight w:val="0"/>
          <w:marTop w:val="105"/>
          <w:marBottom w:val="105"/>
          <w:divBdr>
            <w:top w:val="none" w:sz="0" w:space="0" w:color="auto"/>
            <w:left w:val="none" w:sz="0" w:space="0" w:color="auto"/>
            <w:bottom w:val="none" w:sz="0" w:space="0" w:color="auto"/>
            <w:right w:val="none" w:sz="0" w:space="0" w:color="auto"/>
          </w:divBdr>
        </w:div>
        <w:div w:id="995452347">
          <w:marLeft w:val="0"/>
          <w:marRight w:val="0"/>
          <w:marTop w:val="0"/>
          <w:marBottom w:val="345"/>
          <w:divBdr>
            <w:top w:val="none" w:sz="0" w:space="0" w:color="auto"/>
            <w:left w:val="none" w:sz="0" w:space="0" w:color="auto"/>
            <w:bottom w:val="none" w:sz="0" w:space="0" w:color="auto"/>
            <w:right w:val="none" w:sz="0" w:space="0" w:color="auto"/>
          </w:divBdr>
        </w:div>
        <w:div w:id="1796438028">
          <w:marLeft w:val="0"/>
          <w:marRight w:val="0"/>
          <w:marTop w:val="0"/>
          <w:marBottom w:val="0"/>
          <w:divBdr>
            <w:top w:val="none" w:sz="0" w:space="0" w:color="auto"/>
            <w:left w:val="none" w:sz="0" w:space="0" w:color="auto"/>
            <w:bottom w:val="none" w:sz="0" w:space="0" w:color="auto"/>
            <w:right w:val="none" w:sz="0" w:space="0" w:color="auto"/>
          </w:divBdr>
          <w:divsChild>
            <w:div w:id="14513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2014">
      <w:bodyDiv w:val="1"/>
      <w:marLeft w:val="0"/>
      <w:marRight w:val="0"/>
      <w:marTop w:val="0"/>
      <w:marBottom w:val="0"/>
      <w:divBdr>
        <w:top w:val="none" w:sz="0" w:space="0" w:color="auto"/>
        <w:left w:val="none" w:sz="0" w:space="0" w:color="auto"/>
        <w:bottom w:val="none" w:sz="0" w:space="0" w:color="auto"/>
        <w:right w:val="none" w:sz="0" w:space="0" w:color="auto"/>
      </w:divBdr>
      <w:divsChild>
        <w:div w:id="2112974057">
          <w:marLeft w:val="0"/>
          <w:marRight w:val="0"/>
          <w:marTop w:val="0"/>
          <w:marBottom w:val="0"/>
          <w:divBdr>
            <w:top w:val="none" w:sz="0" w:space="0" w:color="auto"/>
            <w:left w:val="none" w:sz="0" w:space="0" w:color="auto"/>
            <w:bottom w:val="none" w:sz="0" w:space="0" w:color="auto"/>
            <w:right w:val="none" w:sz="0" w:space="0" w:color="auto"/>
          </w:divBdr>
        </w:div>
        <w:div w:id="1110930594">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963194048">
          <w:marLeft w:val="0"/>
          <w:marRight w:val="0"/>
          <w:marTop w:val="0"/>
          <w:marBottom w:val="0"/>
          <w:divBdr>
            <w:top w:val="none" w:sz="0" w:space="0" w:color="auto"/>
            <w:left w:val="none" w:sz="0" w:space="0" w:color="auto"/>
            <w:bottom w:val="none" w:sz="0" w:space="0" w:color="auto"/>
            <w:right w:val="none" w:sz="0" w:space="0" w:color="auto"/>
          </w:divBdr>
        </w:div>
        <w:div w:id="1327704778">
          <w:marLeft w:val="0"/>
          <w:marRight w:val="0"/>
          <w:marTop w:val="0"/>
          <w:marBottom w:val="0"/>
          <w:divBdr>
            <w:top w:val="none" w:sz="0" w:space="0" w:color="auto"/>
            <w:left w:val="none" w:sz="0" w:space="0" w:color="auto"/>
            <w:bottom w:val="none" w:sz="0" w:space="0" w:color="auto"/>
            <w:right w:val="none" w:sz="0" w:space="0" w:color="auto"/>
          </w:divBdr>
        </w:div>
        <w:div w:id="203637710">
          <w:marLeft w:val="0"/>
          <w:marRight w:val="0"/>
          <w:marTop w:val="0"/>
          <w:marBottom w:val="0"/>
          <w:divBdr>
            <w:top w:val="none" w:sz="0" w:space="0" w:color="auto"/>
            <w:left w:val="none" w:sz="0" w:space="0" w:color="auto"/>
            <w:bottom w:val="none" w:sz="0" w:space="0" w:color="auto"/>
            <w:right w:val="none" w:sz="0" w:space="0" w:color="auto"/>
          </w:divBdr>
        </w:div>
      </w:divsChild>
    </w:div>
    <w:div w:id="523596509">
      <w:bodyDiv w:val="1"/>
      <w:marLeft w:val="0"/>
      <w:marRight w:val="0"/>
      <w:marTop w:val="0"/>
      <w:marBottom w:val="0"/>
      <w:divBdr>
        <w:top w:val="none" w:sz="0" w:space="0" w:color="auto"/>
        <w:left w:val="none" w:sz="0" w:space="0" w:color="auto"/>
        <w:bottom w:val="none" w:sz="0" w:space="0" w:color="auto"/>
        <w:right w:val="none" w:sz="0" w:space="0" w:color="auto"/>
      </w:divBdr>
      <w:divsChild>
        <w:div w:id="505290554">
          <w:marLeft w:val="0"/>
          <w:marRight w:val="0"/>
          <w:marTop w:val="0"/>
          <w:marBottom w:val="0"/>
          <w:divBdr>
            <w:top w:val="none" w:sz="0" w:space="0" w:color="auto"/>
            <w:left w:val="none" w:sz="0" w:space="0" w:color="auto"/>
            <w:bottom w:val="none" w:sz="0" w:space="0" w:color="auto"/>
            <w:right w:val="none" w:sz="0" w:space="0" w:color="auto"/>
          </w:divBdr>
        </w:div>
      </w:divsChild>
    </w:div>
    <w:div w:id="1081633605">
      <w:bodyDiv w:val="1"/>
      <w:marLeft w:val="0"/>
      <w:marRight w:val="0"/>
      <w:marTop w:val="0"/>
      <w:marBottom w:val="0"/>
      <w:divBdr>
        <w:top w:val="none" w:sz="0" w:space="0" w:color="auto"/>
        <w:left w:val="none" w:sz="0" w:space="0" w:color="auto"/>
        <w:bottom w:val="none" w:sz="0" w:space="0" w:color="auto"/>
        <w:right w:val="none" w:sz="0" w:space="0" w:color="auto"/>
      </w:divBdr>
    </w:div>
    <w:div w:id="1379282112">
      <w:bodyDiv w:val="1"/>
      <w:marLeft w:val="0"/>
      <w:marRight w:val="0"/>
      <w:marTop w:val="0"/>
      <w:marBottom w:val="0"/>
      <w:divBdr>
        <w:top w:val="none" w:sz="0" w:space="0" w:color="auto"/>
        <w:left w:val="none" w:sz="0" w:space="0" w:color="auto"/>
        <w:bottom w:val="none" w:sz="0" w:space="0" w:color="auto"/>
        <w:right w:val="none" w:sz="0" w:space="0" w:color="auto"/>
      </w:divBdr>
    </w:div>
    <w:div w:id="14155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2197C-78BE-443E-8379-AAB46875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4</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赵辰晨</dc:creator>
  <cp:lastModifiedBy>ZHONGM</cp:lastModifiedBy>
  <cp:revision>2</cp:revision>
  <dcterms:created xsi:type="dcterms:W3CDTF">2024-12-27T16:01:00Z</dcterms:created>
  <dcterms:modified xsi:type="dcterms:W3CDTF">2024-12-27T16:01:00Z</dcterms:modified>
</cp:coreProperties>
</file>