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5C27" w:rsidRDefault="00B1305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银华基金管理股份有限公司关于旗下部分基金暂停及恢复申购、赎回、转换（如有）及定期定额投资业务的公告</w:t>
      </w:r>
    </w:p>
    <w:p w:rsidR="00AD5C27" w:rsidRDefault="00AD5C27">
      <w:pPr>
        <w:jc w:val="center"/>
        <w:rPr>
          <w:rFonts w:ascii="宋体" w:hAnsi="宋体"/>
          <w:b/>
          <w:sz w:val="28"/>
          <w:szCs w:val="28"/>
        </w:rPr>
      </w:pPr>
    </w:p>
    <w:p w:rsidR="00AD5C27" w:rsidRDefault="00B1305D">
      <w:pPr>
        <w:spacing w:line="48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根据银华基金管理股份有限公司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以下</w:t>
      </w:r>
      <w:r>
        <w:rPr>
          <w:rFonts w:ascii="宋体" w:hAnsi="宋体"/>
          <w:szCs w:val="21"/>
        </w:rPr>
        <w:t>简称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本基金管理人”）旗下</w:t>
      </w:r>
      <w:r>
        <w:rPr>
          <w:rFonts w:ascii="宋体" w:hAnsi="宋体"/>
          <w:szCs w:val="21"/>
        </w:rPr>
        <w:t>部分基金</w:t>
      </w:r>
      <w:r>
        <w:rPr>
          <w:rFonts w:ascii="宋体" w:hAnsi="宋体" w:hint="eastAsia"/>
          <w:szCs w:val="21"/>
        </w:rPr>
        <w:t>基金合同和招募说明书的有关规定</w:t>
      </w:r>
      <w:r>
        <w:rPr>
          <w:rFonts w:ascii="宋体" w:hAnsi="宋体"/>
          <w:szCs w:val="21"/>
        </w:rPr>
        <w:t>及投资运作情况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投资</w:t>
      </w:r>
      <w:r>
        <w:rPr>
          <w:rFonts w:ascii="宋体" w:hAnsi="宋体" w:hint="eastAsia"/>
          <w:szCs w:val="21"/>
        </w:rPr>
        <w:t>人</w:t>
      </w:r>
      <w:r>
        <w:rPr>
          <w:rFonts w:ascii="宋体" w:hAnsi="宋体"/>
          <w:szCs w:val="21"/>
        </w:rPr>
        <w:t>在开放日办理基金份额的申购和赎回</w:t>
      </w:r>
      <w:r>
        <w:rPr>
          <w:rFonts w:ascii="宋体" w:hAnsi="宋体" w:hint="eastAsia"/>
          <w:szCs w:val="21"/>
        </w:rPr>
        <w:t>业务。鉴于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31</w:t>
      </w:r>
      <w:r>
        <w:rPr>
          <w:rFonts w:ascii="宋体" w:hAnsi="宋体" w:hint="eastAsia"/>
          <w:szCs w:val="21"/>
        </w:rPr>
        <w:t>日下午起至</w:t>
      </w:r>
      <w:r>
        <w:rPr>
          <w:rFonts w:ascii="宋体" w:hAnsi="宋体" w:hint="eastAsia"/>
          <w:szCs w:val="21"/>
        </w:rPr>
        <w:t>202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日香港联合交易所休市且港股通服务暂停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本基金管理人决定于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31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起</w:t>
      </w:r>
      <w:r>
        <w:rPr>
          <w:rFonts w:ascii="宋体" w:hAnsi="宋体" w:hint="eastAsia"/>
          <w:szCs w:val="21"/>
        </w:rPr>
        <w:t>暂停下列基金的申购、赎回、转换（如有）及定期定额投资业务，并自</w:t>
      </w:r>
      <w:r>
        <w:rPr>
          <w:rFonts w:ascii="宋体" w:hAnsi="宋体" w:hint="eastAsia"/>
          <w:szCs w:val="21"/>
        </w:rPr>
        <w:t>202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日起恢复下列基金的申购、赎回、转换（如有）及定期定额投资业务，届时本基金管理人不再另行公告。</w:t>
      </w:r>
    </w:p>
    <w:p w:rsidR="00AD5C27" w:rsidRDefault="00B1305D">
      <w:pPr>
        <w:spacing w:line="48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具体暂停及恢复相关业务如下表所示：</w:t>
      </w:r>
    </w:p>
    <w:tbl>
      <w:tblPr>
        <w:tblStyle w:val="aa"/>
        <w:tblW w:w="0" w:type="auto"/>
        <w:jc w:val="center"/>
        <w:tblLook w:val="04A0"/>
      </w:tblPr>
      <w:tblGrid>
        <w:gridCol w:w="1672"/>
        <w:gridCol w:w="1130"/>
        <w:gridCol w:w="1121"/>
        <w:gridCol w:w="916"/>
        <w:gridCol w:w="1047"/>
        <w:gridCol w:w="1026"/>
        <w:gridCol w:w="1087"/>
        <w:gridCol w:w="1057"/>
      </w:tblGrid>
      <w:tr w:rsidR="00AD5C27">
        <w:trPr>
          <w:trHeight w:val="411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</w:pPr>
            <w:r>
              <w:rPr>
                <w:rFonts w:hint="eastAsia"/>
              </w:rPr>
              <w:t>基金</w:t>
            </w:r>
            <w:r>
              <w:t>代码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</w:pPr>
            <w:r>
              <w:rPr>
                <w:rFonts w:hint="eastAsia"/>
              </w:rPr>
              <w:t>场内简称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</w:pPr>
            <w:r>
              <w:rPr>
                <w:rFonts w:hint="eastAsia"/>
              </w:rPr>
              <w:t>是否暂停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恢复申购业务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</w:pPr>
            <w:r>
              <w:rPr>
                <w:rFonts w:hint="eastAsia"/>
              </w:rPr>
              <w:t>是否暂停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恢复赎回业务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</w:pPr>
            <w:r>
              <w:rPr>
                <w:rFonts w:hint="eastAsia"/>
              </w:rPr>
              <w:t>是否暂停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恢复定期定额投资业务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</w:pPr>
            <w:r>
              <w:rPr>
                <w:rFonts w:hint="eastAsia"/>
              </w:rPr>
              <w:t>是否暂停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恢复转换转入业务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</w:pPr>
            <w:r>
              <w:rPr>
                <w:rFonts w:hint="eastAsia"/>
              </w:rPr>
              <w:t>是否暂停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恢复转换转出业务</w:t>
            </w:r>
          </w:p>
        </w:tc>
      </w:tr>
      <w:tr w:rsidR="00AD5C27">
        <w:trPr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银华沪港深增长股票型证券投资基金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001703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014364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银华估值优势混合型证券投资基金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005250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银华瑞泰灵活配置混合型证券投资基金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005481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银华心诚灵活配置混合型证券投资基金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005543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014042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银华心怡灵活配置混合型证券投资基金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005794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014043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银华裕利混合型发起式证券投资基金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005848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银华盛利混合型发起式证券投资基金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006348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015684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银华汇益一年持有期混合型证券投资基金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008384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008385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银华汇盈一年持有期混合型证券投资基金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008833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008834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银华长丰混合型发起式证券投资基金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008978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银华港股通精选股票型发起式证券投资基金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009017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014052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银华丰享一年持有期混合型证券投资基金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009085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银华富利精选混合型证券投资基金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009542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014044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银华品质消费股票型证券投资基金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009852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银华乐享混合型证券投资基金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009859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015687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银华多元机遇混合型证券投资基金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009960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银华招利一年持有期混合型证券投资基金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009977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009978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银华心佳两年持有期混合型证券投资基金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010730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银华远兴一年持有期债券型证券投资基金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010816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银华稳健增长一年持有期混合型证券投资基金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011405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银华阿尔法混合型证券投资基金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011817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617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银华安盛混合型证券投资基金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012502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617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银华核心动力精选混合型证券投资基金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015035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015036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银华全球新能源车量化优选股票型发起式证券投资基金（</w:t>
            </w:r>
            <w:r>
              <w:rPr>
                <w:rFonts w:ascii="宋体" w:hAnsi="宋体" w:hint="eastAsia"/>
                <w:szCs w:val="21"/>
              </w:rPr>
              <w:t>QDII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015204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015205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银华华利均衡优选一年持有期混合型基金中基金（</w:t>
            </w:r>
            <w:r>
              <w:rPr>
                <w:rFonts w:ascii="宋体" w:hAnsi="宋体" w:hint="eastAsia"/>
                <w:szCs w:val="21"/>
              </w:rPr>
              <w:t>FOF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015418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银华创新动力优选混合型证券投资基金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016248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016249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银华海外数字经济量化选股混合型发起式证券投资基金（</w:t>
            </w:r>
            <w:r>
              <w:rPr>
                <w:rFonts w:ascii="宋体" w:hAnsi="宋体" w:hint="eastAsia"/>
                <w:szCs w:val="21"/>
              </w:rPr>
              <w:t>QDII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016701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016702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银华动力领航混合型证券投资基金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017635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017636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900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银华医疗健康混合型证券投资基金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018364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018365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900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银华富兴央企混合型发起式证券投资基金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019743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01974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900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银华钰祥债券型证券投资基金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020581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020582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900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银华盛泓债券型证券投资基金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020955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020956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银华甄选价值成长混合型证券投资基金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021145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021146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银华中证港股通高股息投资交易型开放式指数证券投资基金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159302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港股高股息</w:t>
            </w:r>
            <w:r>
              <w:rPr>
                <w:rFonts w:ascii="宋体" w:hAnsi="宋体" w:hint="eastAsia"/>
                <w:szCs w:val="21"/>
              </w:rPr>
              <w:t>ETF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银华恒指港股通交易型开放式指数证券投资基金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159318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恒生港股通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ETF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银华国证港股通创新药交易型开放式指数证券投资基金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159567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港股创新药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ETF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银华中证港股通消费主题交易型开放式指数证券投资基金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159735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Consolas" w:hint="eastAsia"/>
                <w:iCs/>
                <w:kern w:val="0"/>
                <w:szCs w:val="21"/>
              </w:rPr>
              <w:t>港股消费</w:t>
            </w:r>
            <w:r>
              <w:rPr>
                <w:rFonts w:ascii="宋体" w:hAnsi="宋体" w:cs="Consolas" w:hint="eastAsia"/>
                <w:iCs/>
                <w:kern w:val="0"/>
                <w:szCs w:val="21"/>
              </w:rPr>
              <w:t>ETF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银华中证港股通医药卫生综合交易型开放式指数证券投资基金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159776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港股通医药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ETF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银华消费主题混合型证券投资基金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161818</w:t>
            </w:r>
          </w:p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014346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银华消费主题混合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银华恒生中国企业指数证券投资基金（</w:t>
            </w:r>
            <w:r>
              <w:rPr>
                <w:rFonts w:ascii="宋体" w:hAnsi="宋体" w:hint="eastAsia"/>
                <w:szCs w:val="21"/>
              </w:rPr>
              <w:t>QDII-LOF)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161831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恒生国企</w:t>
            </w:r>
            <w:r>
              <w:rPr>
                <w:rFonts w:ascii="宋体" w:hAnsi="宋体"/>
                <w:szCs w:val="21"/>
              </w:rPr>
              <w:t>LOF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银华科创主题灵活配置混合型证券投资基金（</w:t>
            </w:r>
            <w:r>
              <w:rPr>
                <w:rFonts w:ascii="宋体" w:hAnsi="宋体" w:hint="eastAsia"/>
                <w:szCs w:val="21"/>
              </w:rPr>
              <w:t>LOF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501083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</w:pPr>
            <w:r>
              <w:rPr>
                <w:rFonts w:hint="eastAsia"/>
              </w:rPr>
              <w:t>科创银华（</w:t>
            </w:r>
            <w:r>
              <w:rPr>
                <w:rFonts w:ascii="宋体" w:hAnsi="宋体" w:hint="eastAsia"/>
              </w:rPr>
              <w:t>扩位证券简称：科创银华</w:t>
            </w:r>
            <w:r>
              <w:rPr>
                <w:rFonts w:ascii="宋体" w:hAnsi="宋体" w:hint="eastAsia"/>
              </w:rPr>
              <w:t>LOF</w:t>
            </w:r>
            <w:r>
              <w:rPr>
                <w:rFonts w:hint="eastAsia"/>
              </w:rPr>
              <w:t>）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银华恒生港股通中国科技交易型开放式指数证券投资基金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513160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</w:rPr>
              <w:t>（扩位证券简称：港股科技</w:t>
            </w:r>
            <w:r>
              <w:rPr>
                <w:rFonts w:ascii="宋体" w:hAnsi="宋体" w:hint="eastAsia"/>
              </w:rPr>
              <w:t>30ETF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AD5C27">
        <w:trPr>
          <w:trHeight w:val="898"/>
          <w:jc w:val="center"/>
        </w:trPr>
        <w:tc>
          <w:tcPr>
            <w:tcW w:w="1672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银华中证沪港深</w:t>
            </w:r>
            <w:r>
              <w:rPr>
                <w:rFonts w:ascii="宋体" w:hAnsi="宋体" w:hint="eastAsia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交易型开放式指数证券投资基金</w:t>
            </w:r>
          </w:p>
        </w:tc>
        <w:tc>
          <w:tcPr>
            <w:tcW w:w="1130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517000</w:t>
            </w:r>
          </w:p>
        </w:tc>
        <w:tc>
          <w:tcPr>
            <w:tcW w:w="1121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沪港深</w:t>
            </w:r>
            <w:r>
              <w:rPr>
                <w:rFonts w:ascii="宋体" w:hAnsi="宋体" w:hint="eastAsia"/>
              </w:rPr>
              <w:t>（扩位证券简称：沪港深</w:t>
            </w:r>
            <w:r>
              <w:rPr>
                <w:rFonts w:ascii="宋体" w:hAnsi="宋体" w:hint="eastAsia"/>
              </w:rPr>
              <w:t>500ETF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91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4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8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057" w:type="dxa"/>
            <w:vAlign w:val="center"/>
          </w:tcPr>
          <w:p w:rsidR="00AD5C27" w:rsidRDefault="00B130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</w:tr>
    </w:tbl>
    <w:p w:rsidR="00AD5C27" w:rsidRDefault="00AD5C27">
      <w:pPr>
        <w:spacing w:line="480" w:lineRule="auto"/>
        <w:jc w:val="center"/>
        <w:rPr>
          <w:rFonts w:ascii="宋体" w:hAnsi="宋体"/>
          <w:szCs w:val="21"/>
        </w:rPr>
      </w:pPr>
    </w:p>
    <w:p w:rsidR="00AD5C27" w:rsidRDefault="00B1305D" w:rsidP="00B1305D">
      <w:pPr>
        <w:pStyle w:val="2"/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bookmarkStart w:id="0" w:name="t_3_2_table"/>
      <w:bookmarkEnd w:id="0"/>
      <w:r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AD5C27" w:rsidRDefault="00B1305D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bookmarkStart w:id="1" w:name="t_3_2_2646_a1_fm1"/>
      <w:bookmarkEnd w:id="1"/>
      <w:r>
        <w:rPr>
          <w:rFonts w:ascii="宋体" w:hAnsi="宋体" w:hint="eastAsia"/>
          <w:szCs w:val="21"/>
        </w:rPr>
        <w:t>在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31</w:t>
      </w:r>
      <w:r>
        <w:rPr>
          <w:rFonts w:ascii="宋体" w:hAnsi="宋体" w:hint="eastAsia"/>
          <w:szCs w:val="21"/>
        </w:rPr>
        <w:t>日，银华中证港股通高股息投资交易型开放式指数证券投资基金、银华恒指港股通交易型开放式指数证券投资基金、银华科创主题灵活配置混合型证券投资基金（</w:t>
      </w:r>
      <w:r>
        <w:rPr>
          <w:rFonts w:ascii="宋体" w:hAnsi="宋体" w:hint="eastAsia"/>
          <w:szCs w:val="21"/>
        </w:rPr>
        <w:t>LOF</w:t>
      </w:r>
      <w:r>
        <w:rPr>
          <w:rFonts w:ascii="宋体" w:hAnsi="宋体" w:hint="eastAsia"/>
          <w:szCs w:val="21"/>
        </w:rPr>
        <w:t>）、银华中证沪港深</w:t>
      </w:r>
      <w:r>
        <w:rPr>
          <w:rFonts w:ascii="宋体" w:hAnsi="宋体"/>
          <w:szCs w:val="21"/>
        </w:rPr>
        <w:t>500</w:t>
      </w:r>
      <w:r>
        <w:rPr>
          <w:rFonts w:ascii="宋体" w:hAnsi="宋体" w:hint="eastAsia"/>
          <w:szCs w:val="21"/>
        </w:rPr>
        <w:t>交易型开放式指数证券投资基金、银华中证港股通消费主题交易型开放式指数证券投资基金、银华中证港股通医药卫生综合交易型开放式指数证券投资基金、银华国证港股通创新药交易型开放式指数证券投资基金、银华恒生中国企业指数证券投资基金（</w:t>
      </w:r>
      <w:r>
        <w:rPr>
          <w:rFonts w:ascii="宋体" w:hAnsi="宋体"/>
          <w:szCs w:val="21"/>
        </w:rPr>
        <w:t>QDII-LOF)</w:t>
      </w:r>
      <w:r>
        <w:rPr>
          <w:rFonts w:ascii="宋体" w:hAnsi="宋体" w:hint="eastAsia"/>
          <w:szCs w:val="21"/>
        </w:rPr>
        <w:t>、银华恒生港股通中国科技交易型开放式指数证券投资基金</w:t>
      </w:r>
      <w:bookmarkStart w:id="2" w:name="_GoBack"/>
      <w:bookmarkEnd w:id="2"/>
      <w:r>
        <w:rPr>
          <w:rFonts w:ascii="宋体" w:hAnsi="宋体" w:hint="eastAsia"/>
          <w:szCs w:val="21"/>
        </w:rPr>
        <w:t>的二级市场交易业务将正常进行。</w:t>
      </w:r>
    </w:p>
    <w:p w:rsidR="00AD5C27" w:rsidRDefault="00B1305D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本基金管理人已于</w:t>
      </w:r>
      <w:r>
        <w:rPr>
          <w:rFonts w:ascii="宋体" w:hAnsi="宋体" w:hint="eastAsia"/>
          <w:szCs w:val="21"/>
        </w:rPr>
        <w:t>2020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日发布公告，银华估值优势混合型证券投资基金（基金代码：</w:t>
      </w:r>
      <w:r>
        <w:rPr>
          <w:rFonts w:ascii="宋体" w:hAnsi="宋体" w:hint="eastAsia"/>
          <w:szCs w:val="21"/>
        </w:rPr>
        <w:t>005250</w:t>
      </w:r>
      <w:r>
        <w:rPr>
          <w:rFonts w:ascii="宋体" w:hAnsi="宋体" w:hint="eastAsia"/>
          <w:szCs w:val="21"/>
        </w:rPr>
        <w:t>）自</w:t>
      </w:r>
      <w:r>
        <w:rPr>
          <w:rFonts w:ascii="宋体" w:hAnsi="宋体" w:hint="eastAsia"/>
          <w:szCs w:val="21"/>
        </w:rPr>
        <w:t>2020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13</w:t>
      </w:r>
      <w:r>
        <w:rPr>
          <w:rFonts w:ascii="宋体" w:hAnsi="宋体" w:hint="eastAsia"/>
          <w:szCs w:val="21"/>
        </w:rPr>
        <w:t>日起暂停非直销销售机构</w:t>
      </w:r>
      <w:r>
        <w:rPr>
          <w:rFonts w:ascii="宋体" w:hAnsi="宋体" w:hint="eastAsia"/>
          <w:szCs w:val="21"/>
        </w:rPr>
        <w:t>100</w:t>
      </w:r>
      <w:r>
        <w:rPr>
          <w:rFonts w:ascii="宋体" w:hAnsi="宋体" w:hint="eastAsia"/>
          <w:szCs w:val="21"/>
        </w:rPr>
        <w:t>万元以上的大额申购（含定期定额投资及转换转入）业务，详情请参见相关公告。自</w:t>
      </w:r>
      <w:r>
        <w:rPr>
          <w:rFonts w:ascii="宋体" w:hAnsi="宋体" w:hint="eastAsia"/>
          <w:szCs w:val="21"/>
        </w:rPr>
        <w:t>202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日起银华估值优势混合型证券投资基金继续暂停非直销销售机构</w:t>
      </w:r>
      <w:r>
        <w:rPr>
          <w:rFonts w:ascii="宋体" w:hAnsi="宋体" w:hint="eastAsia"/>
          <w:szCs w:val="21"/>
        </w:rPr>
        <w:t>100</w:t>
      </w:r>
      <w:r>
        <w:rPr>
          <w:rFonts w:ascii="宋体" w:hAnsi="宋体" w:hint="eastAsia"/>
          <w:szCs w:val="21"/>
        </w:rPr>
        <w:t>万元以上的大额申购（含定期定额投资及转换转入）业务。届时不再另行公告，敬请投资者留意。</w:t>
      </w:r>
    </w:p>
    <w:p w:rsidR="00AD5C27" w:rsidRDefault="00B1305D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若境外交易所休市日安排、境外主要投资场</w:t>
      </w:r>
      <w:r>
        <w:rPr>
          <w:rFonts w:ascii="宋体" w:hAnsi="宋体" w:hint="eastAsia"/>
          <w:szCs w:val="21"/>
        </w:rPr>
        <w:t>所状况等发生变化，或根据法律法规、基金合同等规定需要调整上述事项的，本公司将相应调整并及时公告。为避免因境外交易所休市原因带来的不便，请投资者提前进行相关的业务安排。投资者可登录本公司网站（</w:t>
      </w:r>
      <w:r>
        <w:rPr>
          <w:rFonts w:ascii="宋体" w:hAnsi="宋体" w:hint="eastAsia"/>
          <w:szCs w:val="21"/>
        </w:rPr>
        <w:t>www.yhfund.com.cn</w:t>
      </w:r>
      <w:r>
        <w:rPr>
          <w:rFonts w:ascii="宋体" w:hAnsi="宋体" w:hint="eastAsia"/>
          <w:szCs w:val="21"/>
        </w:rPr>
        <w:t>）或拨打本公司客户服务电话（</w:t>
      </w:r>
      <w:r>
        <w:rPr>
          <w:rFonts w:ascii="宋体" w:hAnsi="宋体" w:hint="eastAsia"/>
          <w:szCs w:val="21"/>
        </w:rPr>
        <w:t>010-85186558</w:t>
      </w:r>
      <w:r>
        <w:rPr>
          <w:rFonts w:ascii="宋体" w:hAnsi="宋体" w:hint="eastAsia"/>
          <w:szCs w:val="21"/>
        </w:rPr>
        <w:t>或者</w:t>
      </w:r>
      <w:r>
        <w:rPr>
          <w:rFonts w:ascii="宋体" w:hAnsi="宋体" w:hint="eastAsia"/>
          <w:szCs w:val="21"/>
        </w:rPr>
        <w:t>400-678-3333</w:t>
      </w:r>
      <w:r>
        <w:rPr>
          <w:rFonts w:ascii="宋体" w:hAnsi="宋体" w:hint="eastAsia"/>
          <w:szCs w:val="21"/>
        </w:rPr>
        <w:t>）获取相关信息。</w:t>
      </w:r>
    </w:p>
    <w:p w:rsidR="00AD5C27" w:rsidRDefault="00B1305D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基金管理人承诺以诚实信用、勤勉尽责的原则管理和运用基金资产，但不保证基金一定盈利，也不保证最低收益。敬请投资者留意投资风险。</w:t>
      </w:r>
    </w:p>
    <w:p w:rsidR="00AD5C27" w:rsidRDefault="00AD5C27">
      <w:pPr>
        <w:pStyle w:val="ac"/>
        <w:spacing w:line="360" w:lineRule="auto"/>
        <w:ind w:left="420" w:firstLineChars="0" w:firstLine="0"/>
        <w:rPr>
          <w:rFonts w:ascii="宋体" w:hAnsi="宋体"/>
          <w:szCs w:val="21"/>
        </w:rPr>
      </w:pPr>
    </w:p>
    <w:p w:rsidR="00AD5C27" w:rsidRDefault="00B1305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AD5C27" w:rsidRDefault="00AD5C27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AD5C27" w:rsidRDefault="00B1305D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银华基金管理</w:t>
      </w:r>
      <w:r>
        <w:rPr>
          <w:rFonts w:ascii="宋体" w:hAnsi="宋体" w:hint="eastAsia"/>
          <w:szCs w:val="21"/>
        </w:rPr>
        <w:t>股份</w:t>
      </w:r>
      <w:r>
        <w:rPr>
          <w:rFonts w:ascii="宋体" w:hAnsi="宋体"/>
          <w:szCs w:val="21"/>
        </w:rPr>
        <w:t>有限公司</w:t>
      </w:r>
    </w:p>
    <w:p w:rsidR="00AD5C27" w:rsidRDefault="00B1305D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日</w:t>
      </w:r>
    </w:p>
    <w:sectPr w:rsidR="00AD5C27" w:rsidSect="00AD5C27">
      <w:headerReference w:type="default" r:id="rId8"/>
      <w:footerReference w:type="default" r:id="rId9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27" w:rsidRDefault="00AD5C27" w:rsidP="00AD5C27">
      <w:r>
        <w:separator/>
      </w:r>
    </w:p>
  </w:endnote>
  <w:endnote w:type="continuationSeparator" w:id="0">
    <w:p w:rsidR="00AD5C27" w:rsidRDefault="00AD5C27" w:rsidP="00AD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81874"/>
    </w:sdtPr>
    <w:sdtContent>
      <w:p w:rsidR="00AD5C27" w:rsidRDefault="00AD5C27">
        <w:pPr>
          <w:pStyle w:val="a6"/>
          <w:jc w:val="center"/>
        </w:pPr>
        <w:r>
          <w:fldChar w:fldCharType="begin"/>
        </w:r>
        <w:r w:rsidR="00B1305D">
          <w:instrText>PAGE   \* MERGEFORMAT</w:instrText>
        </w:r>
        <w:r>
          <w:fldChar w:fldCharType="separate"/>
        </w:r>
        <w:r w:rsidR="00B1305D" w:rsidRPr="00B1305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27" w:rsidRDefault="00AD5C27" w:rsidP="00AD5C27">
      <w:r>
        <w:separator/>
      </w:r>
    </w:p>
  </w:footnote>
  <w:footnote w:type="continuationSeparator" w:id="0">
    <w:p w:rsidR="00AD5C27" w:rsidRDefault="00AD5C27" w:rsidP="00AD5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27" w:rsidRDefault="00B1305D">
    <w:pPr>
      <w:pStyle w:val="a7"/>
      <w:jc w:val="left"/>
    </w:pPr>
    <w:r>
      <w:rPr>
        <w:noProof/>
      </w:rPr>
      <w:drawing>
        <wp:inline distT="0" distB="0" distL="0" distR="0">
          <wp:extent cx="2512060" cy="542925"/>
          <wp:effectExtent l="19050" t="0" r="1994" b="0"/>
          <wp:docPr id="2" name="图片 1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image0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2606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21271"/>
    <w:multiLevelType w:val="multilevel"/>
    <w:tmpl w:val="580212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APWAFVersion" w:val="5.0"/>
  </w:docVars>
  <w:rsids>
    <w:rsidRoot w:val="00172A27"/>
    <w:rsid w:val="00011A28"/>
    <w:rsid w:val="000129BA"/>
    <w:rsid w:val="00024144"/>
    <w:rsid w:val="00026CAC"/>
    <w:rsid w:val="000270F1"/>
    <w:rsid w:val="00046C5A"/>
    <w:rsid w:val="000505C8"/>
    <w:rsid w:val="000555E8"/>
    <w:rsid w:val="000640C4"/>
    <w:rsid w:val="00065D5D"/>
    <w:rsid w:val="00074567"/>
    <w:rsid w:val="0007462A"/>
    <w:rsid w:val="00075112"/>
    <w:rsid w:val="000950E0"/>
    <w:rsid w:val="000A379F"/>
    <w:rsid w:val="000A5978"/>
    <w:rsid w:val="000D0193"/>
    <w:rsid w:val="000D2827"/>
    <w:rsid w:val="000D2BD2"/>
    <w:rsid w:val="000D3309"/>
    <w:rsid w:val="000D4721"/>
    <w:rsid w:val="000D4F9D"/>
    <w:rsid w:val="000D7247"/>
    <w:rsid w:val="000E7660"/>
    <w:rsid w:val="00102DA5"/>
    <w:rsid w:val="00112ECB"/>
    <w:rsid w:val="001175F0"/>
    <w:rsid w:val="001178F3"/>
    <w:rsid w:val="001328E2"/>
    <w:rsid w:val="0014118F"/>
    <w:rsid w:val="00151B64"/>
    <w:rsid w:val="00172A27"/>
    <w:rsid w:val="001749F7"/>
    <w:rsid w:val="001848BD"/>
    <w:rsid w:val="00185F50"/>
    <w:rsid w:val="001922DF"/>
    <w:rsid w:val="00192994"/>
    <w:rsid w:val="00193CAA"/>
    <w:rsid w:val="001A3FA7"/>
    <w:rsid w:val="001B44CC"/>
    <w:rsid w:val="001C0858"/>
    <w:rsid w:val="001D08D7"/>
    <w:rsid w:val="001D1603"/>
    <w:rsid w:val="001F4E33"/>
    <w:rsid w:val="001F62D8"/>
    <w:rsid w:val="00200881"/>
    <w:rsid w:val="00201774"/>
    <w:rsid w:val="00206A19"/>
    <w:rsid w:val="002107BA"/>
    <w:rsid w:val="002112C7"/>
    <w:rsid w:val="002113BE"/>
    <w:rsid w:val="00256738"/>
    <w:rsid w:val="00280EA0"/>
    <w:rsid w:val="002860B4"/>
    <w:rsid w:val="002965F4"/>
    <w:rsid w:val="002B0AB0"/>
    <w:rsid w:val="002B4CEC"/>
    <w:rsid w:val="002D5470"/>
    <w:rsid w:val="002F7F14"/>
    <w:rsid w:val="003061CE"/>
    <w:rsid w:val="00312AAA"/>
    <w:rsid w:val="003159D5"/>
    <w:rsid w:val="003607D0"/>
    <w:rsid w:val="00374525"/>
    <w:rsid w:val="00377204"/>
    <w:rsid w:val="00377509"/>
    <w:rsid w:val="00394608"/>
    <w:rsid w:val="00396C1B"/>
    <w:rsid w:val="003A0B28"/>
    <w:rsid w:val="003A18A1"/>
    <w:rsid w:val="003C1C76"/>
    <w:rsid w:val="003D3274"/>
    <w:rsid w:val="003E2900"/>
    <w:rsid w:val="003F4851"/>
    <w:rsid w:val="003F62BA"/>
    <w:rsid w:val="00402BA4"/>
    <w:rsid w:val="0040599E"/>
    <w:rsid w:val="00412CB7"/>
    <w:rsid w:val="0041626E"/>
    <w:rsid w:val="00427FE7"/>
    <w:rsid w:val="00431C40"/>
    <w:rsid w:val="0044437C"/>
    <w:rsid w:val="004453A0"/>
    <w:rsid w:val="00460F64"/>
    <w:rsid w:val="00463597"/>
    <w:rsid w:val="00463AA4"/>
    <w:rsid w:val="00465765"/>
    <w:rsid w:val="00465F94"/>
    <w:rsid w:val="004721D1"/>
    <w:rsid w:val="0047710B"/>
    <w:rsid w:val="00483CD9"/>
    <w:rsid w:val="00484BDC"/>
    <w:rsid w:val="00490243"/>
    <w:rsid w:val="00493BBA"/>
    <w:rsid w:val="004A3501"/>
    <w:rsid w:val="004C1D7D"/>
    <w:rsid w:val="004C77F9"/>
    <w:rsid w:val="004D7BF3"/>
    <w:rsid w:val="004F0D6F"/>
    <w:rsid w:val="004F1804"/>
    <w:rsid w:val="004F364D"/>
    <w:rsid w:val="004F433D"/>
    <w:rsid w:val="00515189"/>
    <w:rsid w:val="00523E00"/>
    <w:rsid w:val="00524925"/>
    <w:rsid w:val="00535730"/>
    <w:rsid w:val="00544CA4"/>
    <w:rsid w:val="00547EF6"/>
    <w:rsid w:val="00551891"/>
    <w:rsid w:val="0055440A"/>
    <w:rsid w:val="0057207F"/>
    <w:rsid w:val="00585E9B"/>
    <w:rsid w:val="00593F3E"/>
    <w:rsid w:val="005B26A3"/>
    <w:rsid w:val="005B4D6A"/>
    <w:rsid w:val="005E06FD"/>
    <w:rsid w:val="00601445"/>
    <w:rsid w:val="00603313"/>
    <w:rsid w:val="00613372"/>
    <w:rsid w:val="006133C9"/>
    <w:rsid w:val="00616D06"/>
    <w:rsid w:val="00616EBF"/>
    <w:rsid w:val="00623B9C"/>
    <w:rsid w:val="00625ABE"/>
    <w:rsid w:val="006363B8"/>
    <w:rsid w:val="00661B58"/>
    <w:rsid w:val="0066466B"/>
    <w:rsid w:val="00670218"/>
    <w:rsid w:val="0067437A"/>
    <w:rsid w:val="006760E2"/>
    <w:rsid w:val="00692FFF"/>
    <w:rsid w:val="006A002C"/>
    <w:rsid w:val="006B0F7E"/>
    <w:rsid w:val="006B4E69"/>
    <w:rsid w:val="006B665E"/>
    <w:rsid w:val="006C1FCE"/>
    <w:rsid w:val="006C6153"/>
    <w:rsid w:val="006D20C3"/>
    <w:rsid w:val="006E5F64"/>
    <w:rsid w:val="0070366B"/>
    <w:rsid w:val="007051F5"/>
    <w:rsid w:val="00705C75"/>
    <w:rsid w:val="0071241A"/>
    <w:rsid w:val="00716D91"/>
    <w:rsid w:val="00720782"/>
    <w:rsid w:val="00737359"/>
    <w:rsid w:val="007543A6"/>
    <w:rsid w:val="0079053C"/>
    <w:rsid w:val="007A45AF"/>
    <w:rsid w:val="007B4293"/>
    <w:rsid w:val="007B644F"/>
    <w:rsid w:val="007D5BB3"/>
    <w:rsid w:val="007E5F9B"/>
    <w:rsid w:val="007E789F"/>
    <w:rsid w:val="007E78AE"/>
    <w:rsid w:val="0081624C"/>
    <w:rsid w:val="008254B7"/>
    <w:rsid w:val="00825757"/>
    <w:rsid w:val="0083238A"/>
    <w:rsid w:val="00834DA9"/>
    <w:rsid w:val="00837259"/>
    <w:rsid w:val="0084282D"/>
    <w:rsid w:val="0084392C"/>
    <w:rsid w:val="00855A8B"/>
    <w:rsid w:val="0085674C"/>
    <w:rsid w:val="00857360"/>
    <w:rsid w:val="00863B24"/>
    <w:rsid w:val="00873729"/>
    <w:rsid w:val="00873920"/>
    <w:rsid w:val="008A0EEA"/>
    <w:rsid w:val="008B0CE1"/>
    <w:rsid w:val="008B3B82"/>
    <w:rsid w:val="008B422B"/>
    <w:rsid w:val="008C53D1"/>
    <w:rsid w:val="008D0DB0"/>
    <w:rsid w:val="008D78BF"/>
    <w:rsid w:val="008E37C3"/>
    <w:rsid w:val="008E49C9"/>
    <w:rsid w:val="008F2B09"/>
    <w:rsid w:val="008F7DAD"/>
    <w:rsid w:val="00911291"/>
    <w:rsid w:val="00924661"/>
    <w:rsid w:val="00934A23"/>
    <w:rsid w:val="009414DC"/>
    <w:rsid w:val="00946751"/>
    <w:rsid w:val="009467FC"/>
    <w:rsid w:val="00950A11"/>
    <w:rsid w:val="00951A83"/>
    <w:rsid w:val="00951AB0"/>
    <w:rsid w:val="00955447"/>
    <w:rsid w:val="00955D21"/>
    <w:rsid w:val="00963B33"/>
    <w:rsid w:val="009702D2"/>
    <w:rsid w:val="00970B90"/>
    <w:rsid w:val="00973555"/>
    <w:rsid w:val="00977CD0"/>
    <w:rsid w:val="009903EA"/>
    <w:rsid w:val="00995181"/>
    <w:rsid w:val="00997253"/>
    <w:rsid w:val="009B413F"/>
    <w:rsid w:val="009C007C"/>
    <w:rsid w:val="009C1154"/>
    <w:rsid w:val="009C172C"/>
    <w:rsid w:val="009D265F"/>
    <w:rsid w:val="009D72AA"/>
    <w:rsid w:val="009E48B7"/>
    <w:rsid w:val="00A03DBD"/>
    <w:rsid w:val="00A115B5"/>
    <w:rsid w:val="00A21443"/>
    <w:rsid w:val="00A24CD2"/>
    <w:rsid w:val="00A24DAC"/>
    <w:rsid w:val="00A40442"/>
    <w:rsid w:val="00A42C0C"/>
    <w:rsid w:val="00A42C0D"/>
    <w:rsid w:val="00A50BD9"/>
    <w:rsid w:val="00A5549A"/>
    <w:rsid w:val="00A61884"/>
    <w:rsid w:val="00A73B1C"/>
    <w:rsid w:val="00A746D7"/>
    <w:rsid w:val="00A83507"/>
    <w:rsid w:val="00A9257D"/>
    <w:rsid w:val="00A977BC"/>
    <w:rsid w:val="00AA295B"/>
    <w:rsid w:val="00AC1061"/>
    <w:rsid w:val="00AC7BB8"/>
    <w:rsid w:val="00AD5C27"/>
    <w:rsid w:val="00AE29DB"/>
    <w:rsid w:val="00AF3C93"/>
    <w:rsid w:val="00AF5233"/>
    <w:rsid w:val="00AF68BC"/>
    <w:rsid w:val="00B04D50"/>
    <w:rsid w:val="00B06FBD"/>
    <w:rsid w:val="00B10ED3"/>
    <w:rsid w:val="00B1238C"/>
    <w:rsid w:val="00B1305D"/>
    <w:rsid w:val="00B1377C"/>
    <w:rsid w:val="00B145EA"/>
    <w:rsid w:val="00B320CB"/>
    <w:rsid w:val="00B42BD1"/>
    <w:rsid w:val="00B50B12"/>
    <w:rsid w:val="00B514E9"/>
    <w:rsid w:val="00B51D54"/>
    <w:rsid w:val="00B6365C"/>
    <w:rsid w:val="00B737A9"/>
    <w:rsid w:val="00B814C5"/>
    <w:rsid w:val="00B84874"/>
    <w:rsid w:val="00B90D9F"/>
    <w:rsid w:val="00B91045"/>
    <w:rsid w:val="00BA2D19"/>
    <w:rsid w:val="00BA640F"/>
    <w:rsid w:val="00BD62CE"/>
    <w:rsid w:val="00BE5C24"/>
    <w:rsid w:val="00BE71C5"/>
    <w:rsid w:val="00BF3F7B"/>
    <w:rsid w:val="00C00E62"/>
    <w:rsid w:val="00C02019"/>
    <w:rsid w:val="00C07C37"/>
    <w:rsid w:val="00C13A24"/>
    <w:rsid w:val="00C14996"/>
    <w:rsid w:val="00C476E0"/>
    <w:rsid w:val="00C47B38"/>
    <w:rsid w:val="00C54999"/>
    <w:rsid w:val="00C62F1F"/>
    <w:rsid w:val="00C6408D"/>
    <w:rsid w:val="00C64C72"/>
    <w:rsid w:val="00C66C7A"/>
    <w:rsid w:val="00C74AF3"/>
    <w:rsid w:val="00C85033"/>
    <w:rsid w:val="00CD18AD"/>
    <w:rsid w:val="00CE1C1F"/>
    <w:rsid w:val="00CE631B"/>
    <w:rsid w:val="00CE71B1"/>
    <w:rsid w:val="00CE7F9D"/>
    <w:rsid w:val="00CF0ED4"/>
    <w:rsid w:val="00CF13B6"/>
    <w:rsid w:val="00CF49A7"/>
    <w:rsid w:val="00D0329E"/>
    <w:rsid w:val="00D0545F"/>
    <w:rsid w:val="00D20BB7"/>
    <w:rsid w:val="00D2176E"/>
    <w:rsid w:val="00D31978"/>
    <w:rsid w:val="00D34FF0"/>
    <w:rsid w:val="00D356CF"/>
    <w:rsid w:val="00D469D7"/>
    <w:rsid w:val="00D675A6"/>
    <w:rsid w:val="00D911D8"/>
    <w:rsid w:val="00D96174"/>
    <w:rsid w:val="00DA00EC"/>
    <w:rsid w:val="00DB6E0E"/>
    <w:rsid w:val="00DB7C9F"/>
    <w:rsid w:val="00DE0389"/>
    <w:rsid w:val="00DF16D8"/>
    <w:rsid w:val="00DF2BD5"/>
    <w:rsid w:val="00DF5A9B"/>
    <w:rsid w:val="00E00122"/>
    <w:rsid w:val="00E110C5"/>
    <w:rsid w:val="00E13C13"/>
    <w:rsid w:val="00E24074"/>
    <w:rsid w:val="00E27A54"/>
    <w:rsid w:val="00E342DC"/>
    <w:rsid w:val="00E51253"/>
    <w:rsid w:val="00E52E8D"/>
    <w:rsid w:val="00E61099"/>
    <w:rsid w:val="00E61131"/>
    <w:rsid w:val="00E6411A"/>
    <w:rsid w:val="00E67348"/>
    <w:rsid w:val="00E67B86"/>
    <w:rsid w:val="00E71ECB"/>
    <w:rsid w:val="00E72CF4"/>
    <w:rsid w:val="00E92918"/>
    <w:rsid w:val="00E95B89"/>
    <w:rsid w:val="00EB1138"/>
    <w:rsid w:val="00EB3883"/>
    <w:rsid w:val="00EC133E"/>
    <w:rsid w:val="00EC1983"/>
    <w:rsid w:val="00EC2CFD"/>
    <w:rsid w:val="00EE7CA2"/>
    <w:rsid w:val="00EF4B4F"/>
    <w:rsid w:val="00F014D8"/>
    <w:rsid w:val="00F07B7A"/>
    <w:rsid w:val="00F25701"/>
    <w:rsid w:val="00F278FF"/>
    <w:rsid w:val="00F326AF"/>
    <w:rsid w:val="00F3423C"/>
    <w:rsid w:val="00F345D0"/>
    <w:rsid w:val="00F65113"/>
    <w:rsid w:val="00F727B5"/>
    <w:rsid w:val="00F72C03"/>
    <w:rsid w:val="00F829C8"/>
    <w:rsid w:val="00F8449A"/>
    <w:rsid w:val="00F93856"/>
    <w:rsid w:val="00FA5761"/>
    <w:rsid w:val="00FA6D0D"/>
    <w:rsid w:val="00FB73E4"/>
    <w:rsid w:val="00FC33D8"/>
    <w:rsid w:val="00FC4200"/>
    <w:rsid w:val="00FC6959"/>
    <w:rsid w:val="00FD54C4"/>
    <w:rsid w:val="00FE7DB5"/>
    <w:rsid w:val="00FF78CE"/>
    <w:rsid w:val="01172763"/>
    <w:rsid w:val="013E111A"/>
    <w:rsid w:val="015D767C"/>
    <w:rsid w:val="0231552D"/>
    <w:rsid w:val="023463E8"/>
    <w:rsid w:val="026A7F58"/>
    <w:rsid w:val="02870C3A"/>
    <w:rsid w:val="02B54831"/>
    <w:rsid w:val="02BB01EA"/>
    <w:rsid w:val="02D00D60"/>
    <w:rsid w:val="03126ECF"/>
    <w:rsid w:val="03564898"/>
    <w:rsid w:val="03886A53"/>
    <w:rsid w:val="03E82023"/>
    <w:rsid w:val="042E2F1B"/>
    <w:rsid w:val="044259A0"/>
    <w:rsid w:val="04F85B22"/>
    <w:rsid w:val="052F047D"/>
    <w:rsid w:val="056F25DA"/>
    <w:rsid w:val="058E041A"/>
    <w:rsid w:val="05F67759"/>
    <w:rsid w:val="05F96CD8"/>
    <w:rsid w:val="063044F6"/>
    <w:rsid w:val="06582E1E"/>
    <w:rsid w:val="073B18A1"/>
    <w:rsid w:val="07541E37"/>
    <w:rsid w:val="075C16A8"/>
    <w:rsid w:val="077200F7"/>
    <w:rsid w:val="088B4E23"/>
    <w:rsid w:val="08984497"/>
    <w:rsid w:val="0924660B"/>
    <w:rsid w:val="093049E5"/>
    <w:rsid w:val="0AD7644B"/>
    <w:rsid w:val="0AE3260E"/>
    <w:rsid w:val="0AE7353A"/>
    <w:rsid w:val="0B025AFF"/>
    <w:rsid w:val="0B085F11"/>
    <w:rsid w:val="0B182B35"/>
    <w:rsid w:val="0BD26C59"/>
    <w:rsid w:val="0BDC0A08"/>
    <w:rsid w:val="0BEF1BFF"/>
    <w:rsid w:val="0CBA5EA4"/>
    <w:rsid w:val="0CEB0B09"/>
    <w:rsid w:val="0CF92FD9"/>
    <w:rsid w:val="0D061BA0"/>
    <w:rsid w:val="0D2951F7"/>
    <w:rsid w:val="0D3673C9"/>
    <w:rsid w:val="0D8012BE"/>
    <w:rsid w:val="0DFE0FC7"/>
    <w:rsid w:val="0E4D7FDF"/>
    <w:rsid w:val="0EC52D0B"/>
    <w:rsid w:val="0F5A6483"/>
    <w:rsid w:val="102B41F6"/>
    <w:rsid w:val="104E0DFE"/>
    <w:rsid w:val="10934698"/>
    <w:rsid w:val="109A79EA"/>
    <w:rsid w:val="114B2DFE"/>
    <w:rsid w:val="116306C1"/>
    <w:rsid w:val="119A02EF"/>
    <w:rsid w:val="11A95F06"/>
    <w:rsid w:val="126F4BCF"/>
    <w:rsid w:val="12981A28"/>
    <w:rsid w:val="13772323"/>
    <w:rsid w:val="13B77017"/>
    <w:rsid w:val="13E07F77"/>
    <w:rsid w:val="140F29B5"/>
    <w:rsid w:val="143B24A8"/>
    <w:rsid w:val="145130A0"/>
    <w:rsid w:val="146406DE"/>
    <w:rsid w:val="14A86498"/>
    <w:rsid w:val="14C26497"/>
    <w:rsid w:val="15035E6C"/>
    <w:rsid w:val="15507A8C"/>
    <w:rsid w:val="159145A1"/>
    <w:rsid w:val="15C22FE1"/>
    <w:rsid w:val="15CE76E1"/>
    <w:rsid w:val="16155A64"/>
    <w:rsid w:val="167404AF"/>
    <w:rsid w:val="16974456"/>
    <w:rsid w:val="169D3B4C"/>
    <w:rsid w:val="16BF770E"/>
    <w:rsid w:val="172A7E35"/>
    <w:rsid w:val="176435FE"/>
    <w:rsid w:val="176F14A1"/>
    <w:rsid w:val="178E5B59"/>
    <w:rsid w:val="17A903A0"/>
    <w:rsid w:val="185D29B9"/>
    <w:rsid w:val="188202E2"/>
    <w:rsid w:val="18E07643"/>
    <w:rsid w:val="18E133B7"/>
    <w:rsid w:val="18EB0A6C"/>
    <w:rsid w:val="191276D8"/>
    <w:rsid w:val="195B5974"/>
    <w:rsid w:val="19863184"/>
    <w:rsid w:val="19BB41DF"/>
    <w:rsid w:val="1A18184B"/>
    <w:rsid w:val="1A5F75A2"/>
    <w:rsid w:val="1A6A5A09"/>
    <w:rsid w:val="1B293EE5"/>
    <w:rsid w:val="1BC27D31"/>
    <w:rsid w:val="1BF67DB8"/>
    <w:rsid w:val="1C661FC1"/>
    <w:rsid w:val="1CD30780"/>
    <w:rsid w:val="1CEA5461"/>
    <w:rsid w:val="1CFF27D8"/>
    <w:rsid w:val="1D114452"/>
    <w:rsid w:val="1D1C2B4F"/>
    <w:rsid w:val="1D373EF8"/>
    <w:rsid w:val="1D446942"/>
    <w:rsid w:val="1D565A5F"/>
    <w:rsid w:val="1E354DE7"/>
    <w:rsid w:val="1E89655B"/>
    <w:rsid w:val="1E8C68D7"/>
    <w:rsid w:val="1EF86919"/>
    <w:rsid w:val="1F1E46C7"/>
    <w:rsid w:val="1F271CC9"/>
    <w:rsid w:val="1F73724C"/>
    <w:rsid w:val="1FFE24E8"/>
    <w:rsid w:val="208D665C"/>
    <w:rsid w:val="20A02F73"/>
    <w:rsid w:val="211E44D8"/>
    <w:rsid w:val="214041F2"/>
    <w:rsid w:val="21924D2F"/>
    <w:rsid w:val="21A627A3"/>
    <w:rsid w:val="21E83A2C"/>
    <w:rsid w:val="221C0F93"/>
    <w:rsid w:val="23067798"/>
    <w:rsid w:val="23691277"/>
    <w:rsid w:val="23C92F12"/>
    <w:rsid w:val="23E22983"/>
    <w:rsid w:val="23E96D75"/>
    <w:rsid w:val="253C6CC7"/>
    <w:rsid w:val="260B3314"/>
    <w:rsid w:val="26120F54"/>
    <w:rsid w:val="26443589"/>
    <w:rsid w:val="2657015F"/>
    <w:rsid w:val="26881BC1"/>
    <w:rsid w:val="26A720E1"/>
    <w:rsid w:val="26AA14B7"/>
    <w:rsid w:val="26DF5D7A"/>
    <w:rsid w:val="26EE446F"/>
    <w:rsid w:val="26F5170C"/>
    <w:rsid w:val="26F55008"/>
    <w:rsid w:val="273348DE"/>
    <w:rsid w:val="274272A3"/>
    <w:rsid w:val="27D05B05"/>
    <w:rsid w:val="27D43D7F"/>
    <w:rsid w:val="282C73F8"/>
    <w:rsid w:val="28366BBA"/>
    <w:rsid w:val="28CB1486"/>
    <w:rsid w:val="28EE2D67"/>
    <w:rsid w:val="291216DE"/>
    <w:rsid w:val="29AB7BC7"/>
    <w:rsid w:val="2A3E7876"/>
    <w:rsid w:val="2AB73512"/>
    <w:rsid w:val="2AF32020"/>
    <w:rsid w:val="2B6422B2"/>
    <w:rsid w:val="2B7329BE"/>
    <w:rsid w:val="2C0F3849"/>
    <w:rsid w:val="2C626D25"/>
    <w:rsid w:val="2C6F4A1E"/>
    <w:rsid w:val="2CCB2B5E"/>
    <w:rsid w:val="2D07424E"/>
    <w:rsid w:val="2DF91B9B"/>
    <w:rsid w:val="2E346677"/>
    <w:rsid w:val="2E3B015D"/>
    <w:rsid w:val="2E4D697C"/>
    <w:rsid w:val="2ED03888"/>
    <w:rsid w:val="2EDB334E"/>
    <w:rsid w:val="2EE72048"/>
    <w:rsid w:val="2F05265B"/>
    <w:rsid w:val="2F6C6E1F"/>
    <w:rsid w:val="2FBE23BA"/>
    <w:rsid w:val="2FD00080"/>
    <w:rsid w:val="2FDE5F10"/>
    <w:rsid w:val="30010F15"/>
    <w:rsid w:val="302D6B09"/>
    <w:rsid w:val="306D3F2B"/>
    <w:rsid w:val="30A2319F"/>
    <w:rsid w:val="31D87F1A"/>
    <w:rsid w:val="31DF7D4C"/>
    <w:rsid w:val="3257361D"/>
    <w:rsid w:val="32DF4FB9"/>
    <w:rsid w:val="32E96A72"/>
    <w:rsid w:val="330D71CD"/>
    <w:rsid w:val="33533EA6"/>
    <w:rsid w:val="33855073"/>
    <w:rsid w:val="33AA79B7"/>
    <w:rsid w:val="342B0860"/>
    <w:rsid w:val="3441107F"/>
    <w:rsid w:val="35522C20"/>
    <w:rsid w:val="35FD4ACE"/>
    <w:rsid w:val="36FF2FD0"/>
    <w:rsid w:val="373B0CE1"/>
    <w:rsid w:val="38A32A76"/>
    <w:rsid w:val="38F11B77"/>
    <w:rsid w:val="392F33D9"/>
    <w:rsid w:val="3AF60CF2"/>
    <w:rsid w:val="3BBF6E15"/>
    <w:rsid w:val="3C730FDB"/>
    <w:rsid w:val="3C7C2526"/>
    <w:rsid w:val="3C995F6E"/>
    <w:rsid w:val="3CB011E8"/>
    <w:rsid w:val="3CB512AF"/>
    <w:rsid w:val="3E1D5959"/>
    <w:rsid w:val="3E5942C4"/>
    <w:rsid w:val="3E6D48AD"/>
    <w:rsid w:val="3E84235C"/>
    <w:rsid w:val="3ECB3E98"/>
    <w:rsid w:val="3F357E3B"/>
    <w:rsid w:val="3F7C3E0B"/>
    <w:rsid w:val="3F9129D7"/>
    <w:rsid w:val="3FB528CF"/>
    <w:rsid w:val="3FFD3AD9"/>
    <w:rsid w:val="40296A16"/>
    <w:rsid w:val="40B87BB7"/>
    <w:rsid w:val="41E10E9E"/>
    <w:rsid w:val="424808F7"/>
    <w:rsid w:val="427C16C2"/>
    <w:rsid w:val="42862197"/>
    <w:rsid w:val="42C42455"/>
    <w:rsid w:val="435B1B55"/>
    <w:rsid w:val="436C2B58"/>
    <w:rsid w:val="43B806B5"/>
    <w:rsid w:val="44602BED"/>
    <w:rsid w:val="449C750A"/>
    <w:rsid w:val="44AA35CF"/>
    <w:rsid w:val="44DA0B8F"/>
    <w:rsid w:val="452A0F04"/>
    <w:rsid w:val="457A7762"/>
    <w:rsid w:val="45844794"/>
    <w:rsid w:val="45970BAF"/>
    <w:rsid w:val="459C6F06"/>
    <w:rsid w:val="45D72046"/>
    <w:rsid w:val="468B0B32"/>
    <w:rsid w:val="470F7A15"/>
    <w:rsid w:val="471A2D0C"/>
    <w:rsid w:val="47533D92"/>
    <w:rsid w:val="47671AA9"/>
    <w:rsid w:val="47AD4248"/>
    <w:rsid w:val="49A22C08"/>
    <w:rsid w:val="49E53800"/>
    <w:rsid w:val="4A6C3C4A"/>
    <w:rsid w:val="4AA257B9"/>
    <w:rsid w:val="4C85133D"/>
    <w:rsid w:val="4CF6419B"/>
    <w:rsid w:val="4D094317"/>
    <w:rsid w:val="4D9F5344"/>
    <w:rsid w:val="4E000494"/>
    <w:rsid w:val="4E3605DF"/>
    <w:rsid w:val="4E565C65"/>
    <w:rsid w:val="4E811A89"/>
    <w:rsid w:val="4F1F2594"/>
    <w:rsid w:val="5011611B"/>
    <w:rsid w:val="502D66BC"/>
    <w:rsid w:val="51031B0D"/>
    <w:rsid w:val="524C5D5B"/>
    <w:rsid w:val="524D42A0"/>
    <w:rsid w:val="532C7A3C"/>
    <w:rsid w:val="535216FA"/>
    <w:rsid w:val="53561C54"/>
    <w:rsid w:val="5404228E"/>
    <w:rsid w:val="54AC28CC"/>
    <w:rsid w:val="54D90194"/>
    <w:rsid w:val="55DA6FF3"/>
    <w:rsid w:val="560F3579"/>
    <w:rsid w:val="566627C0"/>
    <w:rsid w:val="567420F1"/>
    <w:rsid w:val="568A64B3"/>
    <w:rsid w:val="56AD6BD9"/>
    <w:rsid w:val="56B038C5"/>
    <w:rsid w:val="56D03E66"/>
    <w:rsid w:val="5754337B"/>
    <w:rsid w:val="577E63DD"/>
    <w:rsid w:val="57815840"/>
    <w:rsid w:val="57BB0DFB"/>
    <w:rsid w:val="57EB1125"/>
    <w:rsid w:val="580774FC"/>
    <w:rsid w:val="583639EE"/>
    <w:rsid w:val="583A4101"/>
    <w:rsid w:val="585C329D"/>
    <w:rsid w:val="588635C0"/>
    <w:rsid w:val="590474ED"/>
    <w:rsid w:val="591F539A"/>
    <w:rsid w:val="592C7464"/>
    <w:rsid w:val="593123AC"/>
    <w:rsid w:val="595C6866"/>
    <w:rsid w:val="59A23C22"/>
    <w:rsid w:val="59AE08A6"/>
    <w:rsid w:val="5A9504FA"/>
    <w:rsid w:val="5B0208B1"/>
    <w:rsid w:val="5C3A4097"/>
    <w:rsid w:val="5C3B2C12"/>
    <w:rsid w:val="5C471D16"/>
    <w:rsid w:val="5C57615B"/>
    <w:rsid w:val="5C633AE7"/>
    <w:rsid w:val="5CB349FF"/>
    <w:rsid w:val="5CC600F6"/>
    <w:rsid w:val="5CF10D43"/>
    <w:rsid w:val="5D764BF4"/>
    <w:rsid w:val="5D8F7F16"/>
    <w:rsid w:val="5E1C55F2"/>
    <w:rsid w:val="5E656BD9"/>
    <w:rsid w:val="5E915769"/>
    <w:rsid w:val="5E97191D"/>
    <w:rsid w:val="5E987F39"/>
    <w:rsid w:val="5EF473D7"/>
    <w:rsid w:val="5F9C6B28"/>
    <w:rsid w:val="5FB02F02"/>
    <w:rsid w:val="5FE56E3E"/>
    <w:rsid w:val="603A2F8B"/>
    <w:rsid w:val="608614E1"/>
    <w:rsid w:val="60A26A2C"/>
    <w:rsid w:val="61B54E59"/>
    <w:rsid w:val="629B000E"/>
    <w:rsid w:val="630702B0"/>
    <w:rsid w:val="631B761D"/>
    <w:rsid w:val="63276856"/>
    <w:rsid w:val="633A357F"/>
    <w:rsid w:val="63AB1150"/>
    <w:rsid w:val="63EC7079"/>
    <w:rsid w:val="648D016C"/>
    <w:rsid w:val="64A12DF8"/>
    <w:rsid w:val="64CB1DC3"/>
    <w:rsid w:val="651953DF"/>
    <w:rsid w:val="66356602"/>
    <w:rsid w:val="66F26AE2"/>
    <w:rsid w:val="67D467A6"/>
    <w:rsid w:val="681D485E"/>
    <w:rsid w:val="68AA1B19"/>
    <w:rsid w:val="692E06B3"/>
    <w:rsid w:val="69604BE8"/>
    <w:rsid w:val="696D6110"/>
    <w:rsid w:val="6985775B"/>
    <w:rsid w:val="69B20CDB"/>
    <w:rsid w:val="6A5556D0"/>
    <w:rsid w:val="6A9605E3"/>
    <w:rsid w:val="6A9E49FC"/>
    <w:rsid w:val="6AA77212"/>
    <w:rsid w:val="6B322AFA"/>
    <w:rsid w:val="6B4B102E"/>
    <w:rsid w:val="6BA36D36"/>
    <w:rsid w:val="6C511B37"/>
    <w:rsid w:val="6D395E7A"/>
    <w:rsid w:val="6EDF4571"/>
    <w:rsid w:val="6F002C8F"/>
    <w:rsid w:val="6F3D1DF9"/>
    <w:rsid w:val="6F535B23"/>
    <w:rsid w:val="6F58156F"/>
    <w:rsid w:val="6FA56787"/>
    <w:rsid w:val="6FBB281A"/>
    <w:rsid w:val="6FC92030"/>
    <w:rsid w:val="703045FD"/>
    <w:rsid w:val="70395E02"/>
    <w:rsid w:val="708C7F03"/>
    <w:rsid w:val="71AA1C98"/>
    <w:rsid w:val="727822CC"/>
    <w:rsid w:val="73365383"/>
    <w:rsid w:val="740C41EF"/>
    <w:rsid w:val="747E29E9"/>
    <w:rsid w:val="74B328F8"/>
    <w:rsid w:val="753A0F6B"/>
    <w:rsid w:val="756114F9"/>
    <w:rsid w:val="75C35CC3"/>
    <w:rsid w:val="75EF7084"/>
    <w:rsid w:val="76B708D8"/>
    <w:rsid w:val="7740337E"/>
    <w:rsid w:val="77A84E1A"/>
    <w:rsid w:val="782C1E28"/>
    <w:rsid w:val="78925E2E"/>
    <w:rsid w:val="78DF365A"/>
    <w:rsid w:val="7924160F"/>
    <w:rsid w:val="79FA2C7F"/>
    <w:rsid w:val="7A2F7223"/>
    <w:rsid w:val="7ADA3676"/>
    <w:rsid w:val="7BBA1138"/>
    <w:rsid w:val="7BE52E1F"/>
    <w:rsid w:val="7BE56F27"/>
    <w:rsid w:val="7C6F379E"/>
    <w:rsid w:val="7CD726E0"/>
    <w:rsid w:val="7DCB7B01"/>
    <w:rsid w:val="7E2E668E"/>
    <w:rsid w:val="7E414727"/>
    <w:rsid w:val="7E546364"/>
    <w:rsid w:val="7E571C9A"/>
    <w:rsid w:val="7EE27E1F"/>
    <w:rsid w:val="7F1E014D"/>
    <w:rsid w:val="7F80321F"/>
    <w:rsid w:val="7FA65318"/>
    <w:rsid w:val="7FCB6809"/>
    <w:rsid w:val="7FFA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footnote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2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AD5C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AD5C27"/>
    <w:pPr>
      <w:shd w:val="clear" w:color="auto" w:fill="000080"/>
    </w:pPr>
  </w:style>
  <w:style w:type="paragraph" w:styleId="a4">
    <w:name w:val="annotation text"/>
    <w:basedOn w:val="a"/>
    <w:semiHidden/>
    <w:unhideWhenUsed/>
    <w:rsid w:val="00AD5C27"/>
    <w:pPr>
      <w:jc w:val="left"/>
    </w:pPr>
  </w:style>
  <w:style w:type="paragraph" w:styleId="a5">
    <w:name w:val="Balloon Text"/>
    <w:basedOn w:val="a"/>
    <w:semiHidden/>
    <w:qFormat/>
    <w:rsid w:val="00AD5C27"/>
    <w:rPr>
      <w:sz w:val="18"/>
      <w:szCs w:val="18"/>
    </w:rPr>
  </w:style>
  <w:style w:type="paragraph" w:styleId="a6">
    <w:name w:val="footer"/>
    <w:basedOn w:val="a"/>
    <w:link w:val="Char"/>
    <w:uiPriority w:val="99"/>
    <w:qFormat/>
    <w:rsid w:val="00AD5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AD5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1"/>
    <w:qFormat/>
    <w:rsid w:val="00AD5C27"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9">
    <w:name w:val="Normal (Web)"/>
    <w:basedOn w:val="a"/>
    <w:semiHidden/>
    <w:unhideWhenUsed/>
    <w:qFormat/>
    <w:rsid w:val="00AD5C27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rsid w:val="00AD5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qFormat/>
    <w:rsid w:val="00AD5C27"/>
    <w:rPr>
      <w:vertAlign w:val="superscript"/>
    </w:rPr>
  </w:style>
  <w:style w:type="character" w:customStyle="1" w:styleId="2Char">
    <w:name w:val="标题 2 Char"/>
    <w:link w:val="2"/>
    <w:qFormat/>
    <w:rsid w:val="00AD5C27"/>
    <w:rPr>
      <w:rFonts w:ascii="Arial" w:eastAsia="黑体" w:hAnsi="Arial"/>
      <w:b/>
      <w:kern w:val="2"/>
      <w:sz w:val="32"/>
    </w:rPr>
  </w:style>
  <w:style w:type="character" w:customStyle="1" w:styleId="Char">
    <w:name w:val="页脚 Char"/>
    <w:link w:val="a6"/>
    <w:uiPriority w:val="99"/>
    <w:qFormat/>
    <w:rsid w:val="00AD5C27"/>
    <w:rPr>
      <w:kern w:val="2"/>
      <w:sz w:val="18"/>
      <w:szCs w:val="18"/>
    </w:rPr>
  </w:style>
  <w:style w:type="character" w:customStyle="1" w:styleId="Char0">
    <w:name w:val="页眉 Char"/>
    <w:link w:val="a7"/>
    <w:qFormat/>
    <w:rsid w:val="00AD5C27"/>
    <w:rPr>
      <w:kern w:val="2"/>
      <w:sz w:val="18"/>
      <w:szCs w:val="18"/>
    </w:rPr>
  </w:style>
  <w:style w:type="character" w:customStyle="1" w:styleId="Char1">
    <w:name w:val="脚注文本 Char"/>
    <w:link w:val="a8"/>
    <w:qFormat/>
    <w:rsid w:val="00AD5C27"/>
    <w:rPr>
      <w:rFonts w:ascii="Times New Roman" w:hAnsi="Times New Roman"/>
      <w:kern w:val="2"/>
      <w:sz w:val="18"/>
    </w:rPr>
  </w:style>
  <w:style w:type="paragraph" w:customStyle="1" w:styleId="Char2">
    <w:name w:val="Char"/>
    <w:basedOn w:val="a"/>
    <w:qFormat/>
    <w:rsid w:val="00AD5C27"/>
    <w:rPr>
      <w:rFonts w:ascii="Times New Roman" w:hAnsi="Times New Roman"/>
      <w:szCs w:val="24"/>
    </w:rPr>
  </w:style>
  <w:style w:type="paragraph" w:styleId="ac">
    <w:name w:val="List Paragraph"/>
    <w:basedOn w:val="a"/>
    <w:uiPriority w:val="34"/>
    <w:qFormat/>
    <w:rsid w:val="00AD5C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1E639-F5A0-456D-90B7-20D61667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2766</Characters>
  <Application>Microsoft Office Word</Application>
  <DocSecurity>4</DocSecurity>
  <Lines>23</Lines>
  <Paragraphs>6</Paragraphs>
  <ScaleCrop>false</ScaleCrop>
  <Company>CNSTOCK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ZHONGM</cp:lastModifiedBy>
  <cp:revision>2</cp:revision>
  <cp:lastPrinted>1900-12-31T16:00:00Z</cp:lastPrinted>
  <dcterms:created xsi:type="dcterms:W3CDTF">2024-12-26T16:02:00Z</dcterms:created>
  <dcterms:modified xsi:type="dcterms:W3CDTF">2024-12-26T16:02:00Z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BD86BBF3D6A64DED9732EEE270313029</vt:lpwstr>
  </property>
</Properties>
</file>