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064" w:rsidRDefault="00D5601F">
      <w:pPr>
        <w:jc w:val="center"/>
        <w:rPr>
          <w:rFonts w:ascii="宋体" w:eastAsia="宋体" w:hAnsi="宋体"/>
          <w:b/>
          <w:sz w:val="30"/>
          <w:szCs w:val="30"/>
        </w:rPr>
      </w:pPr>
      <w:bookmarkStart w:id="0" w:name="_GoBack"/>
      <w:bookmarkEnd w:id="0"/>
      <w:r>
        <w:rPr>
          <w:rFonts w:ascii="宋体" w:eastAsia="宋体" w:hAnsi="宋体" w:hint="eastAsia"/>
          <w:b/>
          <w:sz w:val="30"/>
          <w:szCs w:val="30"/>
        </w:rPr>
        <w:t>浙商基金管理有限公司关于旗下部分基金</w:t>
      </w:r>
    </w:p>
    <w:p w:rsidR="004E7064" w:rsidRDefault="00D5601F">
      <w:pPr>
        <w:jc w:val="center"/>
        <w:rPr>
          <w:rFonts w:ascii="宋体" w:eastAsia="宋体" w:hAnsi="宋体"/>
          <w:b/>
          <w:sz w:val="30"/>
          <w:szCs w:val="30"/>
        </w:rPr>
      </w:pPr>
      <w:r>
        <w:rPr>
          <w:rFonts w:ascii="宋体" w:eastAsia="宋体" w:hAnsi="宋体" w:hint="eastAsia"/>
          <w:b/>
          <w:sz w:val="30"/>
          <w:szCs w:val="30"/>
        </w:rPr>
        <w:t>参加招商银行股份有限公司</w:t>
      </w:r>
    </w:p>
    <w:p w:rsidR="004E7064" w:rsidRDefault="00D5601F">
      <w:pPr>
        <w:jc w:val="center"/>
        <w:rPr>
          <w:rFonts w:ascii="宋体" w:eastAsia="宋体" w:hAnsi="宋体"/>
          <w:b/>
          <w:sz w:val="30"/>
          <w:szCs w:val="30"/>
        </w:rPr>
      </w:pPr>
      <w:r>
        <w:rPr>
          <w:rFonts w:ascii="宋体" w:eastAsia="宋体" w:hAnsi="宋体" w:hint="eastAsia"/>
          <w:b/>
          <w:sz w:val="30"/>
          <w:szCs w:val="30"/>
        </w:rPr>
        <w:t>基金转换业务申购补差费率优惠活动的公告</w:t>
      </w:r>
    </w:p>
    <w:p w:rsidR="004E7064" w:rsidRDefault="004E7064">
      <w:pPr>
        <w:jc w:val="center"/>
        <w:rPr>
          <w:rFonts w:ascii="宋体" w:eastAsia="宋体" w:hAnsi="宋体"/>
          <w:b/>
          <w:sz w:val="30"/>
          <w:szCs w:val="30"/>
        </w:rPr>
      </w:pPr>
    </w:p>
    <w:p w:rsidR="004E7064" w:rsidRDefault="00D5601F">
      <w:pPr>
        <w:spacing w:line="360" w:lineRule="auto"/>
        <w:ind w:firstLineChars="200" w:firstLine="420"/>
        <w:rPr>
          <w:rFonts w:ascii="宋体" w:eastAsia="宋体" w:hAnsi="宋体"/>
        </w:rPr>
      </w:pPr>
      <w:r>
        <w:rPr>
          <w:rFonts w:ascii="宋体" w:eastAsia="宋体" w:hAnsi="宋体" w:hint="eastAsia"/>
        </w:rPr>
        <w:t>为了答谢广大投资者对浙商基金管理有限公司（以下简称“本公司”）的支持和厚爱，经本公司与招商银行股份有限公司（以下简称“招商银行”）协商一致，本公司旗下部分基金参加招商银行基金转换业务申购补差费率优惠活动。现将有关事项公告如下：</w:t>
      </w:r>
    </w:p>
    <w:p w:rsidR="004E7064" w:rsidRDefault="004E7064">
      <w:pPr>
        <w:spacing w:line="360" w:lineRule="auto"/>
        <w:ind w:firstLineChars="200" w:firstLine="420"/>
        <w:rPr>
          <w:rFonts w:ascii="宋体" w:eastAsia="宋体" w:hAnsi="宋体"/>
        </w:rPr>
      </w:pPr>
    </w:p>
    <w:p w:rsidR="004E7064" w:rsidRDefault="00D5601F">
      <w:pPr>
        <w:spacing w:line="360" w:lineRule="auto"/>
        <w:ind w:firstLineChars="200" w:firstLine="420"/>
        <w:rPr>
          <w:rFonts w:ascii="宋体" w:eastAsia="宋体" w:hAnsi="宋体"/>
        </w:rPr>
      </w:pPr>
      <w:r>
        <w:rPr>
          <w:rFonts w:ascii="宋体" w:eastAsia="宋体" w:hAnsi="宋体" w:hint="eastAsia"/>
        </w:rPr>
        <w:t>一、费率优惠活动</w:t>
      </w:r>
    </w:p>
    <w:p w:rsidR="004E7064" w:rsidRDefault="00D5601F">
      <w:pPr>
        <w:spacing w:line="360" w:lineRule="auto"/>
        <w:ind w:firstLineChars="200" w:firstLine="420"/>
        <w:rPr>
          <w:rFonts w:ascii="宋体" w:eastAsia="宋体" w:hAnsi="宋体"/>
        </w:rPr>
      </w:pPr>
      <w:r>
        <w:rPr>
          <w:rFonts w:ascii="宋体" w:eastAsia="宋体" w:hAnsi="宋体"/>
        </w:rPr>
        <w:t>1</w:t>
      </w:r>
      <w:r>
        <w:rPr>
          <w:rFonts w:ascii="宋体" w:eastAsia="宋体" w:hAnsi="宋体"/>
        </w:rPr>
        <w:t>、费率优惠内容</w:t>
      </w:r>
    </w:p>
    <w:p w:rsidR="004E7064" w:rsidRDefault="00D5601F">
      <w:pPr>
        <w:spacing w:line="360" w:lineRule="auto"/>
        <w:ind w:firstLineChars="200" w:firstLine="420"/>
        <w:rPr>
          <w:rFonts w:ascii="宋体" w:eastAsia="宋体" w:hAnsi="宋体"/>
        </w:rPr>
      </w:pPr>
      <w:r>
        <w:rPr>
          <w:rFonts w:ascii="宋体" w:eastAsia="宋体" w:hAnsi="宋体" w:hint="eastAsia"/>
        </w:rPr>
        <w:t>自</w:t>
      </w:r>
      <w:r>
        <w:rPr>
          <w:rFonts w:ascii="宋体" w:eastAsia="宋体" w:hAnsi="宋体"/>
        </w:rPr>
        <w:t>202</w:t>
      </w:r>
      <w:r>
        <w:rPr>
          <w:rFonts w:ascii="宋体" w:eastAsia="宋体" w:hAnsi="宋体" w:hint="eastAsia"/>
        </w:rPr>
        <w:t>4</w:t>
      </w:r>
      <w:r>
        <w:rPr>
          <w:rFonts w:ascii="宋体" w:eastAsia="宋体" w:hAnsi="宋体"/>
        </w:rPr>
        <w:t>年</w:t>
      </w:r>
      <w:r>
        <w:rPr>
          <w:rFonts w:ascii="宋体" w:eastAsia="宋体" w:hAnsi="宋体" w:hint="eastAsia"/>
        </w:rPr>
        <w:t>12</w:t>
      </w:r>
      <w:r>
        <w:rPr>
          <w:rFonts w:ascii="宋体" w:eastAsia="宋体" w:hAnsi="宋体"/>
        </w:rPr>
        <w:t>月</w:t>
      </w:r>
      <w:r>
        <w:rPr>
          <w:rFonts w:ascii="宋体" w:eastAsia="宋体" w:hAnsi="宋体"/>
        </w:rPr>
        <w:t>2</w:t>
      </w:r>
      <w:r>
        <w:rPr>
          <w:rFonts w:ascii="宋体" w:eastAsia="宋体" w:hAnsi="宋体" w:hint="eastAsia"/>
        </w:rPr>
        <w:t>7</w:t>
      </w:r>
      <w:r>
        <w:rPr>
          <w:rFonts w:ascii="宋体" w:eastAsia="宋体" w:hAnsi="宋体"/>
        </w:rPr>
        <w:t>日起，投资者通过</w:t>
      </w:r>
      <w:r>
        <w:rPr>
          <w:rFonts w:ascii="宋体" w:eastAsia="宋体" w:hAnsi="宋体" w:hint="eastAsia"/>
        </w:rPr>
        <w:t>招商银行将其持有的本公司旗下已开通转换业务的基金进行基金转换的，可享受申购补差费率优惠活动，具体折扣费率、适用投资者范围以招商银行活动公告为准。基金原费率请详见相应基金基金合同、招募说明书（更新）等法律文件，以及本公司发布的最新业务公告。</w:t>
      </w:r>
    </w:p>
    <w:p w:rsidR="004E7064" w:rsidRDefault="00D5601F">
      <w:pPr>
        <w:spacing w:line="360" w:lineRule="auto"/>
        <w:ind w:firstLineChars="200" w:firstLine="420"/>
        <w:rPr>
          <w:rFonts w:ascii="宋体" w:eastAsia="宋体" w:hAnsi="宋体"/>
        </w:rPr>
      </w:pPr>
      <w:r>
        <w:rPr>
          <w:rFonts w:ascii="宋体" w:eastAsia="宋体" w:hAnsi="宋体"/>
        </w:rPr>
        <w:t>2</w:t>
      </w:r>
      <w:r>
        <w:rPr>
          <w:rFonts w:ascii="宋体" w:eastAsia="宋体" w:hAnsi="宋体"/>
        </w:rPr>
        <w:t>、费率优惠期限</w:t>
      </w:r>
    </w:p>
    <w:p w:rsidR="004E7064" w:rsidRDefault="00D5601F">
      <w:pPr>
        <w:spacing w:line="360" w:lineRule="auto"/>
        <w:ind w:firstLineChars="200" w:firstLine="420"/>
        <w:rPr>
          <w:rFonts w:ascii="宋体" w:eastAsia="宋体" w:hAnsi="宋体"/>
        </w:rPr>
      </w:pPr>
      <w:r>
        <w:rPr>
          <w:rFonts w:ascii="宋体" w:eastAsia="宋体" w:hAnsi="宋体" w:hint="eastAsia"/>
        </w:rPr>
        <w:t>自</w:t>
      </w:r>
      <w:r>
        <w:rPr>
          <w:rFonts w:ascii="宋体" w:eastAsia="宋体" w:hAnsi="宋体"/>
        </w:rPr>
        <w:t>202</w:t>
      </w:r>
      <w:r>
        <w:rPr>
          <w:rFonts w:ascii="宋体" w:eastAsia="宋体" w:hAnsi="宋体" w:hint="eastAsia"/>
        </w:rPr>
        <w:t>4</w:t>
      </w:r>
      <w:r>
        <w:rPr>
          <w:rFonts w:ascii="宋体" w:eastAsia="宋体" w:hAnsi="宋体"/>
        </w:rPr>
        <w:t>年</w:t>
      </w:r>
      <w:r>
        <w:rPr>
          <w:rFonts w:ascii="宋体" w:eastAsia="宋体" w:hAnsi="宋体" w:hint="eastAsia"/>
        </w:rPr>
        <w:t>12</w:t>
      </w:r>
      <w:r>
        <w:rPr>
          <w:rFonts w:ascii="宋体" w:eastAsia="宋体" w:hAnsi="宋体"/>
        </w:rPr>
        <w:t>月</w:t>
      </w:r>
      <w:r>
        <w:rPr>
          <w:rFonts w:ascii="宋体" w:eastAsia="宋体" w:hAnsi="宋体"/>
        </w:rPr>
        <w:t>2</w:t>
      </w:r>
      <w:r>
        <w:rPr>
          <w:rFonts w:ascii="宋体" w:eastAsia="宋体" w:hAnsi="宋体" w:hint="eastAsia"/>
        </w:rPr>
        <w:t>7</w:t>
      </w:r>
      <w:r>
        <w:rPr>
          <w:rFonts w:ascii="宋体" w:eastAsia="宋体" w:hAnsi="宋体"/>
        </w:rPr>
        <w:t>日</w:t>
      </w:r>
      <w:r>
        <w:rPr>
          <w:rFonts w:ascii="宋体" w:eastAsia="宋体" w:hAnsi="宋体" w:hint="eastAsia"/>
        </w:rPr>
        <w:t>起，结束时间以招商银行活动公告所示为准。</w:t>
      </w:r>
    </w:p>
    <w:p w:rsidR="004E7064" w:rsidRDefault="00D5601F">
      <w:pPr>
        <w:spacing w:line="360" w:lineRule="auto"/>
        <w:ind w:firstLineChars="200" w:firstLine="420"/>
        <w:rPr>
          <w:rFonts w:ascii="宋体" w:eastAsia="宋体" w:hAnsi="宋体"/>
        </w:rPr>
      </w:pPr>
      <w:r>
        <w:rPr>
          <w:rFonts w:ascii="宋体" w:eastAsia="宋体" w:hAnsi="宋体" w:hint="eastAsia"/>
        </w:rPr>
        <w:t>3</w:t>
      </w:r>
      <w:r>
        <w:rPr>
          <w:rFonts w:ascii="宋体" w:eastAsia="宋体" w:hAnsi="宋体" w:hint="eastAsia"/>
        </w:rPr>
        <w:t>、适用基金</w:t>
      </w:r>
    </w:p>
    <w:tbl>
      <w:tblPr>
        <w:tblW w:w="5046"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11"/>
        <w:gridCol w:w="2302"/>
      </w:tblGrid>
      <w:tr w:rsidR="004E7064">
        <w:trPr>
          <w:trHeight w:val="20"/>
          <w:tblCellSpacing w:w="0" w:type="dxa"/>
        </w:trPr>
        <w:tc>
          <w:tcPr>
            <w:tcW w:w="3631" w:type="pct"/>
            <w:tcBorders>
              <w:top w:val="outset" w:sz="6" w:space="0" w:color="auto"/>
              <w:left w:val="outset" w:sz="6" w:space="0" w:color="auto"/>
              <w:bottom w:val="outset" w:sz="6" w:space="0" w:color="auto"/>
              <w:right w:val="outset" w:sz="6" w:space="0" w:color="auto"/>
            </w:tcBorders>
            <w:vAlign w:val="center"/>
          </w:tcPr>
          <w:p w:rsidR="004E7064" w:rsidRDefault="00D5601F">
            <w:pPr>
              <w:widowControl/>
              <w:spacing w:before="225" w:after="225" w:line="360" w:lineRule="atLeast"/>
              <w:jc w:val="center"/>
              <w:rPr>
                <w:rFonts w:ascii="宋体" w:eastAsia="宋体" w:hAnsi="宋体"/>
              </w:rPr>
            </w:pPr>
            <w:r>
              <w:rPr>
                <w:rFonts w:ascii="宋体" w:eastAsia="宋体" w:hAnsi="宋体" w:hint="eastAsia"/>
              </w:rPr>
              <w:t>基金名称</w:t>
            </w:r>
          </w:p>
        </w:tc>
        <w:tc>
          <w:tcPr>
            <w:tcW w:w="1368" w:type="pct"/>
            <w:tcBorders>
              <w:top w:val="outset" w:sz="6" w:space="0" w:color="auto"/>
              <w:left w:val="outset" w:sz="6" w:space="0" w:color="auto"/>
              <w:bottom w:val="outset" w:sz="6" w:space="0" w:color="auto"/>
              <w:right w:val="outset" w:sz="6" w:space="0" w:color="auto"/>
            </w:tcBorders>
            <w:vAlign w:val="center"/>
          </w:tcPr>
          <w:p w:rsidR="004E7064" w:rsidRDefault="00D5601F">
            <w:pPr>
              <w:widowControl/>
              <w:spacing w:before="225" w:after="225" w:line="360" w:lineRule="atLeast"/>
              <w:jc w:val="center"/>
              <w:rPr>
                <w:rFonts w:ascii="宋体" w:eastAsia="宋体" w:hAnsi="宋体"/>
              </w:rPr>
            </w:pPr>
            <w:r>
              <w:rPr>
                <w:rFonts w:ascii="宋体" w:eastAsia="宋体" w:hAnsi="宋体" w:hint="eastAsia"/>
              </w:rPr>
              <w:t>基金代码</w:t>
            </w:r>
          </w:p>
        </w:tc>
      </w:tr>
      <w:tr w:rsidR="004E7064">
        <w:trPr>
          <w:trHeight w:val="20"/>
          <w:tblCellSpacing w:w="0" w:type="dxa"/>
        </w:trPr>
        <w:tc>
          <w:tcPr>
            <w:tcW w:w="3631" w:type="pct"/>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jc w:val="center"/>
            </w:pPr>
            <w:r>
              <w:rPr>
                <w:rFonts w:hint="eastAsia"/>
              </w:rPr>
              <w:t>浙商大数据智选消费灵活配置混合型证券投资基金</w:t>
            </w:r>
            <w:r>
              <w:rPr>
                <w:rFonts w:hint="eastAsia"/>
              </w:rPr>
              <w:t xml:space="preserve"> A/C</w:t>
            </w:r>
          </w:p>
        </w:tc>
        <w:tc>
          <w:tcPr>
            <w:tcW w:w="1368" w:type="pct"/>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jc w:val="center"/>
            </w:pPr>
            <w:r>
              <w:rPr>
                <w:rFonts w:hint="eastAsia"/>
              </w:rPr>
              <w:t>002967/014813</w:t>
            </w:r>
          </w:p>
        </w:tc>
      </w:tr>
      <w:tr w:rsidR="004E7064">
        <w:trPr>
          <w:trHeight w:val="20"/>
          <w:tblCellSpacing w:w="0" w:type="dxa"/>
        </w:trPr>
        <w:tc>
          <w:tcPr>
            <w:tcW w:w="3631" w:type="pct"/>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jc w:val="center"/>
            </w:pPr>
            <w:r>
              <w:rPr>
                <w:rFonts w:hint="eastAsia"/>
              </w:rPr>
              <w:t>浙商丰利增强债券型证券投资基金</w:t>
            </w:r>
          </w:p>
        </w:tc>
        <w:tc>
          <w:tcPr>
            <w:tcW w:w="1368" w:type="pct"/>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jc w:val="center"/>
            </w:pPr>
            <w:r>
              <w:rPr>
                <w:rFonts w:hint="eastAsia"/>
              </w:rPr>
              <w:t>006102</w:t>
            </w:r>
          </w:p>
        </w:tc>
      </w:tr>
      <w:tr w:rsidR="004E7064">
        <w:trPr>
          <w:trHeight w:val="20"/>
          <w:tblCellSpacing w:w="0" w:type="dxa"/>
        </w:trPr>
        <w:tc>
          <w:tcPr>
            <w:tcW w:w="3631" w:type="pct"/>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jc w:val="center"/>
            </w:pPr>
            <w:r>
              <w:rPr>
                <w:rFonts w:hint="eastAsia"/>
              </w:rPr>
              <w:t>浙商港股通中华交易服务预期高股息指数增强型证券投资基金</w:t>
            </w:r>
            <w:r>
              <w:rPr>
                <w:rFonts w:hint="eastAsia"/>
              </w:rPr>
              <w:t xml:space="preserve"> A/C</w:t>
            </w:r>
          </w:p>
        </w:tc>
        <w:tc>
          <w:tcPr>
            <w:tcW w:w="1368" w:type="pct"/>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jc w:val="center"/>
            </w:pPr>
            <w:r>
              <w:rPr>
                <w:rFonts w:hint="eastAsia"/>
              </w:rPr>
              <w:t>007178/007216</w:t>
            </w:r>
          </w:p>
        </w:tc>
      </w:tr>
      <w:tr w:rsidR="004E7064">
        <w:trPr>
          <w:trHeight w:val="20"/>
          <w:tblCellSpacing w:w="0" w:type="dxa"/>
        </w:trPr>
        <w:tc>
          <w:tcPr>
            <w:tcW w:w="3631" w:type="pct"/>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jc w:val="center"/>
            </w:pPr>
            <w:r>
              <w:rPr>
                <w:rFonts w:hint="eastAsia"/>
              </w:rPr>
              <w:lastRenderedPageBreak/>
              <w:t>浙商沪港深精选混合型证券投资基金</w:t>
            </w:r>
            <w:r>
              <w:rPr>
                <w:rFonts w:hint="eastAsia"/>
              </w:rPr>
              <w:t xml:space="preserve"> A/C</w:t>
            </w:r>
          </w:p>
        </w:tc>
        <w:tc>
          <w:tcPr>
            <w:tcW w:w="1368" w:type="pct"/>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jc w:val="center"/>
            </w:pPr>
            <w:r>
              <w:rPr>
                <w:rFonts w:hint="eastAsia"/>
              </w:rPr>
              <w:t>007368/007369</w:t>
            </w:r>
          </w:p>
        </w:tc>
      </w:tr>
      <w:tr w:rsidR="004E7064">
        <w:trPr>
          <w:trHeight w:val="20"/>
          <w:tblCellSpacing w:w="0" w:type="dxa"/>
        </w:trPr>
        <w:tc>
          <w:tcPr>
            <w:tcW w:w="3631" w:type="pct"/>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jc w:val="center"/>
            </w:pPr>
            <w:r>
              <w:rPr>
                <w:rFonts w:hint="eastAsia"/>
              </w:rPr>
              <w:t>浙商聚潮产业成长混合型证券投资基金</w:t>
            </w:r>
            <w:r>
              <w:rPr>
                <w:rFonts w:hint="eastAsia"/>
              </w:rPr>
              <w:t xml:space="preserve"> A/C</w:t>
            </w:r>
          </w:p>
        </w:tc>
        <w:tc>
          <w:tcPr>
            <w:tcW w:w="1368" w:type="pct"/>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jc w:val="center"/>
            </w:pPr>
            <w:r>
              <w:rPr>
                <w:rFonts w:hint="eastAsia"/>
              </w:rPr>
              <w:t>688888/013531</w:t>
            </w:r>
          </w:p>
        </w:tc>
      </w:tr>
      <w:tr w:rsidR="004E7064">
        <w:trPr>
          <w:trHeight w:val="20"/>
          <w:tblCellSpacing w:w="0" w:type="dxa"/>
        </w:trPr>
        <w:tc>
          <w:tcPr>
            <w:tcW w:w="3631" w:type="pct"/>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jc w:val="center"/>
            </w:pPr>
            <w:r>
              <w:rPr>
                <w:rFonts w:hint="eastAsia"/>
              </w:rPr>
              <w:t>浙商科技创新一个月滚动持有混合型证券投资基金</w:t>
            </w:r>
            <w:r>
              <w:rPr>
                <w:rFonts w:hint="eastAsia"/>
              </w:rPr>
              <w:t xml:space="preserve"> A/C</w:t>
            </w:r>
          </w:p>
        </w:tc>
        <w:tc>
          <w:tcPr>
            <w:tcW w:w="1368" w:type="pct"/>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jc w:val="center"/>
            </w:pPr>
            <w:r>
              <w:rPr>
                <w:rFonts w:hint="eastAsia"/>
              </w:rPr>
              <w:t>009353/009354</w:t>
            </w:r>
          </w:p>
        </w:tc>
      </w:tr>
      <w:tr w:rsidR="004E7064">
        <w:trPr>
          <w:trHeight w:val="20"/>
          <w:tblCellSpacing w:w="0" w:type="dxa"/>
        </w:trPr>
        <w:tc>
          <w:tcPr>
            <w:tcW w:w="3631" w:type="pct"/>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line="360" w:lineRule="atLeast"/>
              <w:jc w:val="center"/>
            </w:pPr>
            <w:r>
              <w:rPr>
                <w:rFonts w:hint="eastAsia"/>
              </w:rPr>
              <w:t>浙商全景消费混合型证券投资基金</w:t>
            </w:r>
            <w:r>
              <w:rPr>
                <w:rFonts w:hint="eastAsia"/>
              </w:rPr>
              <w:t>A/C</w:t>
            </w:r>
          </w:p>
        </w:tc>
        <w:tc>
          <w:tcPr>
            <w:tcW w:w="1368" w:type="pct"/>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line="360" w:lineRule="atLeast"/>
              <w:jc w:val="center"/>
            </w:pPr>
            <w:r>
              <w:rPr>
                <w:rFonts w:hint="eastAsia"/>
              </w:rPr>
              <w:t>005335/014373</w:t>
            </w:r>
          </w:p>
        </w:tc>
      </w:tr>
      <w:tr w:rsidR="004E7064">
        <w:trPr>
          <w:trHeight w:val="20"/>
          <w:tblCellSpacing w:w="0" w:type="dxa"/>
        </w:trPr>
        <w:tc>
          <w:tcPr>
            <w:tcW w:w="3631" w:type="pct"/>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line="360" w:lineRule="atLeast"/>
              <w:jc w:val="center"/>
            </w:pPr>
            <w:r>
              <w:rPr>
                <w:rFonts w:hint="eastAsia"/>
              </w:rPr>
              <w:t>浙商智多金稳健一年持有期混合型证券投资基金</w:t>
            </w:r>
            <w:r>
              <w:rPr>
                <w:rFonts w:hint="eastAsia"/>
              </w:rPr>
              <w:t>A/C</w:t>
            </w:r>
          </w:p>
        </w:tc>
        <w:tc>
          <w:tcPr>
            <w:tcW w:w="1368" w:type="pct"/>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line="360" w:lineRule="atLeast"/>
              <w:jc w:val="center"/>
            </w:pPr>
            <w:r>
              <w:rPr>
                <w:rFonts w:hint="eastAsia"/>
              </w:rPr>
              <w:t>010539/010540</w:t>
            </w:r>
          </w:p>
        </w:tc>
      </w:tr>
      <w:tr w:rsidR="004E7064">
        <w:trPr>
          <w:trHeight w:val="20"/>
          <w:tblCellSpacing w:w="0" w:type="dxa"/>
        </w:trPr>
        <w:tc>
          <w:tcPr>
            <w:tcW w:w="3631" w:type="pct"/>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line="360" w:lineRule="atLeast"/>
              <w:jc w:val="center"/>
            </w:pPr>
            <w:r>
              <w:rPr>
                <w:rFonts w:hint="eastAsia"/>
              </w:rPr>
              <w:t>浙商智多盈债券型证券投资基金</w:t>
            </w:r>
            <w:r>
              <w:rPr>
                <w:rFonts w:hint="eastAsia"/>
              </w:rPr>
              <w:t>A/C</w:t>
            </w:r>
          </w:p>
        </w:tc>
        <w:tc>
          <w:tcPr>
            <w:tcW w:w="1368" w:type="pct"/>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line="360" w:lineRule="atLeast"/>
              <w:jc w:val="center"/>
            </w:pPr>
            <w:r>
              <w:rPr>
                <w:rFonts w:hint="eastAsia"/>
              </w:rPr>
              <w:t>013231/013232</w:t>
            </w:r>
          </w:p>
        </w:tc>
      </w:tr>
      <w:tr w:rsidR="004E7064">
        <w:trPr>
          <w:trHeight w:val="20"/>
          <w:tblCellSpacing w:w="0" w:type="dxa"/>
        </w:trPr>
        <w:tc>
          <w:tcPr>
            <w:tcW w:w="3631" w:type="pct"/>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line="360" w:lineRule="atLeast"/>
              <w:jc w:val="center"/>
              <w:rPr>
                <w:rFonts w:eastAsia="宋体"/>
              </w:rPr>
            </w:pPr>
            <w:r>
              <w:rPr>
                <w:rFonts w:hint="eastAsia"/>
              </w:rPr>
              <w:t>浙商智能行业优选混合型发起式证券投资基金</w:t>
            </w:r>
            <w:r>
              <w:rPr>
                <w:rFonts w:hint="eastAsia"/>
              </w:rPr>
              <w:t>A/C</w:t>
            </w:r>
          </w:p>
        </w:tc>
        <w:tc>
          <w:tcPr>
            <w:tcW w:w="1368" w:type="pct"/>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line="360" w:lineRule="atLeast"/>
              <w:jc w:val="center"/>
              <w:rPr>
                <w:rFonts w:eastAsia="宋体"/>
              </w:rPr>
            </w:pPr>
            <w:r>
              <w:rPr>
                <w:rFonts w:hint="eastAsia"/>
              </w:rPr>
              <w:t>007177/007217</w:t>
            </w:r>
          </w:p>
        </w:tc>
      </w:tr>
      <w:tr w:rsidR="004E7064">
        <w:trPr>
          <w:trHeight w:val="20"/>
          <w:tblCellSpacing w:w="0" w:type="dxa"/>
        </w:trPr>
        <w:tc>
          <w:tcPr>
            <w:tcW w:w="6111" w:type="dxa"/>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line="360" w:lineRule="atLeast"/>
              <w:jc w:val="center"/>
            </w:pPr>
            <w:r>
              <w:rPr>
                <w:rFonts w:hint="eastAsia"/>
              </w:rPr>
              <w:t>浙商智选价值混合型证券投资基金</w:t>
            </w:r>
            <w:r>
              <w:rPr>
                <w:rFonts w:hint="eastAsia"/>
              </w:rPr>
              <w:t>A/C</w:t>
            </w:r>
          </w:p>
        </w:tc>
        <w:tc>
          <w:tcPr>
            <w:tcW w:w="2302" w:type="dxa"/>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line="360" w:lineRule="atLeast"/>
              <w:jc w:val="center"/>
            </w:pPr>
            <w:r>
              <w:rPr>
                <w:rFonts w:hint="eastAsia"/>
              </w:rPr>
              <w:t>010381/010382</w:t>
            </w:r>
          </w:p>
        </w:tc>
      </w:tr>
      <w:tr w:rsidR="004E7064">
        <w:trPr>
          <w:trHeight w:val="20"/>
          <w:tblCellSpacing w:w="0" w:type="dxa"/>
        </w:trPr>
        <w:tc>
          <w:tcPr>
            <w:tcW w:w="6111" w:type="dxa"/>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line="360" w:lineRule="atLeast"/>
              <w:jc w:val="center"/>
            </w:pPr>
            <w:r>
              <w:rPr>
                <w:rFonts w:hint="eastAsia"/>
              </w:rPr>
              <w:t>浙商智选经济动能混合型证券投资基金</w:t>
            </w:r>
            <w:r>
              <w:rPr>
                <w:rFonts w:hint="eastAsia"/>
              </w:rPr>
              <w:t>A/C</w:t>
            </w:r>
          </w:p>
        </w:tc>
        <w:tc>
          <w:tcPr>
            <w:tcW w:w="2302" w:type="dxa"/>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line="360" w:lineRule="atLeast"/>
              <w:jc w:val="center"/>
            </w:pPr>
            <w:r>
              <w:rPr>
                <w:rFonts w:hint="eastAsia"/>
              </w:rPr>
              <w:t>010148/010149</w:t>
            </w:r>
          </w:p>
        </w:tc>
      </w:tr>
      <w:tr w:rsidR="004E7064">
        <w:trPr>
          <w:trHeight w:val="20"/>
          <w:tblCellSpacing w:w="0" w:type="dxa"/>
        </w:trPr>
        <w:tc>
          <w:tcPr>
            <w:tcW w:w="6111" w:type="dxa"/>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line="360" w:lineRule="atLeast"/>
              <w:jc w:val="center"/>
            </w:pPr>
            <w:r>
              <w:rPr>
                <w:rFonts w:hint="eastAsia"/>
              </w:rPr>
              <w:t>浙商智选领航三年持有期混合型证券投资基金</w:t>
            </w:r>
            <w:r>
              <w:rPr>
                <w:rFonts w:hint="eastAsia"/>
              </w:rPr>
              <w:t>A/C</w:t>
            </w:r>
          </w:p>
        </w:tc>
        <w:tc>
          <w:tcPr>
            <w:tcW w:w="2302" w:type="dxa"/>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line="360" w:lineRule="atLeast"/>
              <w:jc w:val="center"/>
            </w:pPr>
            <w:r>
              <w:rPr>
                <w:rFonts w:hint="eastAsia"/>
              </w:rPr>
              <w:t>010552/010553</w:t>
            </w:r>
          </w:p>
        </w:tc>
      </w:tr>
      <w:tr w:rsidR="004E7064">
        <w:trPr>
          <w:trHeight w:val="20"/>
          <w:tblCellSpacing w:w="0" w:type="dxa"/>
        </w:trPr>
        <w:tc>
          <w:tcPr>
            <w:tcW w:w="6111" w:type="dxa"/>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line="360" w:lineRule="atLeast"/>
              <w:jc w:val="center"/>
            </w:pPr>
            <w:r>
              <w:rPr>
                <w:rFonts w:hint="eastAsia"/>
              </w:rPr>
              <w:t>浙商智选先锋一年持有期混合型证券投资基金</w:t>
            </w:r>
            <w:r>
              <w:rPr>
                <w:rFonts w:hint="eastAsia"/>
              </w:rPr>
              <w:t>A/C</w:t>
            </w:r>
          </w:p>
        </w:tc>
        <w:tc>
          <w:tcPr>
            <w:tcW w:w="2302" w:type="dxa"/>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line="360" w:lineRule="atLeast"/>
              <w:jc w:val="center"/>
            </w:pPr>
            <w:r>
              <w:rPr>
                <w:rFonts w:hint="eastAsia"/>
              </w:rPr>
              <w:t>010876/010877</w:t>
            </w:r>
          </w:p>
        </w:tc>
      </w:tr>
      <w:tr w:rsidR="004E7064">
        <w:trPr>
          <w:trHeight w:val="20"/>
          <w:tblCellSpacing w:w="0" w:type="dxa"/>
        </w:trPr>
        <w:tc>
          <w:tcPr>
            <w:tcW w:w="6111" w:type="dxa"/>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line="360" w:lineRule="atLeast"/>
              <w:jc w:val="center"/>
            </w:pPr>
            <w:r>
              <w:rPr>
                <w:rFonts w:hint="eastAsia"/>
              </w:rPr>
              <w:t>浙商智选新兴产业混合型证券投资基金</w:t>
            </w:r>
            <w:r>
              <w:rPr>
                <w:rFonts w:hint="eastAsia"/>
              </w:rPr>
              <w:t>A/C</w:t>
            </w:r>
          </w:p>
        </w:tc>
        <w:tc>
          <w:tcPr>
            <w:tcW w:w="2302" w:type="dxa"/>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line="360" w:lineRule="atLeast"/>
              <w:jc w:val="center"/>
            </w:pPr>
            <w:r>
              <w:rPr>
                <w:rFonts w:hint="eastAsia"/>
              </w:rPr>
              <w:t>015373/015374</w:t>
            </w:r>
          </w:p>
        </w:tc>
      </w:tr>
      <w:tr w:rsidR="004E7064">
        <w:trPr>
          <w:trHeight w:val="20"/>
          <w:tblCellSpacing w:w="0" w:type="dxa"/>
        </w:trPr>
        <w:tc>
          <w:tcPr>
            <w:tcW w:w="6111" w:type="dxa"/>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line="360" w:lineRule="atLeast"/>
              <w:jc w:val="center"/>
            </w:pPr>
            <w:r>
              <w:rPr>
                <w:rFonts w:hint="eastAsia"/>
              </w:rPr>
              <w:lastRenderedPageBreak/>
              <w:t>浙商中证</w:t>
            </w:r>
            <w:r>
              <w:rPr>
                <w:rFonts w:hint="eastAsia"/>
              </w:rPr>
              <w:t>1000</w:t>
            </w:r>
            <w:r>
              <w:rPr>
                <w:rFonts w:hint="eastAsia"/>
              </w:rPr>
              <w:t>指数增强型证券投资基金</w:t>
            </w:r>
            <w:r>
              <w:rPr>
                <w:rFonts w:hint="eastAsia"/>
              </w:rPr>
              <w:t>A/C</w:t>
            </w:r>
          </w:p>
        </w:tc>
        <w:tc>
          <w:tcPr>
            <w:tcW w:w="2302" w:type="dxa"/>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line="360" w:lineRule="atLeast"/>
              <w:jc w:val="center"/>
            </w:pPr>
            <w:r>
              <w:rPr>
                <w:rFonts w:hint="eastAsia"/>
              </w:rPr>
              <w:t>018233/018234</w:t>
            </w:r>
          </w:p>
        </w:tc>
      </w:tr>
      <w:tr w:rsidR="004E7064">
        <w:trPr>
          <w:trHeight w:val="20"/>
          <w:tblCellSpacing w:w="0" w:type="dxa"/>
        </w:trPr>
        <w:tc>
          <w:tcPr>
            <w:tcW w:w="6111" w:type="dxa"/>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line="360" w:lineRule="atLeast"/>
              <w:jc w:val="center"/>
            </w:pPr>
            <w:r>
              <w:rPr>
                <w:rFonts w:hint="eastAsia"/>
              </w:rPr>
              <w:t>浙商中证</w:t>
            </w:r>
            <w:r>
              <w:rPr>
                <w:rFonts w:hint="eastAsia"/>
              </w:rPr>
              <w:t>500</w:t>
            </w:r>
            <w:r>
              <w:rPr>
                <w:rFonts w:hint="eastAsia"/>
              </w:rPr>
              <w:t>指数增强型证券投资基金</w:t>
            </w:r>
            <w:r>
              <w:rPr>
                <w:rFonts w:hint="eastAsia"/>
              </w:rPr>
              <w:t>A/C</w:t>
            </w:r>
          </w:p>
        </w:tc>
        <w:tc>
          <w:tcPr>
            <w:tcW w:w="2302" w:type="dxa"/>
            <w:tcBorders>
              <w:top w:val="outset" w:sz="6" w:space="0" w:color="auto"/>
              <w:left w:val="outset" w:sz="6" w:space="0" w:color="auto"/>
              <w:bottom w:val="outset" w:sz="6" w:space="0" w:color="auto"/>
              <w:right w:val="outset" w:sz="6" w:space="0" w:color="auto"/>
            </w:tcBorders>
            <w:shd w:val="clear" w:color="auto" w:fill="auto"/>
          </w:tcPr>
          <w:p w:rsidR="004E7064" w:rsidRDefault="00D5601F">
            <w:pPr>
              <w:widowControl/>
              <w:spacing w:before="225" w:after="225" w:line="360" w:lineRule="atLeast"/>
              <w:jc w:val="center"/>
            </w:pPr>
            <w:r>
              <w:rPr>
                <w:rFonts w:hint="eastAsia"/>
              </w:rPr>
              <w:t>002076/007386</w:t>
            </w:r>
          </w:p>
        </w:tc>
      </w:tr>
    </w:tbl>
    <w:p w:rsidR="004E7064" w:rsidRDefault="00D5601F">
      <w:pPr>
        <w:pStyle w:val="a7"/>
        <w:spacing w:line="390" w:lineRule="atLeast"/>
        <w:ind w:firstLineChars="200" w:firstLine="420"/>
        <w:rPr>
          <w:sz w:val="21"/>
          <w:szCs w:val="21"/>
        </w:rPr>
      </w:pPr>
      <w:r>
        <w:rPr>
          <w:rFonts w:hint="eastAsia"/>
          <w:sz w:val="21"/>
          <w:szCs w:val="21"/>
        </w:rPr>
        <w:t>注：</w:t>
      </w:r>
      <w:r>
        <w:rPr>
          <w:rFonts w:hint="eastAsia"/>
          <w:sz w:val="21"/>
          <w:szCs w:val="21"/>
        </w:rPr>
        <w:t>A</w:t>
      </w:r>
      <w:r>
        <w:rPr>
          <w:sz w:val="21"/>
          <w:szCs w:val="21"/>
        </w:rPr>
        <w:t>/C</w:t>
      </w:r>
      <w:r>
        <w:rPr>
          <w:rFonts w:hint="eastAsia"/>
          <w:sz w:val="21"/>
          <w:szCs w:val="21"/>
        </w:rPr>
        <w:t>份额间</w:t>
      </w:r>
      <w:r>
        <w:rPr>
          <w:sz w:val="21"/>
          <w:szCs w:val="21"/>
        </w:rPr>
        <w:t>不能互相转换。</w:t>
      </w:r>
    </w:p>
    <w:p w:rsidR="004E7064" w:rsidRDefault="004E7064">
      <w:pPr>
        <w:spacing w:line="360" w:lineRule="auto"/>
        <w:ind w:firstLineChars="200" w:firstLine="420"/>
        <w:rPr>
          <w:rFonts w:ascii="宋体" w:eastAsia="宋体" w:hAnsi="宋体"/>
        </w:rPr>
      </w:pPr>
    </w:p>
    <w:p w:rsidR="004E7064" w:rsidRDefault="00D5601F">
      <w:pPr>
        <w:spacing w:line="360" w:lineRule="auto"/>
        <w:ind w:firstLineChars="200" w:firstLine="420"/>
        <w:rPr>
          <w:rFonts w:ascii="宋体" w:eastAsia="宋体" w:hAnsi="宋体"/>
        </w:rPr>
      </w:pPr>
      <w:r>
        <w:rPr>
          <w:rFonts w:ascii="宋体" w:eastAsia="宋体" w:hAnsi="宋体" w:hint="eastAsia"/>
        </w:rPr>
        <w:t>二、投资者可以通过以下途径咨询有关详情</w:t>
      </w:r>
    </w:p>
    <w:p w:rsidR="004E7064" w:rsidRDefault="00D5601F">
      <w:pPr>
        <w:spacing w:line="360" w:lineRule="auto"/>
        <w:ind w:firstLineChars="200" w:firstLine="420"/>
        <w:rPr>
          <w:rFonts w:ascii="宋体" w:eastAsia="宋体" w:hAnsi="宋体"/>
        </w:rPr>
      </w:pPr>
      <w:r>
        <w:rPr>
          <w:rFonts w:ascii="宋体" w:eastAsia="宋体" w:hAnsi="宋体" w:hint="eastAsia"/>
        </w:rPr>
        <w:t>1</w:t>
      </w:r>
      <w:r>
        <w:rPr>
          <w:rFonts w:ascii="宋体" w:eastAsia="宋体" w:hAnsi="宋体" w:hint="eastAsia"/>
        </w:rPr>
        <w:t>、招商银行股份有限公司</w:t>
      </w:r>
    </w:p>
    <w:p w:rsidR="004E7064" w:rsidRDefault="00D5601F">
      <w:pPr>
        <w:spacing w:line="360" w:lineRule="auto"/>
        <w:ind w:firstLineChars="200" w:firstLine="420"/>
        <w:rPr>
          <w:rFonts w:ascii="宋体" w:eastAsia="宋体" w:hAnsi="宋体"/>
        </w:rPr>
      </w:pPr>
      <w:r>
        <w:rPr>
          <w:rFonts w:ascii="宋体" w:eastAsia="宋体" w:hAnsi="宋体" w:hint="eastAsia"/>
        </w:rPr>
        <w:t>网址：</w:t>
      </w:r>
      <w:r>
        <w:rPr>
          <w:rFonts w:ascii="宋体" w:eastAsia="宋体" w:hAnsi="宋体" w:hint="eastAsia"/>
        </w:rPr>
        <w:t>http://www.cmbchina.com</w:t>
      </w:r>
    </w:p>
    <w:p w:rsidR="004E7064" w:rsidRDefault="00D5601F">
      <w:pPr>
        <w:spacing w:line="360" w:lineRule="auto"/>
        <w:ind w:firstLineChars="200" w:firstLine="420"/>
        <w:rPr>
          <w:rFonts w:ascii="宋体" w:eastAsia="宋体" w:hAnsi="宋体"/>
        </w:rPr>
      </w:pPr>
      <w:r>
        <w:rPr>
          <w:rFonts w:ascii="宋体" w:eastAsia="宋体" w:hAnsi="宋体" w:hint="eastAsia"/>
        </w:rPr>
        <w:t>客户服务电话：</w:t>
      </w:r>
      <w:r>
        <w:rPr>
          <w:rFonts w:ascii="宋体" w:eastAsia="宋体" w:hAnsi="宋体" w:hint="eastAsia"/>
        </w:rPr>
        <w:t>95555</w:t>
      </w:r>
    </w:p>
    <w:p w:rsidR="004E7064" w:rsidRDefault="00D5601F">
      <w:pPr>
        <w:spacing w:line="360" w:lineRule="auto"/>
        <w:ind w:firstLineChars="200" w:firstLine="420"/>
        <w:rPr>
          <w:rFonts w:ascii="宋体" w:eastAsia="宋体" w:hAnsi="宋体"/>
        </w:rPr>
      </w:pPr>
      <w:r>
        <w:rPr>
          <w:rFonts w:ascii="宋体" w:eastAsia="宋体" w:hAnsi="宋体"/>
        </w:rPr>
        <w:t>2</w:t>
      </w:r>
      <w:r>
        <w:rPr>
          <w:rFonts w:ascii="宋体" w:eastAsia="宋体" w:hAnsi="宋体"/>
        </w:rPr>
        <w:t>、浙商基金管理有限公司</w:t>
      </w:r>
    </w:p>
    <w:p w:rsidR="004E7064" w:rsidRDefault="00D5601F">
      <w:pPr>
        <w:spacing w:line="360" w:lineRule="auto"/>
        <w:ind w:firstLineChars="200" w:firstLine="420"/>
        <w:rPr>
          <w:rFonts w:ascii="宋体" w:eastAsia="宋体" w:hAnsi="宋体"/>
        </w:rPr>
      </w:pPr>
      <w:r>
        <w:rPr>
          <w:rFonts w:ascii="宋体" w:eastAsia="宋体" w:hAnsi="宋体" w:hint="eastAsia"/>
        </w:rPr>
        <w:t>网址：</w:t>
      </w:r>
      <w:r>
        <w:rPr>
          <w:rFonts w:ascii="宋体" w:eastAsia="宋体" w:hAnsi="宋体"/>
        </w:rPr>
        <w:t>www.</w:t>
      </w:r>
      <w:r>
        <w:rPr>
          <w:rFonts w:ascii="宋体" w:eastAsia="宋体" w:hAnsi="宋体" w:hint="eastAsia"/>
        </w:rPr>
        <w:t>zsfund</w:t>
      </w:r>
      <w:r>
        <w:rPr>
          <w:rFonts w:ascii="宋体" w:eastAsia="宋体" w:hAnsi="宋体"/>
        </w:rPr>
        <w:t>.com</w:t>
      </w:r>
    </w:p>
    <w:p w:rsidR="004E7064" w:rsidRDefault="00D5601F">
      <w:pPr>
        <w:spacing w:line="360" w:lineRule="auto"/>
        <w:ind w:firstLineChars="200" w:firstLine="420"/>
        <w:rPr>
          <w:rFonts w:ascii="宋体" w:eastAsia="宋体" w:hAnsi="宋体"/>
        </w:rPr>
      </w:pPr>
      <w:r>
        <w:rPr>
          <w:rFonts w:ascii="宋体" w:eastAsia="宋体" w:hAnsi="宋体" w:hint="eastAsia"/>
        </w:rPr>
        <w:t>客户服务电话：</w:t>
      </w:r>
      <w:r>
        <w:rPr>
          <w:rFonts w:ascii="宋体" w:eastAsia="宋体" w:hAnsi="宋体"/>
        </w:rPr>
        <w:t>400-067-9908</w:t>
      </w:r>
    </w:p>
    <w:p w:rsidR="004E7064" w:rsidRDefault="004E7064">
      <w:pPr>
        <w:spacing w:line="360" w:lineRule="auto"/>
        <w:ind w:firstLineChars="200" w:firstLine="420"/>
        <w:rPr>
          <w:rFonts w:ascii="宋体" w:eastAsia="宋体" w:hAnsi="宋体"/>
        </w:rPr>
      </w:pPr>
    </w:p>
    <w:p w:rsidR="004E7064" w:rsidRDefault="00D5601F">
      <w:pPr>
        <w:pStyle w:val="a7"/>
        <w:spacing w:line="390" w:lineRule="atLeast"/>
        <w:rPr>
          <w:rFonts w:cs="Times New Roman"/>
          <w:kern w:val="2"/>
          <w:sz w:val="21"/>
          <w:szCs w:val="21"/>
        </w:rPr>
      </w:pPr>
      <w:r>
        <w:rPr>
          <w:rFonts w:cs="Times New Roman" w:hint="eastAsia"/>
          <w:kern w:val="2"/>
          <w:sz w:val="21"/>
          <w:szCs w:val="21"/>
        </w:rPr>
        <w:t>三</w:t>
      </w:r>
      <w:r>
        <w:rPr>
          <w:rFonts w:cs="Times New Roman"/>
          <w:kern w:val="2"/>
          <w:sz w:val="21"/>
          <w:szCs w:val="21"/>
        </w:rPr>
        <w:t>、</w:t>
      </w:r>
      <w:r>
        <w:rPr>
          <w:rFonts w:cs="Times New Roman" w:hint="eastAsia"/>
          <w:kern w:val="2"/>
          <w:sz w:val="21"/>
          <w:szCs w:val="21"/>
        </w:rPr>
        <w:t>风险提示</w:t>
      </w:r>
    </w:p>
    <w:p w:rsidR="004E7064" w:rsidRDefault="00D5601F">
      <w:pPr>
        <w:pStyle w:val="a7"/>
        <w:spacing w:line="390" w:lineRule="atLeast"/>
        <w:ind w:firstLineChars="200" w:firstLine="420"/>
        <w:rPr>
          <w:sz w:val="21"/>
          <w:szCs w:val="21"/>
        </w:rPr>
      </w:pPr>
      <w:r>
        <w:rPr>
          <w:rFonts w:hint="eastAsia"/>
          <w:sz w:val="21"/>
          <w:szCs w:val="21"/>
        </w:rPr>
        <w:t>1</w:t>
      </w:r>
      <w:r>
        <w:rPr>
          <w:rFonts w:hint="eastAsia"/>
          <w:sz w:val="21"/>
          <w:szCs w:val="21"/>
        </w:rPr>
        <w:t>、基金管理人依照恪尽职守、诚实信用、谨慎勤勉的原则管理和运用基金财产，但不保证基金一定盈利，也不保证最低收益。基金管理人提醒投资者基金投资的“买者自负”原则，在做出投资决策后，基金运营状况与基金净值变化引致的投资风险，由投资者自行承担。投资有风险，选择须谨慎。敬请投资者于投资前认真阅读各基金的基金合同、最新招募说明书及其他法律文件。</w:t>
      </w:r>
    </w:p>
    <w:p w:rsidR="004E7064" w:rsidRDefault="00D5601F">
      <w:pPr>
        <w:pStyle w:val="a7"/>
        <w:spacing w:line="390" w:lineRule="atLeast"/>
        <w:ind w:firstLineChars="200" w:firstLine="420"/>
        <w:rPr>
          <w:sz w:val="21"/>
          <w:szCs w:val="21"/>
        </w:rPr>
      </w:pPr>
      <w:r>
        <w:rPr>
          <w:rFonts w:hint="eastAsia"/>
          <w:sz w:val="21"/>
          <w:szCs w:val="21"/>
        </w:rPr>
        <w:t>2</w:t>
      </w:r>
      <w:r>
        <w:rPr>
          <w:rFonts w:hint="eastAsia"/>
          <w:sz w:val="21"/>
          <w:szCs w:val="21"/>
        </w:rPr>
        <w:t>、投资者应当充分了解基金定投和零存整取等储蓄方式的区别。定投是引导投资者进行长期投资、平均投资成本的一种简单易行的投资方式，但是其并不能规避基金投资所固有的风险，不能保证投</w:t>
      </w:r>
      <w:r>
        <w:rPr>
          <w:rFonts w:hint="eastAsia"/>
          <w:sz w:val="21"/>
          <w:szCs w:val="21"/>
        </w:rPr>
        <w:t>资者获得收益，也不是替代储蓄的等效理财方式。</w:t>
      </w:r>
    </w:p>
    <w:p w:rsidR="004E7064" w:rsidRDefault="00D5601F">
      <w:pPr>
        <w:pStyle w:val="a7"/>
        <w:spacing w:line="390" w:lineRule="atLeast"/>
        <w:ind w:firstLineChars="200" w:firstLine="420"/>
        <w:rPr>
          <w:sz w:val="21"/>
          <w:szCs w:val="21"/>
        </w:rPr>
      </w:pPr>
      <w:r>
        <w:rPr>
          <w:sz w:val="21"/>
          <w:szCs w:val="21"/>
        </w:rPr>
        <w:t>3</w:t>
      </w:r>
      <w:r>
        <w:rPr>
          <w:sz w:val="21"/>
          <w:szCs w:val="21"/>
        </w:rPr>
        <w:t>、优惠活动的折扣费率由</w:t>
      </w:r>
      <w:r>
        <w:rPr>
          <w:rFonts w:hint="eastAsia"/>
          <w:sz w:val="21"/>
          <w:szCs w:val="21"/>
        </w:rPr>
        <w:t>招商银行</w:t>
      </w:r>
      <w:r>
        <w:rPr>
          <w:sz w:val="21"/>
          <w:szCs w:val="21"/>
        </w:rPr>
        <w:t>决定和执行，本公司根据</w:t>
      </w:r>
      <w:r>
        <w:rPr>
          <w:rFonts w:hint="eastAsia"/>
          <w:sz w:val="21"/>
          <w:szCs w:val="21"/>
        </w:rPr>
        <w:t>招商银行</w:t>
      </w:r>
      <w:r>
        <w:rPr>
          <w:sz w:val="21"/>
          <w:szCs w:val="21"/>
        </w:rPr>
        <w:t>提供的折扣费率办理。本优惠活动解释权归</w:t>
      </w:r>
      <w:r>
        <w:rPr>
          <w:rFonts w:hint="eastAsia"/>
          <w:sz w:val="21"/>
          <w:szCs w:val="21"/>
        </w:rPr>
        <w:t>招商银行</w:t>
      </w:r>
      <w:r>
        <w:rPr>
          <w:sz w:val="21"/>
          <w:szCs w:val="21"/>
        </w:rPr>
        <w:t>所有，</w:t>
      </w:r>
      <w:r>
        <w:rPr>
          <w:rFonts w:hint="eastAsia"/>
          <w:sz w:val="21"/>
          <w:szCs w:val="21"/>
        </w:rPr>
        <w:t>招商银行</w:t>
      </w:r>
      <w:r>
        <w:rPr>
          <w:sz w:val="21"/>
          <w:szCs w:val="21"/>
        </w:rPr>
        <w:t>有权对上述优惠活动内容进行变更，本公司不再另行公告。有关优惠活动具体事宜，请咨询</w:t>
      </w:r>
      <w:r>
        <w:rPr>
          <w:rFonts w:hint="eastAsia"/>
          <w:sz w:val="21"/>
          <w:szCs w:val="21"/>
        </w:rPr>
        <w:t>招商银行</w:t>
      </w:r>
      <w:r>
        <w:rPr>
          <w:sz w:val="21"/>
          <w:szCs w:val="21"/>
        </w:rPr>
        <w:t>。</w:t>
      </w:r>
    </w:p>
    <w:p w:rsidR="004E7064" w:rsidRDefault="00D5601F">
      <w:pPr>
        <w:pStyle w:val="a7"/>
        <w:spacing w:line="390" w:lineRule="atLeast"/>
        <w:ind w:firstLineChars="200" w:firstLine="420"/>
        <w:rPr>
          <w:sz w:val="21"/>
          <w:szCs w:val="21"/>
        </w:rPr>
      </w:pPr>
      <w:r>
        <w:rPr>
          <w:sz w:val="21"/>
          <w:szCs w:val="21"/>
        </w:rPr>
        <w:t>4</w:t>
      </w:r>
      <w:r>
        <w:rPr>
          <w:sz w:val="21"/>
          <w:szCs w:val="21"/>
        </w:rPr>
        <w:t>、投资者欲了解本公司基金的详细情况，请仔细阅读刊登于本公司网站（</w:t>
      </w:r>
      <w:r>
        <w:rPr>
          <w:sz w:val="21"/>
          <w:szCs w:val="21"/>
        </w:rPr>
        <w:t>www.zsfund.com</w:t>
      </w:r>
      <w:r>
        <w:rPr>
          <w:sz w:val="21"/>
          <w:szCs w:val="21"/>
        </w:rPr>
        <w:t>）的相应基金《基金合同》、《招募说明书》等法律文件，以及相关业务公告。</w:t>
      </w:r>
    </w:p>
    <w:p w:rsidR="004E7064" w:rsidRDefault="00D5601F" w:rsidP="00D5601F">
      <w:pPr>
        <w:pStyle w:val="a7"/>
        <w:spacing w:line="390" w:lineRule="atLeast"/>
        <w:ind w:firstLineChars="228" w:firstLine="479"/>
        <w:rPr>
          <w:sz w:val="21"/>
          <w:szCs w:val="21"/>
        </w:rPr>
        <w:pPrChange w:id="1" w:author="ZHONGM" w:date="2024-12-27T00:05:00Z">
          <w:pPr>
            <w:pStyle w:val="a7"/>
            <w:spacing w:line="390" w:lineRule="atLeast"/>
            <w:ind w:firstLineChars="228" w:firstLine="479"/>
          </w:pPr>
        </w:pPrChange>
      </w:pPr>
      <w:r>
        <w:rPr>
          <w:rFonts w:hint="eastAsia"/>
          <w:sz w:val="21"/>
          <w:szCs w:val="21"/>
        </w:rPr>
        <w:t>特此公告。</w:t>
      </w:r>
    </w:p>
    <w:p w:rsidR="004E7064" w:rsidRDefault="004E7064">
      <w:pPr>
        <w:adjustRightInd w:val="0"/>
        <w:snapToGrid w:val="0"/>
        <w:spacing w:line="360" w:lineRule="auto"/>
        <w:jc w:val="right"/>
        <w:rPr>
          <w:rFonts w:ascii="宋体" w:eastAsia="宋体" w:hAnsi="宋体" w:cs="宋体"/>
          <w:kern w:val="0"/>
          <w:szCs w:val="21"/>
        </w:rPr>
      </w:pPr>
    </w:p>
    <w:p w:rsidR="004E7064" w:rsidRDefault="00D5601F">
      <w:pPr>
        <w:adjustRightInd w:val="0"/>
        <w:snapToGrid w:val="0"/>
        <w:spacing w:line="360" w:lineRule="auto"/>
        <w:jc w:val="right"/>
        <w:rPr>
          <w:rFonts w:ascii="宋体" w:eastAsia="宋体" w:hAnsi="宋体" w:cs="宋体"/>
          <w:kern w:val="0"/>
          <w:szCs w:val="21"/>
        </w:rPr>
      </w:pPr>
      <w:r>
        <w:rPr>
          <w:rFonts w:ascii="宋体" w:eastAsia="宋体" w:hAnsi="宋体" w:cs="宋体" w:hint="eastAsia"/>
          <w:kern w:val="0"/>
          <w:szCs w:val="21"/>
        </w:rPr>
        <w:t>浙商基金管理有限公司</w:t>
      </w:r>
    </w:p>
    <w:p w:rsidR="004E7064" w:rsidRDefault="00D5601F">
      <w:pPr>
        <w:adjustRightInd w:val="0"/>
        <w:snapToGrid w:val="0"/>
        <w:spacing w:line="360" w:lineRule="auto"/>
        <w:jc w:val="right"/>
        <w:rPr>
          <w:rFonts w:ascii="宋体" w:eastAsia="宋体" w:hAnsi="宋体" w:cs="宋体"/>
          <w:kern w:val="0"/>
          <w:szCs w:val="21"/>
        </w:rPr>
      </w:pPr>
      <w:r>
        <w:rPr>
          <w:rFonts w:ascii="宋体" w:eastAsia="宋体" w:hAnsi="宋体" w:cs="宋体" w:hint="eastAsia"/>
          <w:kern w:val="0"/>
          <w:szCs w:val="21"/>
        </w:rPr>
        <w:t>2024</w:t>
      </w:r>
      <w:r>
        <w:rPr>
          <w:rFonts w:ascii="宋体" w:eastAsia="宋体" w:hAnsi="宋体" w:cs="宋体" w:hint="eastAsia"/>
          <w:kern w:val="0"/>
          <w:szCs w:val="21"/>
        </w:rPr>
        <w:t>年</w:t>
      </w:r>
      <w:r>
        <w:rPr>
          <w:rFonts w:ascii="宋体" w:eastAsia="宋体" w:hAnsi="宋体" w:cs="宋体" w:hint="eastAsia"/>
          <w:kern w:val="0"/>
          <w:szCs w:val="21"/>
        </w:rPr>
        <w:t>12</w:t>
      </w:r>
      <w:r>
        <w:rPr>
          <w:rFonts w:ascii="宋体" w:eastAsia="宋体" w:hAnsi="宋体" w:cs="宋体" w:hint="eastAsia"/>
          <w:kern w:val="0"/>
          <w:szCs w:val="21"/>
        </w:rPr>
        <w:t>月</w:t>
      </w:r>
      <w:r>
        <w:rPr>
          <w:rFonts w:ascii="宋体" w:eastAsia="宋体" w:hAnsi="宋体" w:cs="宋体" w:hint="eastAsia"/>
          <w:kern w:val="0"/>
          <w:szCs w:val="21"/>
        </w:rPr>
        <w:t>27</w:t>
      </w:r>
      <w:r>
        <w:rPr>
          <w:rFonts w:ascii="宋体" w:eastAsia="宋体" w:hAnsi="宋体" w:cs="宋体" w:hint="eastAsia"/>
          <w:kern w:val="0"/>
          <w:szCs w:val="21"/>
        </w:rPr>
        <w:t>日</w:t>
      </w:r>
    </w:p>
    <w:p w:rsidR="004E7064" w:rsidRDefault="004E7064">
      <w:pPr>
        <w:spacing w:line="360" w:lineRule="auto"/>
        <w:ind w:firstLineChars="200" w:firstLine="420"/>
        <w:rPr>
          <w:rFonts w:ascii="宋体" w:eastAsia="宋体" w:hAnsi="宋体" w:cs="宋体"/>
          <w:kern w:val="0"/>
          <w:szCs w:val="21"/>
        </w:rPr>
      </w:pPr>
    </w:p>
    <w:sectPr w:rsidR="004E7064" w:rsidSect="004E70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default"/>
    <w:sig w:usb0="00000000" w:usb1="38CF7CFA" w:usb2="00000016" w:usb3="00000000" w:csb0="0004000F" w:csb1="00000000"/>
  </w:font>
  <w:font w:name="等线 Light">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zMwM2UwZDhkMmVjYjllYzcxYTIxZGI3ZmM4NGUxNGYifQ=="/>
  </w:docVars>
  <w:rsids>
    <w:rsidRoot w:val="00A8198D"/>
    <w:rsid w:val="000263B6"/>
    <w:rsid w:val="00054B88"/>
    <w:rsid w:val="0007682D"/>
    <w:rsid w:val="00082EF4"/>
    <w:rsid w:val="00094715"/>
    <w:rsid w:val="000A1C83"/>
    <w:rsid w:val="001001DB"/>
    <w:rsid w:val="00147FAB"/>
    <w:rsid w:val="00151E51"/>
    <w:rsid w:val="001726DE"/>
    <w:rsid w:val="001A3ED4"/>
    <w:rsid w:val="001A578C"/>
    <w:rsid w:val="001B24C8"/>
    <w:rsid w:val="001C06E0"/>
    <w:rsid w:val="001D3C12"/>
    <w:rsid w:val="001D6C2A"/>
    <w:rsid w:val="001E3A36"/>
    <w:rsid w:val="002733F1"/>
    <w:rsid w:val="00287152"/>
    <w:rsid w:val="002957ED"/>
    <w:rsid w:val="002A1AF6"/>
    <w:rsid w:val="002A31E3"/>
    <w:rsid w:val="002C0206"/>
    <w:rsid w:val="002C0356"/>
    <w:rsid w:val="002E06C7"/>
    <w:rsid w:val="002E0F58"/>
    <w:rsid w:val="002F082D"/>
    <w:rsid w:val="0032021C"/>
    <w:rsid w:val="00353756"/>
    <w:rsid w:val="00363E35"/>
    <w:rsid w:val="003651D5"/>
    <w:rsid w:val="0037586F"/>
    <w:rsid w:val="003801C4"/>
    <w:rsid w:val="003D251D"/>
    <w:rsid w:val="003E593E"/>
    <w:rsid w:val="003F5939"/>
    <w:rsid w:val="00413DA6"/>
    <w:rsid w:val="00416A81"/>
    <w:rsid w:val="004D3923"/>
    <w:rsid w:val="004E7064"/>
    <w:rsid w:val="004F7B64"/>
    <w:rsid w:val="00502FCD"/>
    <w:rsid w:val="00513FB4"/>
    <w:rsid w:val="00517EA0"/>
    <w:rsid w:val="0055159A"/>
    <w:rsid w:val="005877D4"/>
    <w:rsid w:val="005D134D"/>
    <w:rsid w:val="00607309"/>
    <w:rsid w:val="006526F8"/>
    <w:rsid w:val="006704D9"/>
    <w:rsid w:val="006B1ECC"/>
    <w:rsid w:val="006B3B3D"/>
    <w:rsid w:val="006C20E6"/>
    <w:rsid w:val="006E30C6"/>
    <w:rsid w:val="006E3674"/>
    <w:rsid w:val="006E3AB7"/>
    <w:rsid w:val="007924CB"/>
    <w:rsid w:val="007B384C"/>
    <w:rsid w:val="007C282C"/>
    <w:rsid w:val="007D4B73"/>
    <w:rsid w:val="007E5EC4"/>
    <w:rsid w:val="007F382F"/>
    <w:rsid w:val="00820117"/>
    <w:rsid w:val="008669A7"/>
    <w:rsid w:val="008C4A9E"/>
    <w:rsid w:val="008D28E1"/>
    <w:rsid w:val="008F7E7A"/>
    <w:rsid w:val="00917860"/>
    <w:rsid w:val="009621BF"/>
    <w:rsid w:val="009752C4"/>
    <w:rsid w:val="009B35A6"/>
    <w:rsid w:val="009B4B2A"/>
    <w:rsid w:val="009B7E61"/>
    <w:rsid w:val="009C492D"/>
    <w:rsid w:val="009D6173"/>
    <w:rsid w:val="009F1FE9"/>
    <w:rsid w:val="00A22F59"/>
    <w:rsid w:val="00A60ED2"/>
    <w:rsid w:val="00A63E3C"/>
    <w:rsid w:val="00A8198D"/>
    <w:rsid w:val="00AA1864"/>
    <w:rsid w:val="00AA63C3"/>
    <w:rsid w:val="00AB5A98"/>
    <w:rsid w:val="00AC7CF1"/>
    <w:rsid w:val="00B01B00"/>
    <w:rsid w:val="00B70376"/>
    <w:rsid w:val="00B722A8"/>
    <w:rsid w:val="00B77BB9"/>
    <w:rsid w:val="00BD0A0F"/>
    <w:rsid w:val="00C06EFD"/>
    <w:rsid w:val="00C5058A"/>
    <w:rsid w:val="00C956B1"/>
    <w:rsid w:val="00CA1595"/>
    <w:rsid w:val="00CA1945"/>
    <w:rsid w:val="00CC2757"/>
    <w:rsid w:val="00D231C6"/>
    <w:rsid w:val="00D528F6"/>
    <w:rsid w:val="00D556E4"/>
    <w:rsid w:val="00D5601F"/>
    <w:rsid w:val="00DF7004"/>
    <w:rsid w:val="00E51B3A"/>
    <w:rsid w:val="00E605A8"/>
    <w:rsid w:val="00E71DD9"/>
    <w:rsid w:val="00E8472A"/>
    <w:rsid w:val="00E93D2E"/>
    <w:rsid w:val="00EB79FC"/>
    <w:rsid w:val="00F061D0"/>
    <w:rsid w:val="00F3614A"/>
    <w:rsid w:val="00F3754C"/>
    <w:rsid w:val="00FA1BA4"/>
    <w:rsid w:val="00FB2722"/>
    <w:rsid w:val="00FC3CF3"/>
    <w:rsid w:val="06446A09"/>
    <w:rsid w:val="14956609"/>
    <w:rsid w:val="1F511C17"/>
    <w:rsid w:val="220F3557"/>
    <w:rsid w:val="304271ED"/>
    <w:rsid w:val="36241D65"/>
    <w:rsid w:val="3C413A68"/>
    <w:rsid w:val="4B2314FB"/>
    <w:rsid w:val="4F132029"/>
    <w:rsid w:val="501047BA"/>
    <w:rsid w:val="51952317"/>
    <w:rsid w:val="665925BF"/>
    <w:rsid w:val="673521CB"/>
    <w:rsid w:val="6AEA5E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064"/>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4E7064"/>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4E7064"/>
    <w:pPr>
      <w:jc w:val="left"/>
    </w:pPr>
  </w:style>
  <w:style w:type="paragraph" w:styleId="a4">
    <w:name w:val="Balloon Text"/>
    <w:basedOn w:val="a"/>
    <w:link w:val="Char0"/>
    <w:uiPriority w:val="99"/>
    <w:semiHidden/>
    <w:unhideWhenUsed/>
    <w:qFormat/>
    <w:rsid w:val="004E7064"/>
    <w:rPr>
      <w:sz w:val="18"/>
      <w:szCs w:val="18"/>
    </w:rPr>
  </w:style>
  <w:style w:type="paragraph" w:styleId="a5">
    <w:name w:val="footer"/>
    <w:basedOn w:val="a"/>
    <w:link w:val="Char1"/>
    <w:uiPriority w:val="99"/>
    <w:unhideWhenUsed/>
    <w:qFormat/>
    <w:rsid w:val="004E7064"/>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E706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4E7064"/>
    <w:pPr>
      <w:widowControl/>
      <w:ind w:firstLine="480"/>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4E7064"/>
    <w:rPr>
      <w:b/>
      <w:bCs/>
    </w:rPr>
  </w:style>
  <w:style w:type="character" w:styleId="a9">
    <w:name w:val="annotation reference"/>
    <w:basedOn w:val="a0"/>
    <w:uiPriority w:val="99"/>
    <w:semiHidden/>
    <w:unhideWhenUsed/>
    <w:qFormat/>
    <w:rsid w:val="004E7064"/>
    <w:rPr>
      <w:sz w:val="21"/>
      <w:szCs w:val="21"/>
    </w:rPr>
  </w:style>
  <w:style w:type="character" w:customStyle="1" w:styleId="Char2">
    <w:name w:val="页眉 Char"/>
    <w:basedOn w:val="a0"/>
    <w:link w:val="a6"/>
    <w:uiPriority w:val="99"/>
    <w:qFormat/>
    <w:rsid w:val="004E7064"/>
    <w:rPr>
      <w:sz w:val="18"/>
      <w:szCs w:val="18"/>
    </w:rPr>
  </w:style>
  <w:style w:type="character" w:customStyle="1" w:styleId="Char1">
    <w:name w:val="页脚 Char"/>
    <w:basedOn w:val="a0"/>
    <w:link w:val="a5"/>
    <w:uiPriority w:val="99"/>
    <w:qFormat/>
    <w:rsid w:val="004E7064"/>
    <w:rPr>
      <w:sz w:val="18"/>
      <w:szCs w:val="18"/>
    </w:rPr>
  </w:style>
  <w:style w:type="character" w:customStyle="1" w:styleId="Char">
    <w:name w:val="批注文字 Char"/>
    <w:basedOn w:val="a0"/>
    <w:link w:val="a3"/>
    <w:uiPriority w:val="99"/>
    <w:semiHidden/>
    <w:qFormat/>
    <w:rsid w:val="004E7064"/>
  </w:style>
  <w:style w:type="character" w:customStyle="1" w:styleId="Char3">
    <w:name w:val="批注主题 Char"/>
    <w:basedOn w:val="Char"/>
    <w:link w:val="a8"/>
    <w:uiPriority w:val="99"/>
    <w:semiHidden/>
    <w:qFormat/>
    <w:rsid w:val="004E7064"/>
    <w:rPr>
      <w:b/>
      <w:bCs/>
    </w:rPr>
  </w:style>
  <w:style w:type="character" w:customStyle="1" w:styleId="Char0">
    <w:name w:val="批注框文本 Char"/>
    <w:basedOn w:val="a0"/>
    <w:link w:val="a4"/>
    <w:uiPriority w:val="99"/>
    <w:semiHidden/>
    <w:qFormat/>
    <w:rsid w:val="004E7064"/>
    <w:rPr>
      <w:sz w:val="18"/>
      <w:szCs w:val="18"/>
    </w:rPr>
  </w:style>
  <w:style w:type="paragraph" w:customStyle="1" w:styleId="1">
    <w:name w:val="修订1"/>
    <w:hidden/>
    <w:uiPriority w:val="99"/>
    <w:semiHidden/>
    <w:qFormat/>
    <w:rsid w:val="004E7064"/>
    <w:rPr>
      <w:rFonts w:asciiTheme="minorHAnsi" w:eastAsiaTheme="minorEastAsia" w:hAnsiTheme="minorHAnsi" w:cstheme="minorBidi"/>
      <w:kern w:val="2"/>
      <w:sz w:val="21"/>
      <w:szCs w:val="22"/>
    </w:rPr>
  </w:style>
  <w:style w:type="paragraph" w:customStyle="1" w:styleId="20">
    <w:name w:val="修订2"/>
    <w:hidden/>
    <w:uiPriority w:val="99"/>
    <w:semiHidden/>
    <w:rsid w:val="004E7064"/>
    <w:rPr>
      <w:rFonts w:asciiTheme="minorHAnsi" w:eastAsiaTheme="minorEastAsia" w:hAnsiTheme="minorHAnsi" w:cstheme="minorBidi"/>
      <w:kern w:val="2"/>
      <w:sz w:val="21"/>
      <w:szCs w:val="22"/>
    </w:rPr>
  </w:style>
  <w:style w:type="paragraph" w:customStyle="1" w:styleId="3">
    <w:name w:val="修订3"/>
    <w:hidden/>
    <w:uiPriority w:val="99"/>
    <w:semiHidden/>
    <w:rsid w:val="004E7064"/>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248</Words>
  <Characters>1419</Characters>
  <Application>Microsoft Office Word</Application>
  <DocSecurity>4</DocSecurity>
  <Lines>11</Lines>
  <Paragraphs>3</Paragraphs>
  <ScaleCrop>false</ScaleCrop>
  <Company>CNSTOCK</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夏思飞</dc:creator>
  <cp:lastModifiedBy>ZHONGM</cp:lastModifiedBy>
  <cp:revision>2</cp:revision>
  <dcterms:created xsi:type="dcterms:W3CDTF">2024-12-26T16:05:00Z</dcterms:created>
  <dcterms:modified xsi:type="dcterms:W3CDTF">2024-12-26T16:05:00Z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65663B257102440087FADCAF234E141F_12</vt:lpwstr>
  </property>
</Properties>
</file>