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D7" w:rsidRDefault="009171AE">
      <w:pPr>
        <w:spacing w:line="360" w:lineRule="auto"/>
        <w:jc w:val="center"/>
        <w:rPr>
          <w:rFonts w:ascii="宋体" w:eastAsia="宋体" w:hAnsi="宋体"/>
          <w:b/>
          <w:sz w:val="30"/>
        </w:rPr>
      </w:pPr>
      <w:bookmarkStart w:id="0" w:name="_GoBack"/>
      <w:bookmarkEnd w:id="0"/>
      <w:r>
        <w:rPr>
          <w:rFonts w:ascii="宋体" w:eastAsia="宋体" w:hAnsi="宋体"/>
          <w:b/>
          <w:sz w:val="30"/>
        </w:rPr>
        <w:t>朱雀基金管理有限公司关于旗下</w:t>
      </w:r>
      <w:r>
        <w:rPr>
          <w:rFonts w:ascii="宋体" w:eastAsia="宋体" w:hAnsi="宋体" w:hint="eastAsia"/>
          <w:b/>
          <w:sz w:val="30"/>
        </w:rPr>
        <w:t>部分</w:t>
      </w:r>
      <w:r>
        <w:rPr>
          <w:rFonts w:ascii="宋体" w:eastAsia="宋体" w:hAnsi="宋体"/>
          <w:b/>
          <w:sz w:val="30"/>
        </w:rPr>
        <w:t>基金</w:t>
      </w:r>
      <w:r w:rsidR="00CF012E">
        <w:rPr>
          <w:rFonts w:ascii="宋体" w:eastAsia="宋体" w:hAnsi="宋体" w:hint="eastAsia"/>
          <w:b/>
          <w:sz w:val="30"/>
        </w:rPr>
        <w:t>2</w:t>
      </w:r>
      <w:r w:rsidR="00CF012E">
        <w:rPr>
          <w:rFonts w:ascii="宋体" w:eastAsia="宋体" w:hAnsi="宋体"/>
          <w:b/>
          <w:sz w:val="30"/>
        </w:rPr>
        <w:t>024</w:t>
      </w:r>
      <w:r w:rsidR="00CF012E">
        <w:rPr>
          <w:rFonts w:ascii="宋体" w:eastAsia="宋体" w:hAnsi="宋体" w:hint="eastAsia"/>
          <w:b/>
          <w:sz w:val="30"/>
        </w:rPr>
        <w:t>年底及</w:t>
      </w:r>
      <w:r w:rsidR="00E11FF4" w:rsidRPr="009154D3">
        <w:rPr>
          <w:rFonts w:ascii="宋体" w:eastAsia="宋体" w:hAnsi="宋体"/>
          <w:b/>
          <w:sz w:val="30"/>
        </w:rPr>
        <w:t>2025</w:t>
      </w:r>
      <w:r>
        <w:rPr>
          <w:rFonts w:ascii="宋体" w:eastAsia="宋体" w:hAnsi="宋体"/>
          <w:b/>
          <w:sz w:val="30"/>
        </w:rPr>
        <w:t>年非港股通交易日暂停申购（含日常申购和定期定额投资）、赎回及转换业务安排的公告</w:t>
      </w:r>
    </w:p>
    <w:p w:rsidR="00A85CD7" w:rsidRDefault="00A85CD7">
      <w:pPr>
        <w:spacing w:line="343" w:lineRule="exact"/>
        <w:jc w:val="center"/>
        <w:rPr>
          <w:rFonts w:ascii="宋体" w:eastAsia="宋体" w:hAnsi="宋体"/>
          <w:b/>
          <w:sz w:val="30"/>
        </w:rPr>
      </w:pPr>
    </w:p>
    <w:p w:rsidR="00A85CD7" w:rsidRDefault="009171AE">
      <w:pPr>
        <w:spacing w:line="360" w:lineRule="auto"/>
        <w:ind w:firstLineChars="200" w:firstLine="480"/>
        <w:rPr>
          <w:rFonts w:ascii="宋体" w:eastAsia="宋体" w:hAnsi="宋体"/>
          <w:sz w:val="24"/>
        </w:rPr>
      </w:pPr>
      <w:r>
        <w:rPr>
          <w:rFonts w:ascii="宋体" w:eastAsia="宋体" w:hAnsi="宋体"/>
          <w:sz w:val="24"/>
        </w:rPr>
        <w:t>根据朱雀基金管理有限公司（以下简称“本公司”</w:t>
      </w:r>
      <w:r w:rsidR="00BE6F1F">
        <w:rPr>
          <w:rFonts w:ascii="宋体" w:eastAsia="宋体" w:hAnsi="宋体" w:hint="eastAsia"/>
          <w:sz w:val="24"/>
        </w:rPr>
        <w:t>或“本基金管理人”</w:t>
      </w:r>
      <w:r>
        <w:rPr>
          <w:rFonts w:ascii="宋体" w:eastAsia="宋体" w:hAnsi="宋体"/>
          <w:sz w:val="24"/>
        </w:rPr>
        <w:t>）旗下部分基金的基金合同及招募说明书相关约定，投资者办理有关基金份额申购和赎回等业务的开放日为上海证券交易所和深圳证券交易所的交易日，若该基金参与港股通交易且该工作日为非港股通交易日时，则基金不开放或基金管理人可暂停该基金的申购、赎回等业务。</w:t>
      </w:r>
    </w:p>
    <w:p w:rsidR="00A85CD7" w:rsidRDefault="009171AE">
      <w:pPr>
        <w:spacing w:line="360" w:lineRule="auto"/>
        <w:ind w:firstLineChars="200" w:firstLine="480"/>
        <w:rPr>
          <w:rFonts w:ascii="宋体" w:eastAsia="宋体" w:hAnsi="宋体"/>
          <w:sz w:val="24"/>
        </w:rPr>
      </w:pPr>
      <w:r>
        <w:rPr>
          <w:rFonts w:ascii="宋体" w:eastAsia="宋体" w:hAnsi="宋体"/>
          <w:sz w:val="24"/>
        </w:rPr>
        <w:t>为保障基金平稳运作，维护基金份额持有人利益，本公司决定对部分基金在</w:t>
      </w:r>
      <w:r w:rsidR="00A60C9B" w:rsidRPr="00A60C9B">
        <w:rPr>
          <w:rFonts w:ascii="宋体" w:eastAsia="宋体" w:hAnsi="宋体" w:hint="eastAsia"/>
          <w:sz w:val="24"/>
        </w:rPr>
        <w:t>2024年底及</w:t>
      </w:r>
      <w:r w:rsidR="00912CA7">
        <w:rPr>
          <w:rFonts w:ascii="宋体" w:eastAsia="宋体" w:hAnsi="宋体" w:hint="eastAsia"/>
          <w:sz w:val="24"/>
        </w:rPr>
        <w:t>202</w:t>
      </w:r>
      <w:r w:rsidR="00912CA7">
        <w:rPr>
          <w:rFonts w:ascii="宋体" w:eastAsia="宋体" w:hAnsi="宋体"/>
          <w:sz w:val="24"/>
        </w:rPr>
        <w:t>5</w:t>
      </w:r>
      <w:r>
        <w:rPr>
          <w:rFonts w:ascii="宋体" w:eastAsia="宋体" w:hAnsi="宋体" w:hint="eastAsia"/>
          <w:sz w:val="24"/>
        </w:rPr>
        <w:t>年上海证券交易所、深圳证券交易所交易</w:t>
      </w:r>
      <w:r>
        <w:rPr>
          <w:rFonts w:ascii="宋体" w:eastAsia="宋体" w:hAnsi="宋体" w:hint="eastAsia"/>
          <w:sz w:val="24"/>
          <w:lang/>
        </w:rPr>
        <w:t>日但</w:t>
      </w:r>
      <w:r>
        <w:rPr>
          <w:rFonts w:ascii="宋体" w:eastAsia="宋体" w:hAnsi="宋体"/>
          <w:sz w:val="24"/>
        </w:rPr>
        <w:t>非港股通交易日暂停申购（含定期定额投资）、赎回、转换等业务（具体业务类型以各基金实际情况为准），并自下列非港股通交易日结束后的首个开放日恢复基金的上述业务，届时不再另行公告。具体如下：</w:t>
      </w:r>
    </w:p>
    <w:p w:rsidR="00A85CD7" w:rsidRDefault="009171AE">
      <w:pPr>
        <w:spacing w:line="360" w:lineRule="auto"/>
        <w:ind w:firstLineChars="200" w:firstLine="480"/>
        <w:rPr>
          <w:rFonts w:ascii="宋体" w:eastAsia="宋体" w:hAnsi="宋体"/>
          <w:sz w:val="24"/>
        </w:rPr>
      </w:pPr>
      <w:r>
        <w:rPr>
          <w:rFonts w:ascii="宋体" w:eastAsia="宋体" w:hAnsi="宋体"/>
          <w:sz w:val="24"/>
        </w:rPr>
        <w:t>一、非港股通交易日</w:t>
      </w:r>
    </w:p>
    <w:p w:rsidR="00A85CD7" w:rsidRDefault="009171AE">
      <w:pPr>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根据上海证券交易所</w:t>
      </w:r>
      <w:r>
        <w:rPr>
          <w:rFonts w:ascii="宋体" w:eastAsia="宋体" w:hAnsi="宋体" w:cs="宋体" w:hint="eastAsia"/>
          <w:color w:val="000000" w:themeColor="text1"/>
          <w:sz w:val="24"/>
          <w:szCs w:val="24"/>
        </w:rPr>
        <w:t>《</w:t>
      </w:r>
      <w:r w:rsidR="00143E9A" w:rsidRPr="00143E9A">
        <w:rPr>
          <w:rFonts w:ascii="宋体" w:eastAsia="宋体" w:hAnsi="宋体" w:cs="宋体" w:hint="eastAsia"/>
          <w:color w:val="000000" w:themeColor="text1"/>
          <w:sz w:val="24"/>
          <w:szCs w:val="24"/>
        </w:rPr>
        <w:t>关于2024年岁末及2025年沪港通下港股通交易日安排的通知</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和深圳证券交易所《</w:t>
      </w:r>
      <w:r w:rsidR="002D606B" w:rsidRPr="002D606B">
        <w:rPr>
          <w:rFonts w:ascii="宋体" w:eastAsia="宋体" w:hAnsi="宋体" w:cs="宋体" w:hint="eastAsia"/>
          <w:color w:val="000000" w:themeColor="text1"/>
          <w:sz w:val="24"/>
          <w:szCs w:val="24"/>
        </w:rPr>
        <w:t>关于2024年底及2025年深港通下的港股通交易日有关安排的通知</w:t>
      </w:r>
      <w:r>
        <w:rPr>
          <w:rFonts w:ascii="宋体" w:eastAsia="宋体" w:hAnsi="宋体" w:cs="宋体"/>
          <w:color w:val="000000" w:themeColor="text1"/>
          <w:sz w:val="24"/>
          <w:szCs w:val="24"/>
        </w:rPr>
        <w:t>》，非港股通交易日如下：</w:t>
      </w:r>
    </w:p>
    <w:tbl>
      <w:tblPr>
        <w:tblStyle w:val="a8"/>
        <w:tblW w:w="7821" w:type="dxa"/>
        <w:tblLook w:val="04A0"/>
      </w:tblPr>
      <w:tblGrid>
        <w:gridCol w:w="1569"/>
        <w:gridCol w:w="1848"/>
        <w:gridCol w:w="4404"/>
      </w:tblGrid>
      <w:tr w:rsidR="00FC7966" w:rsidRPr="00FC7966" w:rsidTr="009154D3">
        <w:trPr>
          <w:trHeight w:val="312"/>
        </w:trPr>
        <w:tc>
          <w:tcPr>
            <w:tcW w:w="1569"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hint="eastAsia"/>
                <w:color w:val="000000"/>
                <w:sz w:val="22"/>
                <w:szCs w:val="24"/>
              </w:rPr>
              <w:t>年份</w:t>
            </w: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hint="eastAsia"/>
                <w:color w:val="000000"/>
                <w:sz w:val="22"/>
                <w:szCs w:val="24"/>
              </w:rPr>
              <w:t>月份</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2024年底及2025年非港股</w:t>
            </w:r>
            <w:r w:rsidRPr="009154D3">
              <w:rPr>
                <w:rFonts w:ascii="宋体" w:eastAsia="宋体" w:hAnsi="宋体" w:cs="宋体" w:hint="eastAsia"/>
                <w:color w:val="000000"/>
                <w:sz w:val="22"/>
                <w:szCs w:val="24"/>
              </w:rPr>
              <w:t>通交易日</w:t>
            </w:r>
          </w:p>
        </w:tc>
      </w:tr>
      <w:tr w:rsidR="00FC7966" w:rsidRPr="00FC7966" w:rsidTr="00FC7966">
        <w:trPr>
          <w:trHeight w:val="310"/>
        </w:trPr>
        <w:tc>
          <w:tcPr>
            <w:tcW w:w="1569"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2024年</w:t>
            </w: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12月</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31日</w:t>
            </w:r>
          </w:p>
        </w:tc>
      </w:tr>
      <w:tr w:rsidR="00FC7966" w:rsidRPr="00FC7966" w:rsidTr="009154D3">
        <w:trPr>
          <w:trHeight w:val="312"/>
        </w:trPr>
        <w:tc>
          <w:tcPr>
            <w:tcW w:w="1569" w:type="dxa"/>
            <w:vMerge w:val="restart"/>
            <w:vAlign w:val="center"/>
            <w:hideMark/>
          </w:tcPr>
          <w:p w:rsidR="00FC7966" w:rsidRPr="009154D3" w:rsidRDefault="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2025年</w:t>
            </w: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4月</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18、21日（香港耶稣受难节、复活节）</w:t>
            </w:r>
          </w:p>
        </w:tc>
      </w:tr>
      <w:tr w:rsidR="00FC7966" w:rsidRPr="00FC7966" w:rsidTr="00FC7966">
        <w:trPr>
          <w:trHeight w:val="310"/>
        </w:trPr>
        <w:tc>
          <w:tcPr>
            <w:tcW w:w="1569" w:type="dxa"/>
            <w:vMerge/>
            <w:hideMark/>
          </w:tcPr>
          <w:p w:rsidR="00FC7966" w:rsidRPr="009154D3" w:rsidRDefault="00FC7966" w:rsidP="00FC7966">
            <w:pPr>
              <w:rPr>
                <w:rFonts w:ascii="宋体" w:eastAsia="宋体" w:hAnsi="宋体" w:cs="宋体"/>
                <w:color w:val="000000"/>
                <w:sz w:val="22"/>
                <w:szCs w:val="24"/>
              </w:rPr>
            </w:pP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7月</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1日（香港特别行政区成立纪念日）</w:t>
            </w:r>
          </w:p>
        </w:tc>
      </w:tr>
      <w:tr w:rsidR="00FC7966" w:rsidRPr="00FC7966" w:rsidTr="00FC7966">
        <w:trPr>
          <w:trHeight w:val="310"/>
        </w:trPr>
        <w:tc>
          <w:tcPr>
            <w:tcW w:w="1569" w:type="dxa"/>
            <w:vMerge/>
            <w:hideMark/>
          </w:tcPr>
          <w:p w:rsidR="00FC7966" w:rsidRPr="009154D3" w:rsidRDefault="00FC7966" w:rsidP="00FC7966">
            <w:pPr>
              <w:rPr>
                <w:rFonts w:ascii="宋体" w:eastAsia="宋体" w:hAnsi="宋体" w:cs="宋体"/>
                <w:color w:val="000000"/>
                <w:sz w:val="22"/>
                <w:szCs w:val="24"/>
              </w:rPr>
            </w:pP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10月</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29日（香港重阳节）</w:t>
            </w:r>
          </w:p>
        </w:tc>
      </w:tr>
      <w:tr w:rsidR="00FC7966" w:rsidRPr="00FC7966" w:rsidTr="00FC7966">
        <w:trPr>
          <w:trHeight w:val="310"/>
        </w:trPr>
        <w:tc>
          <w:tcPr>
            <w:tcW w:w="1569" w:type="dxa"/>
            <w:vMerge/>
            <w:hideMark/>
          </w:tcPr>
          <w:p w:rsidR="00FC7966" w:rsidRPr="009154D3" w:rsidRDefault="00FC7966" w:rsidP="00FC7966">
            <w:pPr>
              <w:rPr>
                <w:rFonts w:ascii="宋体" w:eastAsia="宋体" w:hAnsi="宋体" w:cs="宋体"/>
                <w:color w:val="000000"/>
                <w:sz w:val="22"/>
                <w:szCs w:val="24"/>
              </w:rPr>
            </w:pP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12月</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24、25、26日（香港圣诞节）</w:t>
            </w:r>
          </w:p>
        </w:tc>
      </w:tr>
      <w:tr w:rsidR="00FC7966" w:rsidRPr="00FC7966" w:rsidTr="00FC7966">
        <w:trPr>
          <w:trHeight w:val="310"/>
        </w:trPr>
        <w:tc>
          <w:tcPr>
            <w:tcW w:w="1569" w:type="dxa"/>
            <w:vMerge/>
            <w:hideMark/>
          </w:tcPr>
          <w:p w:rsidR="00FC7966" w:rsidRPr="009154D3" w:rsidRDefault="00FC7966" w:rsidP="00FC7966">
            <w:pPr>
              <w:rPr>
                <w:rFonts w:ascii="宋体" w:eastAsia="宋体" w:hAnsi="宋体" w:cs="宋体"/>
                <w:color w:val="000000"/>
                <w:sz w:val="22"/>
                <w:szCs w:val="24"/>
              </w:rPr>
            </w:pPr>
          </w:p>
        </w:tc>
        <w:tc>
          <w:tcPr>
            <w:tcW w:w="1848"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12月</w:t>
            </w:r>
          </w:p>
        </w:tc>
        <w:tc>
          <w:tcPr>
            <w:tcW w:w="4404" w:type="dxa"/>
            <w:hideMark/>
          </w:tcPr>
          <w:p w:rsidR="00FC7966" w:rsidRPr="009154D3" w:rsidRDefault="00FC7966" w:rsidP="00FC7966">
            <w:pPr>
              <w:jc w:val="center"/>
              <w:rPr>
                <w:rFonts w:ascii="宋体" w:eastAsia="宋体" w:hAnsi="宋体" w:cs="宋体"/>
                <w:color w:val="000000"/>
                <w:sz w:val="22"/>
                <w:szCs w:val="24"/>
              </w:rPr>
            </w:pPr>
            <w:r w:rsidRPr="009154D3">
              <w:rPr>
                <w:rFonts w:ascii="宋体" w:eastAsia="宋体" w:hAnsi="宋体" w:cs="宋体"/>
                <w:color w:val="000000"/>
                <w:sz w:val="22"/>
                <w:szCs w:val="24"/>
              </w:rPr>
              <w:t>31日（香港新年前夕）</w:t>
            </w:r>
          </w:p>
        </w:tc>
      </w:tr>
    </w:tbl>
    <w:p w:rsidR="00A85CD7" w:rsidRDefault="009171AE">
      <w:pPr>
        <w:spacing w:line="360" w:lineRule="auto"/>
        <w:ind w:firstLineChars="200" w:firstLine="480"/>
        <w:rPr>
          <w:rFonts w:ascii="宋体" w:eastAsia="宋体" w:hAnsi="宋体"/>
          <w:sz w:val="24"/>
        </w:rPr>
      </w:pPr>
      <w:r>
        <w:rPr>
          <w:rFonts w:ascii="宋体" w:eastAsia="宋体" w:hAnsi="宋体" w:hint="eastAsia"/>
          <w:sz w:val="24"/>
        </w:rPr>
        <w:t>上述中国香港证券市场节假日/非港股通交易日已剔除和国内双休日及法定节假日重合的日期。</w:t>
      </w:r>
    </w:p>
    <w:p w:rsidR="00A85CD7" w:rsidRDefault="009171AE">
      <w:pPr>
        <w:spacing w:line="360" w:lineRule="auto"/>
        <w:ind w:firstLineChars="200" w:firstLine="480"/>
        <w:rPr>
          <w:rFonts w:ascii="宋体" w:eastAsia="宋体" w:hAnsi="宋体"/>
          <w:sz w:val="24"/>
        </w:rPr>
      </w:pPr>
      <w:r>
        <w:rPr>
          <w:rFonts w:ascii="宋体" w:eastAsia="宋体" w:hAnsi="宋体" w:hint="eastAsia"/>
          <w:sz w:val="24"/>
        </w:rPr>
        <w:t>如遇相关基金因其他原因暂停申购、赎回等交易业务的，具体业务办理以相关公告为准。</w:t>
      </w:r>
    </w:p>
    <w:p w:rsidR="00A85CD7" w:rsidRDefault="00316893">
      <w:pPr>
        <w:spacing w:line="360" w:lineRule="auto"/>
        <w:ind w:firstLineChars="200" w:firstLine="480"/>
        <w:rPr>
          <w:rFonts w:ascii="宋体" w:eastAsia="宋体" w:hAnsi="宋体"/>
          <w:sz w:val="24"/>
        </w:rPr>
      </w:pPr>
      <w:r>
        <w:rPr>
          <w:rFonts w:ascii="宋体" w:eastAsia="宋体" w:hAnsi="宋体" w:hint="eastAsia"/>
          <w:sz w:val="24"/>
        </w:rPr>
        <w:t>关于非港股通交易日的具体安排以上海证券交易所、深圳</w:t>
      </w:r>
      <w:r w:rsidR="00BE6F1F">
        <w:rPr>
          <w:rFonts w:ascii="宋体" w:eastAsia="宋体" w:hAnsi="宋体" w:hint="eastAsia"/>
          <w:sz w:val="24"/>
        </w:rPr>
        <w:t>证券</w:t>
      </w:r>
      <w:r>
        <w:rPr>
          <w:rFonts w:ascii="宋体" w:eastAsia="宋体" w:hAnsi="宋体" w:hint="eastAsia"/>
          <w:sz w:val="24"/>
        </w:rPr>
        <w:t>交易所发布的通知为准，</w:t>
      </w:r>
      <w:r w:rsidR="009171AE">
        <w:rPr>
          <w:rFonts w:ascii="宋体" w:eastAsia="宋体" w:hAnsi="宋体"/>
          <w:sz w:val="24"/>
        </w:rPr>
        <w:t>若届时非港股通交易日安排发生变化，本基金管理人将进行相应调整</w:t>
      </w:r>
      <w:r w:rsidR="009171AE">
        <w:rPr>
          <w:rFonts w:ascii="宋体" w:eastAsia="宋体" w:hAnsi="宋体"/>
          <w:sz w:val="24"/>
        </w:rPr>
        <w:lastRenderedPageBreak/>
        <w:t>并予以公告。若主要投资市场状况发生变化，或将来根据法律法规和基金合同的约定或其它原因需要调整上述安排的，本基金管理人</w:t>
      </w:r>
      <w:r>
        <w:rPr>
          <w:rFonts w:ascii="宋体" w:eastAsia="宋体" w:hAnsi="宋体" w:hint="eastAsia"/>
          <w:sz w:val="24"/>
        </w:rPr>
        <w:t>亦</w:t>
      </w:r>
      <w:r w:rsidR="009171AE">
        <w:rPr>
          <w:rFonts w:ascii="宋体" w:eastAsia="宋体" w:hAnsi="宋体"/>
          <w:sz w:val="24"/>
        </w:rPr>
        <w:t>将另行调整并公告。具体业务办理安排以届时相关公告为准。</w:t>
      </w:r>
    </w:p>
    <w:p w:rsidR="00A85CD7" w:rsidRDefault="009171AE">
      <w:pPr>
        <w:spacing w:line="360" w:lineRule="auto"/>
        <w:ind w:firstLineChars="200" w:firstLine="480"/>
        <w:rPr>
          <w:rFonts w:ascii="宋体" w:eastAsia="宋体" w:hAnsi="宋体"/>
          <w:sz w:val="24"/>
        </w:rPr>
      </w:pPr>
      <w:r>
        <w:rPr>
          <w:rFonts w:ascii="宋体" w:eastAsia="宋体" w:hAnsi="宋体"/>
          <w:sz w:val="24"/>
        </w:rPr>
        <w:t>二、适用基金范围</w:t>
      </w:r>
    </w:p>
    <w:tbl>
      <w:tblPr>
        <w:tblStyle w:val="a8"/>
        <w:tblW w:w="0" w:type="auto"/>
        <w:tblInd w:w="289" w:type="dxa"/>
        <w:tblLook w:val="04A0"/>
      </w:tblPr>
      <w:tblGrid>
        <w:gridCol w:w="1137"/>
        <w:gridCol w:w="1446"/>
        <w:gridCol w:w="5424"/>
      </w:tblGrid>
      <w:tr w:rsidR="00A85CD7">
        <w:trPr>
          <w:trHeight w:val="384"/>
        </w:trPr>
        <w:tc>
          <w:tcPr>
            <w:tcW w:w="1137"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序号</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基金代码</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基金全称</w:t>
            </w:r>
          </w:p>
        </w:tc>
      </w:tr>
      <w:tr w:rsidR="00A85CD7">
        <w:tc>
          <w:tcPr>
            <w:tcW w:w="1137" w:type="dxa"/>
            <w:vMerge w:val="restart"/>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1</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007493</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朱雀产业臻选混合型证券投资基金A类</w:t>
            </w:r>
          </w:p>
        </w:tc>
      </w:tr>
      <w:tr w:rsidR="00A85CD7">
        <w:tc>
          <w:tcPr>
            <w:tcW w:w="1137" w:type="dxa"/>
            <w:vMerge/>
          </w:tcPr>
          <w:p w:rsidR="00A85CD7" w:rsidRDefault="00A85CD7">
            <w:pPr>
              <w:spacing w:line="305" w:lineRule="exact"/>
              <w:jc w:val="center"/>
              <w:rPr>
                <w:rFonts w:ascii="宋体" w:eastAsia="宋体" w:hAnsi="宋体"/>
                <w:sz w:val="22"/>
                <w:szCs w:val="18"/>
              </w:rPr>
            </w:pP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007494</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朱雀产业臻选混合型证券投资基金C类</w:t>
            </w:r>
          </w:p>
        </w:tc>
      </w:tr>
      <w:tr w:rsidR="00A85CD7">
        <w:tc>
          <w:tcPr>
            <w:tcW w:w="1137" w:type="dxa"/>
            <w:vMerge w:val="restart"/>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2</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007880</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朱雀产业智选混合型证券投资基金A类</w:t>
            </w:r>
          </w:p>
        </w:tc>
      </w:tr>
      <w:tr w:rsidR="00A85CD7">
        <w:tc>
          <w:tcPr>
            <w:tcW w:w="1137" w:type="dxa"/>
            <w:vMerge/>
          </w:tcPr>
          <w:p w:rsidR="00A85CD7" w:rsidRDefault="00A85CD7">
            <w:pPr>
              <w:spacing w:line="305" w:lineRule="exact"/>
              <w:jc w:val="center"/>
              <w:rPr>
                <w:rFonts w:ascii="宋体" w:eastAsia="宋体" w:hAnsi="宋体"/>
                <w:sz w:val="22"/>
                <w:szCs w:val="18"/>
              </w:rPr>
            </w:pP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007881</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朱雀产业智选混合型证券投资基金</w:t>
            </w:r>
            <w:r>
              <w:rPr>
                <w:rFonts w:ascii="宋体" w:eastAsia="宋体" w:hAnsi="宋体"/>
                <w:sz w:val="22"/>
                <w:szCs w:val="18"/>
              </w:rPr>
              <w:t>C</w:t>
            </w:r>
            <w:r>
              <w:rPr>
                <w:rFonts w:ascii="宋体" w:eastAsia="宋体" w:hAnsi="宋体" w:hint="eastAsia"/>
                <w:sz w:val="22"/>
                <w:szCs w:val="18"/>
              </w:rPr>
              <w:t>类</w:t>
            </w:r>
          </w:p>
        </w:tc>
      </w:tr>
      <w:tr w:rsidR="00A85CD7">
        <w:tc>
          <w:tcPr>
            <w:tcW w:w="1137" w:type="dxa"/>
            <w:vMerge w:val="restart"/>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3</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008294</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朱雀企业优胜股票型证券投资基金A类</w:t>
            </w:r>
          </w:p>
        </w:tc>
      </w:tr>
      <w:tr w:rsidR="00A85CD7">
        <w:tc>
          <w:tcPr>
            <w:tcW w:w="1137" w:type="dxa"/>
            <w:vMerge/>
          </w:tcPr>
          <w:p w:rsidR="00A85CD7" w:rsidRDefault="00A85CD7">
            <w:pPr>
              <w:spacing w:line="305" w:lineRule="exact"/>
              <w:jc w:val="center"/>
              <w:rPr>
                <w:rFonts w:ascii="宋体" w:eastAsia="宋体" w:hAnsi="宋体"/>
                <w:sz w:val="22"/>
                <w:szCs w:val="18"/>
              </w:rPr>
            </w:pP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008295</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朱雀企业优胜股票型证券投资基金C类</w:t>
            </w:r>
          </w:p>
        </w:tc>
      </w:tr>
      <w:tr w:rsidR="00A85CD7">
        <w:tc>
          <w:tcPr>
            <w:tcW w:w="1137" w:type="dxa"/>
            <w:vMerge w:val="restart"/>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4</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010141</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朱雀企业优选股票型证券投资基金A类</w:t>
            </w:r>
          </w:p>
        </w:tc>
      </w:tr>
      <w:tr w:rsidR="00A85CD7">
        <w:tc>
          <w:tcPr>
            <w:tcW w:w="1137" w:type="dxa"/>
            <w:vMerge/>
          </w:tcPr>
          <w:p w:rsidR="00A85CD7" w:rsidRDefault="00A85CD7">
            <w:pPr>
              <w:spacing w:line="305" w:lineRule="exact"/>
              <w:jc w:val="center"/>
              <w:rPr>
                <w:rFonts w:ascii="宋体" w:eastAsia="宋体" w:hAnsi="宋体"/>
                <w:sz w:val="22"/>
                <w:szCs w:val="18"/>
              </w:rPr>
            </w:pP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010142</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朱雀企业优选股票型证券投资基金C类</w:t>
            </w:r>
          </w:p>
        </w:tc>
      </w:tr>
      <w:tr w:rsidR="00A85CD7">
        <w:tc>
          <w:tcPr>
            <w:tcW w:w="1137"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5</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010922</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朱雀匠心一年持有期混合型证券投资基金</w:t>
            </w:r>
          </w:p>
        </w:tc>
      </w:tr>
      <w:tr w:rsidR="00A85CD7">
        <w:tc>
          <w:tcPr>
            <w:tcW w:w="1137"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6</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011531</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朱雀恒心一年持有期混合型证券投资基金</w:t>
            </w:r>
          </w:p>
        </w:tc>
      </w:tr>
      <w:tr w:rsidR="00A85CD7">
        <w:tc>
          <w:tcPr>
            <w:tcW w:w="1137"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7</w:t>
            </w:r>
          </w:p>
        </w:tc>
        <w:tc>
          <w:tcPr>
            <w:tcW w:w="1446" w:type="dxa"/>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015729</w:t>
            </w:r>
          </w:p>
        </w:tc>
        <w:tc>
          <w:tcPr>
            <w:tcW w:w="5424" w:type="dxa"/>
            <w:vAlign w:val="center"/>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朱雀碳中和三年持有期混合型发起式证券投资基金</w:t>
            </w:r>
          </w:p>
        </w:tc>
      </w:tr>
      <w:tr w:rsidR="00A85CD7" w:rsidTr="0023028D">
        <w:tc>
          <w:tcPr>
            <w:tcW w:w="1137" w:type="dxa"/>
            <w:vMerge w:val="restart"/>
            <w:vAlign w:val="center"/>
          </w:tcPr>
          <w:p w:rsidR="00A85CD7" w:rsidRDefault="009171AE">
            <w:pPr>
              <w:spacing w:line="305" w:lineRule="exact"/>
              <w:jc w:val="center"/>
              <w:rPr>
                <w:rFonts w:ascii="宋体" w:eastAsia="宋体" w:hAnsi="宋体"/>
                <w:sz w:val="22"/>
                <w:szCs w:val="18"/>
              </w:rPr>
            </w:pPr>
            <w:r>
              <w:rPr>
                <w:rFonts w:ascii="宋体" w:eastAsia="宋体" w:hAnsi="宋体"/>
                <w:sz w:val="22"/>
                <w:szCs w:val="18"/>
              </w:rPr>
              <w:t>8</w:t>
            </w:r>
          </w:p>
        </w:tc>
        <w:tc>
          <w:tcPr>
            <w:tcW w:w="1446" w:type="dxa"/>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018405</w:t>
            </w:r>
          </w:p>
        </w:tc>
        <w:tc>
          <w:tcPr>
            <w:tcW w:w="5424" w:type="dxa"/>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朱雀产业精选混合型证券投资基金A类</w:t>
            </w:r>
          </w:p>
        </w:tc>
      </w:tr>
      <w:tr w:rsidR="00A85CD7">
        <w:tc>
          <w:tcPr>
            <w:tcW w:w="1137" w:type="dxa"/>
            <w:vMerge/>
          </w:tcPr>
          <w:p w:rsidR="00A85CD7" w:rsidRDefault="00A85CD7">
            <w:pPr>
              <w:spacing w:line="305" w:lineRule="exact"/>
              <w:jc w:val="center"/>
              <w:rPr>
                <w:rFonts w:ascii="宋体" w:eastAsia="宋体" w:hAnsi="宋体"/>
                <w:sz w:val="22"/>
                <w:szCs w:val="18"/>
              </w:rPr>
            </w:pPr>
          </w:p>
        </w:tc>
        <w:tc>
          <w:tcPr>
            <w:tcW w:w="1446" w:type="dxa"/>
          </w:tcPr>
          <w:p w:rsidR="00A85CD7" w:rsidRDefault="009171AE">
            <w:pPr>
              <w:spacing w:line="305" w:lineRule="exact"/>
              <w:jc w:val="center"/>
              <w:rPr>
                <w:rFonts w:ascii="宋体" w:eastAsia="宋体" w:hAnsi="宋体"/>
                <w:sz w:val="22"/>
                <w:szCs w:val="18"/>
              </w:rPr>
            </w:pPr>
            <w:r>
              <w:rPr>
                <w:rFonts w:ascii="宋体" w:eastAsia="宋体" w:hAnsi="宋体"/>
                <w:sz w:val="22"/>
                <w:szCs w:val="18"/>
              </w:rPr>
              <w:t>018406</w:t>
            </w:r>
          </w:p>
        </w:tc>
        <w:tc>
          <w:tcPr>
            <w:tcW w:w="5424" w:type="dxa"/>
          </w:tcPr>
          <w:p w:rsidR="00A85CD7" w:rsidRDefault="009171AE">
            <w:pPr>
              <w:spacing w:line="305" w:lineRule="exact"/>
              <w:jc w:val="center"/>
              <w:rPr>
                <w:rFonts w:ascii="宋体" w:eastAsia="宋体" w:hAnsi="宋体"/>
                <w:sz w:val="22"/>
                <w:szCs w:val="18"/>
              </w:rPr>
            </w:pPr>
            <w:r>
              <w:rPr>
                <w:rFonts w:ascii="宋体" w:eastAsia="宋体" w:hAnsi="宋体" w:hint="eastAsia"/>
                <w:sz w:val="22"/>
                <w:szCs w:val="18"/>
              </w:rPr>
              <w:t>朱雀产业精选混合型证券投资基金C类</w:t>
            </w:r>
          </w:p>
        </w:tc>
      </w:tr>
    </w:tbl>
    <w:p w:rsidR="00A85CD7" w:rsidRDefault="009171AE">
      <w:pPr>
        <w:widowControl w:val="0"/>
        <w:wordWrap w:val="0"/>
        <w:spacing w:line="360" w:lineRule="auto"/>
        <w:ind w:firstLineChars="200" w:firstLine="480"/>
        <w:rPr>
          <w:rFonts w:ascii="宋体" w:eastAsia="宋体" w:hAnsi="宋体"/>
          <w:sz w:val="24"/>
        </w:rPr>
      </w:pPr>
      <w:r>
        <w:rPr>
          <w:rFonts w:ascii="宋体" w:eastAsia="宋体" w:hAnsi="宋体"/>
          <w:sz w:val="24"/>
        </w:rPr>
        <w:t>注：</w:t>
      </w:r>
      <w:r w:rsidR="009C400F">
        <w:rPr>
          <w:rFonts w:ascii="宋体" w:eastAsia="宋体" w:hAnsi="宋体" w:hint="eastAsia"/>
          <w:sz w:val="24"/>
        </w:rPr>
        <w:t>本公司</w:t>
      </w:r>
      <w:r>
        <w:rPr>
          <w:rFonts w:ascii="宋体" w:eastAsia="宋体" w:hAnsi="宋体"/>
          <w:sz w:val="24"/>
        </w:rPr>
        <w:t>新发基金或其他基金非港股通交易日暂停开放情况请见本公司相关公告。敬请投资者及早做好交易安排，避免因假期原因带来不便。投资者可登录本基金管理人网站（www.rosefinchfund.com）或拨打客服电话4009217211获取相关信息。</w:t>
      </w:r>
    </w:p>
    <w:p w:rsidR="00A85CD7" w:rsidRDefault="009171AE">
      <w:pPr>
        <w:spacing w:line="360" w:lineRule="auto"/>
        <w:ind w:firstLineChars="200" w:firstLine="480"/>
        <w:rPr>
          <w:rFonts w:ascii="宋体" w:eastAsia="宋体" w:hAnsi="宋体"/>
          <w:sz w:val="24"/>
        </w:rPr>
      </w:pPr>
      <w:r>
        <w:rPr>
          <w:rFonts w:ascii="宋体" w:eastAsia="宋体" w:hAnsi="宋体"/>
          <w:sz w:val="24"/>
        </w:rPr>
        <w:t>风险提示：基金管理人承诺以诚实信用、勤勉尽责的原则管理和运用基金资产，但不保证基金一定盈利，也不保证最低收益。投资者投资于基金时应认真阅读基金的基金合同、招募说明书等文件。敬请投资者留意投资风险。</w:t>
      </w:r>
    </w:p>
    <w:p w:rsidR="00A85CD7" w:rsidRDefault="009171AE">
      <w:pPr>
        <w:spacing w:line="360" w:lineRule="auto"/>
        <w:ind w:firstLineChars="200" w:firstLine="480"/>
        <w:rPr>
          <w:rFonts w:ascii="宋体" w:eastAsia="宋体" w:hAnsi="宋体"/>
          <w:sz w:val="24"/>
          <w:lang/>
        </w:rPr>
      </w:pPr>
      <w:r>
        <w:rPr>
          <w:rFonts w:ascii="宋体" w:eastAsia="宋体" w:hAnsi="宋体" w:hint="eastAsia"/>
          <w:sz w:val="24"/>
          <w:lang/>
        </w:rPr>
        <w:t>特此公告</w:t>
      </w:r>
      <w:r>
        <w:rPr>
          <w:rFonts w:ascii="宋体" w:eastAsia="宋体" w:hAnsi="宋体"/>
          <w:sz w:val="24"/>
          <w:lang/>
        </w:rPr>
        <w:t>。</w:t>
      </w:r>
    </w:p>
    <w:p w:rsidR="00A85CD7" w:rsidRDefault="00A85CD7">
      <w:pPr>
        <w:spacing w:line="360" w:lineRule="auto"/>
        <w:ind w:firstLineChars="200" w:firstLine="480"/>
        <w:rPr>
          <w:rFonts w:ascii="宋体" w:eastAsia="宋体" w:hAnsi="宋体"/>
          <w:sz w:val="24"/>
        </w:rPr>
      </w:pPr>
    </w:p>
    <w:p w:rsidR="00A85CD7" w:rsidRDefault="009171AE">
      <w:pPr>
        <w:spacing w:line="360" w:lineRule="auto"/>
        <w:ind w:firstLineChars="200" w:firstLine="480"/>
        <w:jc w:val="right"/>
        <w:rPr>
          <w:rFonts w:ascii="宋体" w:eastAsia="宋体" w:hAnsi="宋体"/>
          <w:sz w:val="24"/>
        </w:rPr>
      </w:pPr>
      <w:r>
        <w:rPr>
          <w:rFonts w:ascii="宋体" w:eastAsia="宋体" w:hAnsi="宋体"/>
          <w:sz w:val="24"/>
        </w:rPr>
        <w:t>朱雀基金管理有限公司</w:t>
      </w:r>
    </w:p>
    <w:p w:rsidR="00A85CD7" w:rsidRDefault="009171AE">
      <w:pPr>
        <w:spacing w:line="360" w:lineRule="auto"/>
        <w:ind w:firstLineChars="200" w:firstLine="480"/>
        <w:jc w:val="right"/>
        <w:rPr>
          <w:rFonts w:ascii="宋体" w:eastAsia="宋体" w:hAnsi="宋体"/>
          <w:sz w:val="24"/>
        </w:rPr>
      </w:pPr>
      <w:r>
        <w:rPr>
          <w:rFonts w:ascii="宋体" w:eastAsia="宋体" w:hAnsi="宋体"/>
          <w:sz w:val="24"/>
        </w:rPr>
        <w:t>二〇二</w:t>
      </w:r>
      <w:r w:rsidR="00052DC3">
        <w:rPr>
          <w:rFonts w:ascii="宋体" w:eastAsia="宋体" w:hAnsi="宋体" w:hint="eastAsia"/>
          <w:sz w:val="24"/>
        </w:rPr>
        <w:t>四</w:t>
      </w:r>
      <w:r>
        <w:rPr>
          <w:rFonts w:ascii="宋体" w:eastAsia="宋体" w:hAnsi="宋体"/>
          <w:sz w:val="24"/>
        </w:rPr>
        <w:t>年</w:t>
      </w:r>
      <w:r>
        <w:rPr>
          <w:rFonts w:ascii="宋体" w:eastAsia="宋体" w:hAnsi="宋体" w:hint="eastAsia"/>
          <w:sz w:val="24"/>
          <w:lang/>
        </w:rPr>
        <w:t>十二</w:t>
      </w:r>
      <w:r>
        <w:rPr>
          <w:rFonts w:ascii="宋体" w:eastAsia="宋体" w:hAnsi="宋体"/>
          <w:sz w:val="24"/>
        </w:rPr>
        <w:t>月</w:t>
      </w:r>
      <w:r w:rsidR="005C515F">
        <w:rPr>
          <w:rFonts w:ascii="宋体" w:eastAsia="宋体" w:hAnsi="宋体" w:hint="eastAsia"/>
          <w:sz w:val="24"/>
        </w:rPr>
        <w:t>二十</w:t>
      </w:r>
      <w:r w:rsidR="009554B5">
        <w:rPr>
          <w:rFonts w:ascii="宋体" w:eastAsia="宋体" w:hAnsi="宋体" w:hint="eastAsia"/>
          <w:sz w:val="24"/>
        </w:rPr>
        <w:t>六</w:t>
      </w:r>
      <w:r>
        <w:rPr>
          <w:rFonts w:ascii="宋体" w:eastAsia="宋体" w:hAnsi="宋体"/>
          <w:sz w:val="24"/>
        </w:rPr>
        <w:t>日</w:t>
      </w:r>
    </w:p>
    <w:sectPr w:rsidR="00A85CD7" w:rsidSect="00F73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65" w:rsidRDefault="006B5265" w:rsidP="0023028D">
      <w:r>
        <w:separator/>
      </w:r>
    </w:p>
  </w:endnote>
  <w:endnote w:type="continuationSeparator" w:id="0">
    <w:p w:rsidR="006B5265" w:rsidRDefault="006B5265" w:rsidP="00230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65" w:rsidRDefault="006B5265" w:rsidP="0023028D">
      <w:r>
        <w:separator/>
      </w:r>
    </w:p>
  </w:footnote>
  <w:footnote w:type="continuationSeparator" w:id="0">
    <w:p w:rsidR="006B5265" w:rsidRDefault="006B5265" w:rsidP="00230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B0F08"/>
    <w:rsid w:val="BFEF4A6B"/>
    <w:rsid w:val="BFFD755F"/>
    <w:rsid w:val="F0FFC647"/>
    <w:rsid w:val="F7FF6212"/>
    <w:rsid w:val="F9DE3BFB"/>
    <w:rsid w:val="FFBDF02F"/>
    <w:rsid w:val="00016A71"/>
    <w:rsid w:val="000236D2"/>
    <w:rsid w:val="0004309D"/>
    <w:rsid w:val="000443F5"/>
    <w:rsid w:val="00047803"/>
    <w:rsid w:val="00052DC3"/>
    <w:rsid w:val="00076748"/>
    <w:rsid w:val="000A42EF"/>
    <w:rsid w:val="000C0523"/>
    <w:rsid w:val="000C1E5C"/>
    <w:rsid w:val="000D7378"/>
    <w:rsid w:val="00117D24"/>
    <w:rsid w:val="001222F0"/>
    <w:rsid w:val="00140791"/>
    <w:rsid w:val="00143E9A"/>
    <w:rsid w:val="0015260F"/>
    <w:rsid w:val="00152BA1"/>
    <w:rsid w:val="00162038"/>
    <w:rsid w:val="0017131F"/>
    <w:rsid w:val="001874D6"/>
    <w:rsid w:val="0019320E"/>
    <w:rsid w:val="001A1516"/>
    <w:rsid w:val="001A58F7"/>
    <w:rsid w:val="001D6806"/>
    <w:rsid w:val="001F2F4C"/>
    <w:rsid w:val="002153A2"/>
    <w:rsid w:val="00220900"/>
    <w:rsid w:val="0023028D"/>
    <w:rsid w:val="00234E66"/>
    <w:rsid w:val="00243E0B"/>
    <w:rsid w:val="002543E1"/>
    <w:rsid w:val="0025547D"/>
    <w:rsid w:val="00257EF4"/>
    <w:rsid w:val="00263476"/>
    <w:rsid w:val="002835FF"/>
    <w:rsid w:val="002B0F08"/>
    <w:rsid w:val="002B3A0B"/>
    <w:rsid w:val="002C45DD"/>
    <w:rsid w:val="002D606B"/>
    <w:rsid w:val="002E4822"/>
    <w:rsid w:val="002F2EDF"/>
    <w:rsid w:val="00311CC0"/>
    <w:rsid w:val="003123C3"/>
    <w:rsid w:val="00316893"/>
    <w:rsid w:val="00320413"/>
    <w:rsid w:val="00324801"/>
    <w:rsid w:val="003450EE"/>
    <w:rsid w:val="00364B18"/>
    <w:rsid w:val="00366D75"/>
    <w:rsid w:val="00383F5A"/>
    <w:rsid w:val="00390534"/>
    <w:rsid w:val="00397B4B"/>
    <w:rsid w:val="003A7A45"/>
    <w:rsid w:val="003B2088"/>
    <w:rsid w:val="003B6746"/>
    <w:rsid w:val="003B7E6A"/>
    <w:rsid w:val="003C319D"/>
    <w:rsid w:val="003C4B70"/>
    <w:rsid w:val="003E2A12"/>
    <w:rsid w:val="003E696E"/>
    <w:rsid w:val="004246BE"/>
    <w:rsid w:val="00440346"/>
    <w:rsid w:val="0044063F"/>
    <w:rsid w:val="00443D57"/>
    <w:rsid w:val="00444E68"/>
    <w:rsid w:val="004B4DFA"/>
    <w:rsid w:val="004B68AE"/>
    <w:rsid w:val="004B7A8A"/>
    <w:rsid w:val="00502504"/>
    <w:rsid w:val="005025FA"/>
    <w:rsid w:val="00512EEF"/>
    <w:rsid w:val="0051688F"/>
    <w:rsid w:val="00535CBF"/>
    <w:rsid w:val="00537183"/>
    <w:rsid w:val="00537195"/>
    <w:rsid w:val="00542A44"/>
    <w:rsid w:val="005446A0"/>
    <w:rsid w:val="00550A3D"/>
    <w:rsid w:val="00551D2F"/>
    <w:rsid w:val="00553C81"/>
    <w:rsid w:val="005613D6"/>
    <w:rsid w:val="00597E14"/>
    <w:rsid w:val="005B0898"/>
    <w:rsid w:val="005C515F"/>
    <w:rsid w:val="005D3E71"/>
    <w:rsid w:val="005F71CF"/>
    <w:rsid w:val="00650281"/>
    <w:rsid w:val="006638E7"/>
    <w:rsid w:val="00677D2D"/>
    <w:rsid w:val="0069370F"/>
    <w:rsid w:val="006A0BBD"/>
    <w:rsid w:val="006A23F6"/>
    <w:rsid w:val="006B5265"/>
    <w:rsid w:val="006B7D12"/>
    <w:rsid w:val="006C2860"/>
    <w:rsid w:val="006D078E"/>
    <w:rsid w:val="00743629"/>
    <w:rsid w:val="007529B2"/>
    <w:rsid w:val="007672BB"/>
    <w:rsid w:val="00795778"/>
    <w:rsid w:val="007A3D8B"/>
    <w:rsid w:val="007B5E03"/>
    <w:rsid w:val="007C1D3E"/>
    <w:rsid w:val="00820DD9"/>
    <w:rsid w:val="00834D0E"/>
    <w:rsid w:val="00841485"/>
    <w:rsid w:val="00841980"/>
    <w:rsid w:val="0084563F"/>
    <w:rsid w:val="008474D6"/>
    <w:rsid w:val="00856C75"/>
    <w:rsid w:val="008643AB"/>
    <w:rsid w:val="00881ECF"/>
    <w:rsid w:val="00882DFF"/>
    <w:rsid w:val="0088377E"/>
    <w:rsid w:val="0089345C"/>
    <w:rsid w:val="00894236"/>
    <w:rsid w:val="008B637B"/>
    <w:rsid w:val="008C786E"/>
    <w:rsid w:val="008F794D"/>
    <w:rsid w:val="00912CA7"/>
    <w:rsid w:val="009154D3"/>
    <w:rsid w:val="009171AE"/>
    <w:rsid w:val="00934E46"/>
    <w:rsid w:val="009554B5"/>
    <w:rsid w:val="00966B50"/>
    <w:rsid w:val="00986498"/>
    <w:rsid w:val="0099009A"/>
    <w:rsid w:val="009A4B68"/>
    <w:rsid w:val="009B573F"/>
    <w:rsid w:val="009C400F"/>
    <w:rsid w:val="009D1981"/>
    <w:rsid w:val="009D4565"/>
    <w:rsid w:val="009E0335"/>
    <w:rsid w:val="009F2D72"/>
    <w:rsid w:val="009F6654"/>
    <w:rsid w:val="009F68B3"/>
    <w:rsid w:val="00A0374F"/>
    <w:rsid w:val="00A26267"/>
    <w:rsid w:val="00A318E9"/>
    <w:rsid w:val="00A32FF4"/>
    <w:rsid w:val="00A40A94"/>
    <w:rsid w:val="00A45176"/>
    <w:rsid w:val="00A47A9C"/>
    <w:rsid w:val="00A60C9B"/>
    <w:rsid w:val="00A81AB3"/>
    <w:rsid w:val="00A85CD7"/>
    <w:rsid w:val="00AE15A6"/>
    <w:rsid w:val="00AE676B"/>
    <w:rsid w:val="00AF1579"/>
    <w:rsid w:val="00B04C97"/>
    <w:rsid w:val="00B65CB9"/>
    <w:rsid w:val="00B775BA"/>
    <w:rsid w:val="00BA52AA"/>
    <w:rsid w:val="00BB1D42"/>
    <w:rsid w:val="00BC317A"/>
    <w:rsid w:val="00BD0AB7"/>
    <w:rsid w:val="00BE6F1F"/>
    <w:rsid w:val="00BF1083"/>
    <w:rsid w:val="00C35061"/>
    <w:rsid w:val="00C5647E"/>
    <w:rsid w:val="00C60580"/>
    <w:rsid w:val="00C763B1"/>
    <w:rsid w:val="00C92DF6"/>
    <w:rsid w:val="00CB6E81"/>
    <w:rsid w:val="00CE2395"/>
    <w:rsid w:val="00CF012E"/>
    <w:rsid w:val="00CF12B8"/>
    <w:rsid w:val="00CF452F"/>
    <w:rsid w:val="00D02B11"/>
    <w:rsid w:val="00D26BAF"/>
    <w:rsid w:val="00D723A4"/>
    <w:rsid w:val="00D7301F"/>
    <w:rsid w:val="00DA0A95"/>
    <w:rsid w:val="00DA3E60"/>
    <w:rsid w:val="00DE60A5"/>
    <w:rsid w:val="00DE6B6A"/>
    <w:rsid w:val="00DE7292"/>
    <w:rsid w:val="00DF3297"/>
    <w:rsid w:val="00DF726A"/>
    <w:rsid w:val="00E11FF4"/>
    <w:rsid w:val="00E51AD5"/>
    <w:rsid w:val="00E52082"/>
    <w:rsid w:val="00E5232F"/>
    <w:rsid w:val="00E62482"/>
    <w:rsid w:val="00E82CEA"/>
    <w:rsid w:val="00E928FC"/>
    <w:rsid w:val="00EC721C"/>
    <w:rsid w:val="00F11601"/>
    <w:rsid w:val="00F7338B"/>
    <w:rsid w:val="00F73B5A"/>
    <w:rsid w:val="00F805D4"/>
    <w:rsid w:val="00F82C51"/>
    <w:rsid w:val="00F82F6F"/>
    <w:rsid w:val="00F847F0"/>
    <w:rsid w:val="00F92894"/>
    <w:rsid w:val="00FB6539"/>
    <w:rsid w:val="00FC5833"/>
    <w:rsid w:val="00FC7966"/>
    <w:rsid w:val="3FBFA4EE"/>
    <w:rsid w:val="3FDFD876"/>
    <w:rsid w:val="3FFBA9B7"/>
    <w:rsid w:val="57F320FB"/>
    <w:rsid w:val="65FECF6D"/>
    <w:rsid w:val="772D72C9"/>
    <w:rsid w:val="77FF0EBA"/>
    <w:rsid w:val="79FD43D5"/>
    <w:rsid w:val="7AEE142F"/>
    <w:rsid w:val="7BF705AB"/>
    <w:rsid w:val="7FFF7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5A"/>
    <w:rPr>
      <w:rFonts w:ascii="Calibri" w:eastAsiaTheme="minorEastAsia" w:hAnsi="Calibri" w:cs="Arial"/>
    </w:rPr>
  </w:style>
  <w:style w:type="paragraph" w:styleId="2">
    <w:name w:val="heading 2"/>
    <w:basedOn w:val="a"/>
    <w:next w:val="a"/>
    <w:link w:val="2Char"/>
    <w:uiPriority w:val="9"/>
    <w:qFormat/>
    <w:rsid w:val="00F73B5A"/>
    <w:pPr>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73B5A"/>
  </w:style>
  <w:style w:type="paragraph" w:styleId="a4">
    <w:name w:val="Balloon Text"/>
    <w:basedOn w:val="a"/>
    <w:link w:val="Char0"/>
    <w:uiPriority w:val="99"/>
    <w:unhideWhenUsed/>
    <w:qFormat/>
    <w:rsid w:val="00F73B5A"/>
    <w:rPr>
      <w:sz w:val="18"/>
      <w:szCs w:val="18"/>
    </w:rPr>
  </w:style>
  <w:style w:type="paragraph" w:styleId="a5">
    <w:name w:val="footer"/>
    <w:basedOn w:val="a"/>
    <w:link w:val="Char1"/>
    <w:uiPriority w:val="99"/>
    <w:unhideWhenUsed/>
    <w:qFormat/>
    <w:rsid w:val="00F73B5A"/>
    <w:pPr>
      <w:tabs>
        <w:tab w:val="center" w:pos="4153"/>
        <w:tab w:val="right" w:pos="8306"/>
      </w:tabs>
      <w:snapToGrid w:val="0"/>
    </w:pPr>
    <w:rPr>
      <w:sz w:val="18"/>
      <w:szCs w:val="18"/>
    </w:rPr>
  </w:style>
  <w:style w:type="paragraph" w:styleId="a6">
    <w:name w:val="header"/>
    <w:basedOn w:val="a"/>
    <w:link w:val="Char2"/>
    <w:uiPriority w:val="99"/>
    <w:unhideWhenUsed/>
    <w:qFormat/>
    <w:rsid w:val="00F73B5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sid w:val="00F73B5A"/>
    <w:rPr>
      <w:b/>
      <w:bCs/>
    </w:rPr>
  </w:style>
  <w:style w:type="table" w:styleId="a8">
    <w:name w:val="Table Grid"/>
    <w:basedOn w:val="a1"/>
    <w:uiPriority w:val="59"/>
    <w:qFormat/>
    <w:rsid w:val="00F73B5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annotation reference"/>
    <w:basedOn w:val="a0"/>
    <w:uiPriority w:val="99"/>
    <w:unhideWhenUsed/>
    <w:qFormat/>
    <w:rsid w:val="00F73B5A"/>
    <w:rPr>
      <w:sz w:val="21"/>
      <w:szCs w:val="21"/>
    </w:rPr>
  </w:style>
  <w:style w:type="character" w:customStyle="1" w:styleId="Char2">
    <w:name w:val="页眉 Char"/>
    <w:basedOn w:val="a0"/>
    <w:link w:val="a6"/>
    <w:uiPriority w:val="99"/>
    <w:qFormat/>
    <w:rsid w:val="00F73B5A"/>
    <w:rPr>
      <w:rFonts w:ascii="Calibri" w:hAnsi="Calibri" w:cs="Arial"/>
      <w:kern w:val="0"/>
      <w:sz w:val="18"/>
      <w:szCs w:val="18"/>
    </w:rPr>
  </w:style>
  <w:style w:type="character" w:customStyle="1" w:styleId="Char1">
    <w:name w:val="页脚 Char"/>
    <w:basedOn w:val="a0"/>
    <w:link w:val="a5"/>
    <w:uiPriority w:val="99"/>
    <w:qFormat/>
    <w:rsid w:val="00F73B5A"/>
    <w:rPr>
      <w:rFonts w:ascii="Calibri" w:hAnsi="Calibri" w:cs="Arial"/>
      <w:kern w:val="0"/>
      <w:sz w:val="18"/>
      <w:szCs w:val="18"/>
    </w:rPr>
  </w:style>
  <w:style w:type="character" w:customStyle="1" w:styleId="Char">
    <w:name w:val="批注文字 Char"/>
    <w:basedOn w:val="a0"/>
    <w:link w:val="a3"/>
    <w:uiPriority w:val="99"/>
    <w:qFormat/>
    <w:rsid w:val="00F73B5A"/>
    <w:rPr>
      <w:rFonts w:ascii="Calibri" w:eastAsiaTheme="minorEastAsia" w:hAnsi="Calibri" w:cs="Arial"/>
    </w:rPr>
  </w:style>
  <w:style w:type="character" w:customStyle="1" w:styleId="Char3">
    <w:name w:val="批注主题 Char"/>
    <w:basedOn w:val="Char"/>
    <w:link w:val="a7"/>
    <w:uiPriority w:val="99"/>
    <w:semiHidden/>
    <w:qFormat/>
    <w:rsid w:val="00F73B5A"/>
    <w:rPr>
      <w:rFonts w:ascii="Calibri" w:eastAsiaTheme="minorEastAsia" w:hAnsi="Calibri" w:cs="Arial"/>
      <w:b/>
      <w:bCs/>
    </w:rPr>
  </w:style>
  <w:style w:type="character" w:customStyle="1" w:styleId="Char0">
    <w:name w:val="批注框文本 Char"/>
    <w:basedOn w:val="a0"/>
    <w:link w:val="a4"/>
    <w:uiPriority w:val="99"/>
    <w:semiHidden/>
    <w:qFormat/>
    <w:rsid w:val="00F73B5A"/>
    <w:rPr>
      <w:rFonts w:ascii="Calibri" w:eastAsiaTheme="minorEastAsia" w:hAnsi="Calibri" w:cs="Arial"/>
      <w:sz w:val="18"/>
      <w:szCs w:val="18"/>
    </w:rPr>
  </w:style>
  <w:style w:type="character" w:customStyle="1" w:styleId="2Char">
    <w:name w:val="标题 2 Char"/>
    <w:basedOn w:val="a0"/>
    <w:link w:val="2"/>
    <w:uiPriority w:val="9"/>
    <w:qFormat/>
    <w:rsid w:val="00F73B5A"/>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204474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4</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SHAN</dc:creator>
  <cp:lastModifiedBy>ZHONGM</cp:lastModifiedBy>
  <cp:revision>2</cp:revision>
  <dcterms:created xsi:type="dcterms:W3CDTF">2024-12-25T16:01:00Z</dcterms:created>
  <dcterms:modified xsi:type="dcterms:W3CDTF">2024-12-25T16:01:00Z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910A1905BB069CEC0D018D6523B5543A_43</vt:lpwstr>
  </property>
</Properties>
</file>