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37" w:rsidRDefault="00F76437" w:rsidP="00F76437">
      <w:pPr>
        <w:jc w:val="center"/>
        <w:rPr>
          <w:rFonts w:ascii="黑体" w:eastAsia="黑体" w:hAnsi="黑体"/>
          <w:b/>
          <w:sz w:val="32"/>
        </w:rPr>
      </w:pPr>
      <w:r w:rsidRPr="00F76437">
        <w:rPr>
          <w:rFonts w:ascii="黑体" w:eastAsia="黑体" w:hAnsi="黑体" w:hint="eastAsia"/>
          <w:b/>
          <w:sz w:val="32"/>
        </w:rPr>
        <w:t>国投瑞银基金管理有限公司关于调整或取消旗下部分基金转换转出限额的公告</w:t>
      </w:r>
    </w:p>
    <w:p w:rsidR="00F76437" w:rsidRPr="00F76437" w:rsidRDefault="00F76437" w:rsidP="00F76437">
      <w:pPr>
        <w:jc w:val="center"/>
        <w:rPr>
          <w:rFonts w:ascii="黑体" w:eastAsia="黑体" w:hAnsi="黑体"/>
          <w:b/>
          <w:sz w:val="32"/>
        </w:rPr>
      </w:pPr>
    </w:p>
    <w:p w:rsidR="00F76437" w:rsidRDefault="00F76437" w:rsidP="00F76437">
      <w:pPr>
        <w:spacing w:line="360" w:lineRule="auto"/>
        <w:ind w:firstLineChars="200" w:firstLine="480"/>
        <w:rPr>
          <w:rFonts w:ascii="宋体" w:hAnsi="宋体" w:cs="宋体"/>
          <w:sz w:val="24"/>
          <w:szCs w:val="24"/>
        </w:rPr>
      </w:pPr>
      <w:r w:rsidRPr="00714645">
        <w:rPr>
          <w:rFonts w:ascii="宋体" w:hAnsi="宋体" w:cs="宋体" w:hint="eastAsia"/>
          <w:sz w:val="24"/>
          <w:szCs w:val="24"/>
        </w:rPr>
        <w:t>为更好地为投资者提供服务</w:t>
      </w:r>
      <w:r w:rsidRPr="005142BC">
        <w:rPr>
          <w:rFonts w:ascii="宋体" w:hAnsi="宋体" w:cs="宋体" w:hint="eastAsia"/>
          <w:sz w:val="24"/>
          <w:szCs w:val="24"/>
        </w:rPr>
        <w:t>，根据国投瑞银基金管理有限公司（以下简称“本公司”）</w:t>
      </w:r>
      <w:r>
        <w:rPr>
          <w:rFonts w:ascii="宋体" w:hAnsi="宋体" w:cs="宋体" w:hint="eastAsia"/>
          <w:sz w:val="24"/>
          <w:szCs w:val="24"/>
        </w:rPr>
        <w:t>相关基金的</w:t>
      </w:r>
      <w:r w:rsidRPr="005142BC">
        <w:rPr>
          <w:rFonts w:ascii="宋体" w:hAnsi="宋体" w:cs="宋体" w:hint="eastAsia"/>
          <w:sz w:val="24"/>
          <w:szCs w:val="24"/>
        </w:rPr>
        <w:t>基金合同、招募说明书的相关规定，本公司决定</w:t>
      </w:r>
      <w:r>
        <w:rPr>
          <w:rFonts w:ascii="宋体" w:hAnsi="宋体" w:cs="宋体" w:hint="eastAsia"/>
          <w:sz w:val="24"/>
          <w:szCs w:val="24"/>
        </w:rPr>
        <w:t>自2</w:t>
      </w:r>
      <w:r>
        <w:rPr>
          <w:rFonts w:ascii="宋体" w:hAnsi="宋体" w:cs="宋体"/>
          <w:sz w:val="24"/>
          <w:szCs w:val="24"/>
        </w:rPr>
        <w:t>024</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日起</w:t>
      </w:r>
      <w:r w:rsidRPr="00F76437">
        <w:rPr>
          <w:rFonts w:ascii="宋体" w:hAnsi="宋体" w:cs="宋体" w:hint="eastAsia"/>
          <w:sz w:val="24"/>
          <w:szCs w:val="24"/>
        </w:rPr>
        <w:t>调整或取消旗下部分基金转换转出限额</w:t>
      </w:r>
      <w:r w:rsidRPr="005142BC">
        <w:rPr>
          <w:rFonts w:ascii="宋体" w:hAnsi="宋体" w:cs="宋体" w:hint="eastAsia"/>
          <w:sz w:val="24"/>
          <w:szCs w:val="24"/>
        </w:rPr>
        <w:t>，详情如下：</w:t>
      </w:r>
    </w:p>
    <w:p w:rsidR="00F76437" w:rsidRDefault="00F76437" w:rsidP="00F76437">
      <w:pPr>
        <w:pStyle w:val="a5"/>
        <w:numPr>
          <w:ilvl w:val="0"/>
          <w:numId w:val="1"/>
        </w:numPr>
        <w:spacing w:line="360" w:lineRule="auto"/>
        <w:ind w:firstLineChars="0"/>
        <w:rPr>
          <w:rFonts w:ascii="宋体" w:hAnsi="宋体" w:cs="宋体-18030"/>
          <w:b/>
          <w:sz w:val="24"/>
        </w:rPr>
      </w:pPr>
      <w:bookmarkStart w:id="0" w:name="_Toc215490167"/>
      <w:r w:rsidRPr="00F76437">
        <w:rPr>
          <w:rFonts w:ascii="宋体" w:hAnsi="宋体" w:cs="宋体-18030" w:hint="eastAsia"/>
          <w:b/>
          <w:sz w:val="24"/>
        </w:rPr>
        <w:t>取消</w:t>
      </w:r>
      <w:r w:rsidR="002F1296">
        <w:rPr>
          <w:rFonts w:ascii="宋体" w:hAnsi="宋体" w:cs="宋体-18030" w:hint="eastAsia"/>
          <w:b/>
          <w:sz w:val="24"/>
        </w:rPr>
        <w:t>部分基金</w:t>
      </w:r>
      <w:r w:rsidRPr="00F76437">
        <w:rPr>
          <w:rFonts w:ascii="宋体" w:hAnsi="宋体" w:cs="宋体-18030" w:hint="eastAsia"/>
          <w:b/>
          <w:sz w:val="24"/>
        </w:rPr>
        <w:t>转换转出限额</w:t>
      </w:r>
      <w:bookmarkEnd w:id="0"/>
    </w:p>
    <w:p w:rsidR="002F1296" w:rsidRPr="00E56D20" w:rsidRDefault="002F1296" w:rsidP="00E56D20">
      <w:pPr>
        <w:spacing w:line="360" w:lineRule="auto"/>
        <w:ind w:left="482"/>
        <w:rPr>
          <w:rFonts w:ascii="宋体" w:hAnsi="宋体" w:cs="宋体-18030"/>
          <w:b/>
          <w:sz w:val="24"/>
        </w:rPr>
      </w:pPr>
      <w:r>
        <w:rPr>
          <w:rFonts w:ascii="宋体" w:hAnsi="宋体" w:cs="宋体-18030" w:hint="eastAsia"/>
          <w:b/>
          <w:sz w:val="24"/>
        </w:rPr>
        <w:t>1、适用基金范围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2"/>
        <w:gridCol w:w="2772"/>
      </w:tblGrid>
      <w:tr w:rsidR="00F76437" w:rsidRPr="00B65CCE" w:rsidTr="00E56D20">
        <w:tc>
          <w:tcPr>
            <w:tcW w:w="5132" w:type="dxa"/>
            <w:vAlign w:val="center"/>
          </w:tcPr>
          <w:p w:rsidR="00F76437" w:rsidRPr="00B65CCE" w:rsidRDefault="00F76437" w:rsidP="00E56D20">
            <w:pPr>
              <w:spacing w:line="360" w:lineRule="auto"/>
              <w:jc w:val="center"/>
              <w:rPr>
                <w:rFonts w:ascii="宋体" w:hAnsi="宋体" w:cs="宋体-18030"/>
                <w:b/>
                <w:szCs w:val="21"/>
              </w:rPr>
            </w:pPr>
            <w:r w:rsidRPr="00B65CCE">
              <w:rPr>
                <w:rFonts w:ascii="宋体" w:hAnsi="宋体" w:cs="宋体-18030" w:hint="eastAsia"/>
                <w:b/>
                <w:szCs w:val="21"/>
              </w:rPr>
              <w:t>基金名称</w:t>
            </w:r>
          </w:p>
        </w:tc>
        <w:tc>
          <w:tcPr>
            <w:tcW w:w="2772" w:type="dxa"/>
            <w:shd w:val="clear" w:color="auto" w:fill="auto"/>
            <w:vAlign w:val="center"/>
            <w:hideMark/>
          </w:tcPr>
          <w:p w:rsidR="00F76437" w:rsidRPr="00B65CCE" w:rsidRDefault="00F76437" w:rsidP="00E56D20">
            <w:pPr>
              <w:spacing w:line="360" w:lineRule="auto"/>
              <w:jc w:val="center"/>
              <w:rPr>
                <w:rFonts w:ascii="宋体" w:hAnsi="宋体" w:cs="宋体-18030"/>
                <w:b/>
                <w:szCs w:val="21"/>
              </w:rPr>
            </w:pPr>
            <w:r w:rsidRPr="00B65CCE">
              <w:rPr>
                <w:rFonts w:ascii="宋体" w:hAnsi="宋体" w:cs="宋体-18030" w:hint="eastAsia"/>
                <w:b/>
                <w:szCs w:val="21"/>
              </w:rPr>
              <w:t>基金代码</w:t>
            </w:r>
          </w:p>
        </w:tc>
      </w:tr>
      <w:tr w:rsidR="00F76437" w:rsidRPr="00B65CCE" w:rsidTr="00E56D20">
        <w:tc>
          <w:tcPr>
            <w:tcW w:w="5132" w:type="dxa"/>
            <w:vAlign w:val="center"/>
          </w:tcPr>
          <w:p w:rsidR="00F76437" w:rsidRPr="00835511" w:rsidRDefault="00F76437" w:rsidP="00E56D20">
            <w:pPr>
              <w:spacing w:line="360" w:lineRule="auto"/>
              <w:jc w:val="center"/>
              <w:rPr>
                <w:rFonts w:ascii="宋体" w:hAnsi="宋体" w:cs="宋体-18030"/>
                <w:szCs w:val="21"/>
              </w:rPr>
            </w:pPr>
            <w:r w:rsidRPr="00F76437">
              <w:rPr>
                <w:rFonts w:ascii="宋体" w:hAnsi="宋体" w:cs="宋体-18030" w:hint="eastAsia"/>
                <w:szCs w:val="21"/>
              </w:rPr>
              <w:t>国投瑞银产业趋势混合型证券投资基金</w:t>
            </w:r>
          </w:p>
        </w:tc>
        <w:tc>
          <w:tcPr>
            <w:tcW w:w="2772" w:type="dxa"/>
            <w:shd w:val="clear" w:color="auto" w:fill="auto"/>
            <w:vAlign w:val="center"/>
            <w:hideMark/>
          </w:tcPr>
          <w:p w:rsidR="00F76437"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F76437" w:rsidRPr="00F76437">
              <w:rPr>
                <w:rFonts w:ascii="宋体" w:hAnsi="宋体" w:cs="宋体-18030"/>
                <w:szCs w:val="21"/>
              </w:rPr>
              <w:t>012148</w:t>
            </w:r>
            <w:r w:rsidR="00F76437">
              <w:rPr>
                <w:rFonts w:ascii="宋体" w:hAnsi="宋体" w:cs="宋体-18030"/>
                <w:szCs w:val="21"/>
              </w:rPr>
              <w:t>/</w:t>
            </w:r>
            <w:r w:rsidR="00F76437">
              <w:t xml:space="preserve"> </w:t>
            </w:r>
            <w:r>
              <w:t>C</w:t>
            </w:r>
            <w:r>
              <w:rPr>
                <w:rFonts w:hint="eastAsia"/>
              </w:rPr>
              <w:t>类</w:t>
            </w:r>
            <w:r w:rsidR="00F76437" w:rsidRPr="00F76437">
              <w:rPr>
                <w:rFonts w:ascii="宋体" w:hAnsi="宋体" w:cs="宋体-18030"/>
                <w:szCs w:val="21"/>
              </w:rPr>
              <w:t>01214</w:t>
            </w:r>
            <w:r w:rsidR="00F76437">
              <w:rPr>
                <w:rFonts w:ascii="宋体" w:hAnsi="宋体" w:cs="宋体-18030"/>
                <w:szCs w:val="21"/>
              </w:rPr>
              <w:t>9</w:t>
            </w:r>
          </w:p>
        </w:tc>
      </w:tr>
      <w:tr w:rsidR="00F76437" w:rsidRPr="00B65CCE" w:rsidTr="00E56D20">
        <w:tc>
          <w:tcPr>
            <w:tcW w:w="5132" w:type="dxa"/>
            <w:vAlign w:val="center"/>
          </w:tcPr>
          <w:p w:rsidR="00F76437" w:rsidRPr="00835511" w:rsidRDefault="00F76437" w:rsidP="00E56D20">
            <w:pPr>
              <w:spacing w:line="360" w:lineRule="auto"/>
              <w:jc w:val="center"/>
              <w:rPr>
                <w:rFonts w:ascii="宋体" w:hAnsi="宋体" w:cs="宋体-18030"/>
                <w:szCs w:val="21"/>
              </w:rPr>
            </w:pPr>
            <w:r w:rsidRPr="00F76437">
              <w:rPr>
                <w:rFonts w:ascii="宋体" w:hAnsi="宋体" w:cs="宋体-18030" w:hint="eastAsia"/>
                <w:szCs w:val="21"/>
              </w:rPr>
              <w:t>国投瑞银价值成长一年持有期混合型证券投资基金</w:t>
            </w:r>
          </w:p>
        </w:tc>
        <w:tc>
          <w:tcPr>
            <w:tcW w:w="2772" w:type="dxa"/>
            <w:shd w:val="clear" w:color="auto" w:fill="auto"/>
            <w:vAlign w:val="center"/>
          </w:tcPr>
          <w:p w:rsidR="00F76437"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F76437" w:rsidRPr="00F76437">
              <w:rPr>
                <w:rFonts w:ascii="宋体" w:hAnsi="宋体" w:cs="宋体-18030"/>
                <w:szCs w:val="21"/>
              </w:rPr>
              <w:t>010423</w:t>
            </w:r>
            <w:r w:rsidR="00F76437">
              <w:rPr>
                <w:rFonts w:ascii="宋体" w:hAnsi="宋体" w:cs="宋体-18030"/>
                <w:szCs w:val="21"/>
              </w:rPr>
              <w:t>/</w:t>
            </w:r>
            <w:r>
              <w:t xml:space="preserve"> C</w:t>
            </w:r>
            <w:r>
              <w:rPr>
                <w:rFonts w:hint="eastAsia"/>
              </w:rPr>
              <w:t>类</w:t>
            </w:r>
            <w:r w:rsidR="00F76437" w:rsidRPr="00F76437">
              <w:rPr>
                <w:rFonts w:ascii="宋体" w:hAnsi="宋体" w:cs="宋体-18030"/>
                <w:szCs w:val="21"/>
              </w:rPr>
              <w:t>01042</w:t>
            </w:r>
            <w:r w:rsidR="00F76437">
              <w:rPr>
                <w:rFonts w:ascii="宋体" w:hAnsi="宋体" w:cs="宋体-18030"/>
                <w:szCs w:val="21"/>
              </w:rPr>
              <w:t>4</w:t>
            </w:r>
          </w:p>
        </w:tc>
      </w:tr>
      <w:tr w:rsidR="00F76437" w:rsidRPr="00B65CCE" w:rsidTr="00E56D20">
        <w:tc>
          <w:tcPr>
            <w:tcW w:w="5132" w:type="dxa"/>
            <w:vAlign w:val="center"/>
          </w:tcPr>
          <w:p w:rsidR="00F76437" w:rsidRPr="00835511" w:rsidRDefault="00F76437" w:rsidP="00E56D20">
            <w:pPr>
              <w:spacing w:line="360" w:lineRule="auto"/>
              <w:jc w:val="center"/>
              <w:rPr>
                <w:rFonts w:ascii="宋体" w:hAnsi="宋体" w:cs="宋体-18030"/>
                <w:szCs w:val="21"/>
              </w:rPr>
            </w:pPr>
            <w:r w:rsidRPr="00F76437">
              <w:rPr>
                <w:rFonts w:ascii="宋体" w:hAnsi="宋体" w:cs="宋体-18030" w:hint="eastAsia"/>
                <w:szCs w:val="21"/>
              </w:rPr>
              <w:t>国投瑞银竞争优势混合型证券投资基金</w:t>
            </w:r>
          </w:p>
        </w:tc>
        <w:tc>
          <w:tcPr>
            <w:tcW w:w="2772" w:type="dxa"/>
            <w:shd w:val="clear" w:color="auto" w:fill="auto"/>
            <w:vAlign w:val="center"/>
          </w:tcPr>
          <w:p w:rsidR="00F76437"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F76437" w:rsidRPr="00F76437">
              <w:rPr>
                <w:rFonts w:ascii="宋体" w:hAnsi="宋体" w:cs="宋体-18030"/>
                <w:szCs w:val="21"/>
              </w:rPr>
              <w:t>014210</w:t>
            </w:r>
            <w:r w:rsidR="00F76437">
              <w:rPr>
                <w:rFonts w:ascii="宋体" w:hAnsi="宋体" w:cs="宋体-18030"/>
                <w:szCs w:val="21"/>
              </w:rPr>
              <w:t>/</w:t>
            </w:r>
            <w:r w:rsidR="00F76437">
              <w:t xml:space="preserve"> </w:t>
            </w:r>
            <w:r>
              <w:t>C</w:t>
            </w:r>
            <w:r>
              <w:rPr>
                <w:rFonts w:hint="eastAsia"/>
              </w:rPr>
              <w:t>类</w:t>
            </w:r>
            <w:r w:rsidR="00F76437" w:rsidRPr="00F76437">
              <w:rPr>
                <w:rFonts w:ascii="宋体" w:hAnsi="宋体" w:cs="宋体-18030"/>
                <w:szCs w:val="21"/>
              </w:rPr>
              <w:t>01421</w:t>
            </w:r>
            <w:r w:rsidR="00F76437">
              <w:rPr>
                <w:rFonts w:ascii="宋体" w:hAnsi="宋体" w:cs="宋体-18030"/>
                <w:szCs w:val="21"/>
              </w:rPr>
              <w:t>1</w:t>
            </w:r>
          </w:p>
        </w:tc>
      </w:tr>
      <w:tr w:rsidR="00F76437" w:rsidRPr="00B65CCE" w:rsidTr="00E56D20">
        <w:tc>
          <w:tcPr>
            <w:tcW w:w="5132" w:type="dxa"/>
            <w:vAlign w:val="center"/>
          </w:tcPr>
          <w:p w:rsidR="00F76437" w:rsidRPr="00835511" w:rsidRDefault="00F76437" w:rsidP="00E56D20">
            <w:pPr>
              <w:spacing w:line="360" w:lineRule="auto"/>
              <w:jc w:val="center"/>
              <w:rPr>
                <w:rFonts w:ascii="宋体" w:hAnsi="宋体" w:cs="宋体-18030"/>
                <w:szCs w:val="21"/>
              </w:rPr>
            </w:pPr>
            <w:r w:rsidRPr="00F76437">
              <w:rPr>
                <w:rFonts w:ascii="宋体" w:hAnsi="宋体" w:cs="宋体-18030" w:hint="eastAsia"/>
                <w:szCs w:val="21"/>
              </w:rPr>
              <w:t>国投瑞银专精特新量化选股混合型证券投资基金</w:t>
            </w:r>
          </w:p>
        </w:tc>
        <w:tc>
          <w:tcPr>
            <w:tcW w:w="2772" w:type="dxa"/>
            <w:shd w:val="clear" w:color="auto" w:fill="auto"/>
            <w:vAlign w:val="center"/>
          </w:tcPr>
          <w:p w:rsidR="00F76437"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F76437" w:rsidRPr="00F76437">
              <w:rPr>
                <w:rFonts w:ascii="宋体" w:hAnsi="宋体" w:cs="宋体-18030"/>
                <w:szCs w:val="21"/>
              </w:rPr>
              <w:t>015842</w:t>
            </w:r>
            <w:r w:rsidR="00F76437">
              <w:rPr>
                <w:rFonts w:ascii="宋体" w:hAnsi="宋体" w:cs="宋体-18030" w:hint="eastAsia"/>
                <w:szCs w:val="21"/>
              </w:rPr>
              <w:t>/</w:t>
            </w:r>
            <w:r w:rsidR="00F76437">
              <w:t xml:space="preserve"> </w:t>
            </w:r>
            <w:r>
              <w:t>C</w:t>
            </w:r>
            <w:r>
              <w:rPr>
                <w:rFonts w:hint="eastAsia"/>
              </w:rPr>
              <w:t>类</w:t>
            </w:r>
            <w:r w:rsidR="00F76437" w:rsidRPr="00F76437">
              <w:rPr>
                <w:rFonts w:ascii="宋体" w:hAnsi="宋体" w:cs="宋体-18030"/>
                <w:szCs w:val="21"/>
              </w:rPr>
              <w:t>01584</w:t>
            </w:r>
            <w:r w:rsidR="00F76437">
              <w:rPr>
                <w:rFonts w:ascii="宋体" w:hAnsi="宋体" w:cs="宋体-18030"/>
                <w:szCs w:val="21"/>
              </w:rPr>
              <w:t>3</w:t>
            </w:r>
          </w:p>
        </w:tc>
      </w:tr>
    </w:tbl>
    <w:p w:rsidR="00F76437" w:rsidRPr="00E56D20" w:rsidRDefault="002F1296" w:rsidP="00E56D20">
      <w:pPr>
        <w:spacing w:line="360" w:lineRule="auto"/>
        <w:ind w:left="482"/>
        <w:rPr>
          <w:rFonts w:ascii="宋体" w:hAnsi="宋体" w:cs="宋体-18030"/>
          <w:b/>
          <w:sz w:val="24"/>
        </w:rPr>
      </w:pPr>
      <w:r>
        <w:rPr>
          <w:rFonts w:ascii="宋体" w:hAnsi="宋体" w:cs="宋体-18030"/>
          <w:b/>
          <w:sz w:val="24"/>
        </w:rPr>
        <w:t>2</w:t>
      </w:r>
      <w:r>
        <w:rPr>
          <w:rFonts w:ascii="宋体" w:hAnsi="宋体" w:cs="宋体-18030" w:hint="eastAsia"/>
          <w:b/>
          <w:sz w:val="24"/>
        </w:rPr>
        <w:t>、</w:t>
      </w:r>
      <w:r w:rsidR="005A3AF6">
        <w:rPr>
          <w:rFonts w:ascii="宋体" w:hAnsi="宋体" w:cs="宋体-18030"/>
          <w:b/>
          <w:sz w:val="24"/>
        </w:rPr>
        <w:t>具体</w:t>
      </w:r>
      <w:r>
        <w:rPr>
          <w:rFonts w:ascii="宋体" w:hAnsi="宋体" w:cs="宋体-18030" w:hint="eastAsia"/>
          <w:b/>
          <w:sz w:val="24"/>
        </w:rPr>
        <w:t>内容</w:t>
      </w:r>
    </w:p>
    <w:p w:rsidR="00F76437" w:rsidRDefault="002F1296" w:rsidP="00F76437">
      <w:pPr>
        <w:spacing w:line="360" w:lineRule="auto"/>
        <w:ind w:firstLineChars="200" w:firstLine="480"/>
        <w:rPr>
          <w:rFonts w:ascii="宋体" w:eastAsia="宋体" w:hAnsi="宋体"/>
          <w:sz w:val="24"/>
        </w:rPr>
      </w:pPr>
      <w:r>
        <w:rPr>
          <w:rFonts w:ascii="宋体" w:eastAsia="宋体" w:hAnsi="宋体" w:hint="eastAsia"/>
          <w:sz w:val="24"/>
        </w:rPr>
        <w:t>（1）</w:t>
      </w:r>
      <w:r w:rsidR="00F76437" w:rsidRPr="00F76437">
        <w:rPr>
          <w:rFonts w:ascii="宋体" w:eastAsia="宋体" w:hAnsi="宋体" w:hint="eastAsia"/>
          <w:sz w:val="24"/>
        </w:rPr>
        <w:t>自2024年12月30日起，上述基金取消</w:t>
      </w:r>
      <w:r w:rsidR="005A3AF6">
        <w:rPr>
          <w:rFonts w:ascii="宋体" w:eastAsia="宋体" w:hAnsi="宋体" w:hint="eastAsia"/>
          <w:sz w:val="24"/>
        </w:rPr>
        <w:t>“</w:t>
      </w:r>
      <w:r w:rsidR="00F76437" w:rsidRPr="00F76437">
        <w:rPr>
          <w:rFonts w:ascii="宋体" w:eastAsia="宋体" w:hAnsi="宋体" w:hint="eastAsia"/>
          <w:sz w:val="24"/>
        </w:rPr>
        <w:t>单个基金账户每一开放日转换转出份额累计不得超过100万份</w:t>
      </w:r>
      <w:r w:rsidR="005A3AF6">
        <w:rPr>
          <w:rFonts w:ascii="宋体" w:eastAsia="宋体" w:hAnsi="宋体" w:hint="eastAsia"/>
          <w:sz w:val="24"/>
        </w:rPr>
        <w:t>”</w:t>
      </w:r>
      <w:r w:rsidR="00F76437" w:rsidRPr="00F76437">
        <w:rPr>
          <w:rFonts w:ascii="宋体" w:eastAsia="宋体" w:hAnsi="宋体" w:hint="eastAsia"/>
          <w:sz w:val="24"/>
        </w:rPr>
        <w:t>的业务限制</w:t>
      </w:r>
      <w:r w:rsidR="00F76437">
        <w:rPr>
          <w:rFonts w:ascii="宋体" w:eastAsia="宋体" w:hAnsi="宋体" w:hint="eastAsia"/>
          <w:sz w:val="24"/>
        </w:rPr>
        <w:t>；</w:t>
      </w:r>
    </w:p>
    <w:p w:rsidR="00F76437" w:rsidRDefault="002F1296" w:rsidP="00F76437">
      <w:pPr>
        <w:spacing w:line="360" w:lineRule="auto"/>
        <w:ind w:firstLineChars="200" w:firstLine="480"/>
        <w:rPr>
          <w:rFonts w:ascii="宋体" w:eastAsia="宋体" w:hAnsi="宋体"/>
          <w:sz w:val="24"/>
        </w:rPr>
      </w:pPr>
      <w:r>
        <w:rPr>
          <w:rFonts w:ascii="宋体" w:eastAsia="宋体" w:hAnsi="宋体" w:hint="eastAsia"/>
          <w:sz w:val="24"/>
        </w:rPr>
        <w:t>（2）</w:t>
      </w:r>
      <w:r w:rsidR="00F76437" w:rsidRPr="00F76437">
        <w:rPr>
          <w:rFonts w:ascii="宋体" w:eastAsia="宋体" w:hAnsi="宋体" w:hint="eastAsia"/>
          <w:sz w:val="24"/>
        </w:rPr>
        <w:t>如基金销售机构有不同规定，投资者在</w:t>
      </w:r>
      <w:r w:rsidR="00B10BE3">
        <w:rPr>
          <w:rFonts w:ascii="宋体" w:eastAsia="宋体" w:hAnsi="宋体" w:hint="eastAsia"/>
          <w:sz w:val="24"/>
        </w:rPr>
        <w:t>基金</w:t>
      </w:r>
      <w:r w:rsidR="00F76437" w:rsidRPr="00F76437">
        <w:rPr>
          <w:rFonts w:ascii="宋体" w:eastAsia="宋体" w:hAnsi="宋体" w:hint="eastAsia"/>
          <w:sz w:val="24"/>
        </w:rPr>
        <w:t>销售机构办理涉及上述规则的业务时，需同时遵循</w:t>
      </w:r>
      <w:r w:rsidR="00B10BE3">
        <w:rPr>
          <w:rFonts w:ascii="宋体" w:eastAsia="宋体" w:hAnsi="宋体" w:hint="eastAsia"/>
          <w:sz w:val="24"/>
        </w:rPr>
        <w:t>基金</w:t>
      </w:r>
      <w:r w:rsidR="00F76437" w:rsidRPr="00F76437">
        <w:rPr>
          <w:rFonts w:ascii="宋体" w:eastAsia="宋体" w:hAnsi="宋体" w:hint="eastAsia"/>
          <w:sz w:val="24"/>
        </w:rPr>
        <w:t>销售机构的相关规定</w:t>
      </w:r>
      <w:r w:rsidR="00F76437">
        <w:rPr>
          <w:rFonts w:ascii="宋体" w:eastAsia="宋体" w:hAnsi="宋体" w:hint="eastAsia"/>
          <w:sz w:val="24"/>
        </w:rPr>
        <w:t>。</w:t>
      </w:r>
    </w:p>
    <w:p w:rsidR="002F1296" w:rsidRDefault="00E62701" w:rsidP="00E62701">
      <w:pPr>
        <w:pStyle w:val="a5"/>
        <w:numPr>
          <w:ilvl w:val="0"/>
          <w:numId w:val="1"/>
        </w:numPr>
        <w:spacing w:line="360" w:lineRule="auto"/>
        <w:ind w:firstLineChars="0"/>
        <w:rPr>
          <w:rFonts w:ascii="宋体" w:hAnsi="宋体" w:cs="宋体-18030"/>
          <w:b/>
          <w:sz w:val="24"/>
        </w:rPr>
      </w:pPr>
      <w:r>
        <w:rPr>
          <w:rFonts w:ascii="宋体" w:hAnsi="宋体" w:cs="宋体-18030" w:hint="eastAsia"/>
          <w:b/>
          <w:sz w:val="24"/>
        </w:rPr>
        <w:t>调整</w:t>
      </w:r>
      <w:r w:rsidR="002F1296">
        <w:rPr>
          <w:rFonts w:ascii="宋体" w:hAnsi="宋体" w:cs="宋体-18030" w:hint="eastAsia"/>
          <w:b/>
          <w:sz w:val="24"/>
        </w:rPr>
        <w:t>部分基金</w:t>
      </w:r>
      <w:r w:rsidR="00F76437" w:rsidRPr="00E62701">
        <w:rPr>
          <w:rFonts w:ascii="宋体" w:hAnsi="宋体" w:cs="宋体-18030" w:hint="eastAsia"/>
          <w:b/>
          <w:sz w:val="24"/>
        </w:rPr>
        <w:t>转换转出限额</w:t>
      </w:r>
    </w:p>
    <w:p w:rsidR="00F76437" w:rsidRPr="00E56D20" w:rsidRDefault="002F1296" w:rsidP="00E56D20">
      <w:pPr>
        <w:spacing w:line="360" w:lineRule="auto"/>
        <w:ind w:left="482"/>
        <w:rPr>
          <w:rFonts w:ascii="宋体" w:hAnsi="宋体" w:cs="宋体-18030"/>
          <w:b/>
          <w:sz w:val="24"/>
        </w:rPr>
      </w:pPr>
      <w:r w:rsidRPr="00E56D20">
        <w:rPr>
          <w:rFonts w:ascii="宋体" w:hAnsi="宋体" w:cs="宋体-18030"/>
          <w:b/>
          <w:sz w:val="24"/>
        </w:rPr>
        <w:t>1</w:t>
      </w:r>
      <w:r w:rsidRPr="00E56D20">
        <w:rPr>
          <w:rFonts w:ascii="宋体" w:hAnsi="宋体" w:cs="宋体-18030" w:hint="eastAsia"/>
          <w:b/>
          <w:sz w:val="24"/>
        </w:rPr>
        <w:t>、适用基金范围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0"/>
        <w:gridCol w:w="2914"/>
      </w:tblGrid>
      <w:tr w:rsidR="00E62701" w:rsidRPr="00B65CCE" w:rsidTr="00E56D20">
        <w:tc>
          <w:tcPr>
            <w:tcW w:w="4990" w:type="dxa"/>
            <w:vAlign w:val="center"/>
          </w:tcPr>
          <w:p w:rsidR="00E62701" w:rsidRPr="00B65CCE" w:rsidRDefault="00E62701" w:rsidP="00E56D20">
            <w:pPr>
              <w:spacing w:line="360" w:lineRule="auto"/>
              <w:jc w:val="center"/>
              <w:rPr>
                <w:rFonts w:ascii="宋体" w:hAnsi="宋体" w:cs="宋体-18030"/>
                <w:b/>
                <w:szCs w:val="21"/>
              </w:rPr>
            </w:pPr>
            <w:r w:rsidRPr="00B65CCE">
              <w:rPr>
                <w:rFonts w:ascii="宋体" w:hAnsi="宋体" w:cs="宋体-18030" w:hint="eastAsia"/>
                <w:b/>
                <w:szCs w:val="21"/>
              </w:rPr>
              <w:t>基金名称</w:t>
            </w:r>
          </w:p>
        </w:tc>
        <w:tc>
          <w:tcPr>
            <w:tcW w:w="2914" w:type="dxa"/>
            <w:shd w:val="clear" w:color="auto" w:fill="auto"/>
            <w:vAlign w:val="center"/>
            <w:hideMark/>
          </w:tcPr>
          <w:p w:rsidR="00E62701" w:rsidRPr="00B65CCE" w:rsidRDefault="00E62701" w:rsidP="00E56D20">
            <w:pPr>
              <w:spacing w:line="360" w:lineRule="auto"/>
              <w:jc w:val="center"/>
              <w:rPr>
                <w:rFonts w:ascii="宋体" w:hAnsi="宋体" w:cs="宋体-18030"/>
                <w:b/>
                <w:szCs w:val="21"/>
              </w:rPr>
            </w:pPr>
            <w:r w:rsidRPr="00B65CCE">
              <w:rPr>
                <w:rFonts w:ascii="宋体" w:hAnsi="宋体" w:cs="宋体-18030" w:hint="eastAsia"/>
                <w:b/>
                <w:szCs w:val="21"/>
              </w:rPr>
              <w:t>基金代码</w:t>
            </w:r>
          </w:p>
        </w:tc>
      </w:tr>
      <w:tr w:rsidR="00E62701" w:rsidRPr="00B65CCE" w:rsidTr="00E56D20">
        <w:tc>
          <w:tcPr>
            <w:tcW w:w="4990" w:type="dxa"/>
            <w:vAlign w:val="center"/>
          </w:tcPr>
          <w:p w:rsidR="00E62701" w:rsidRPr="00835511" w:rsidRDefault="00E62701" w:rsidP="00E56D20">
            <w:pPr>
              <w:spacing w:line="360" w:lineRule="auto"/>
              <w:jc w:val="center"/>
              <w:rPr>
                <w:rFonts w:ascii="宋体" w:hAnsi="宋体" w:cs="宋体-18030"/>
                <w:szCs w:val="21"/>
              </w:rPr>
            </w:pPr>
            <w:r w:rsidRPr="00E62701">
              <w:rPr>
                <w:rFonts w:ascii="宋体" w:hAnsi="宋体" w:cs="宋体-18030" w:hint="eastAsia"/>
                <w:szCs w:val="21"/>
              </w:rPr>
              <w:t>国投瑞银景气驱动混合型证券投资基金</w:t>
            </w:r>
          </w:p>
        </w:tc>
        <w:tc>
          <w:tcPr>
            <w:tcW w:w="2914" w:type="dxa"/>
            <w:shd w:val="clear" w:color="auto" w:fill="auto"/>
            <w:vAlign w:val="center"/>
            <w:hideMark/>
          </w:tcPr>
          <w:p w:rsidR="00E62701"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E62701" w:rsidRPr="00E62701">
              <w:rPr>
                <w:rFonts w:ascii="宋体" w:hAnsi="宋体" w:cs="宋体-18030"/>
                <w:szCs w:val="21"/>
              </w:rPr>
              <w:t>017749</w:t>
            </w:r>
            <w:r w:rsidR="00E62701">
              <w:rPr>
                <w:rFonts w:ascii="宋体" w:hAnsi="宋体" w:cs="宋体-18030"/>
                <w:szCs w:val="21"/>
              </w:rPr>
              <w:t>/</w:t>
            </w:r>
            <w:r w:rsidR="00E62701">
              <w:t xml:space="preserve"> </w:t>
            </w:r>
            <w:r>
              <w:t>C</w:t>
            </w:r>
            <w:r>
              <w:rPr>
                <w:rFonts w:hint="eastAsia"/>
              </w:rPr>
              <w:t>类</w:t>
            </w:r>
            <w:r w:rsidR="00E62701" w:rsidRPr="00E62701">
              <w:rPr>
                <w:rFonts w:ascii="宋体" w:hAnsi="宋体" w:cs="宋体-18030"/>
                <w:szCs w:val="21"/>
              </w:rPr>
              <w:t>0177</w:t>
            </w:r>
            <w:r w:rsidR="00E62701">
              <w:rPr>
                <w:rFonts w:ascii="宋体" w:hAnsi="宋体" w:cs="宋体-18030"/>
                <w:szCs w:val="21"/>
              </w:rPr>
              <w:t>50</w:t>
            </w:r>
          </w:p>
        </w:tc>
      </w:tr>
      <w:tr w:rsidR="00E62701" w:rsidRPr="00B65CCE" w:rsidTr="00E56D20">
        <w:tc>
          <w:tcPr>
            <w:tcW w:w="4990" w:type="dxa"/>
            <w:vAlign w:val="center"/>
          </w:tcPr>
          <w:p w:rsidR="00E62701" w:rsidRPr="00835511" w:rsidRDefault="00E62701" w:rsidP="00E56D20">
            <w:pPr>
              <w:spacing w:line="360" w:lineRule="auto"/>
              <w:jc w:val="center"/>
              <w:rPr>
                <w:rFonts w:ascii="宋体" w:hAnsi="宋体" w:cs="宋体-18030"/>
                <w:szCs w:val="21"/>
              </w:rPr>
            </w:pPr>
            <w:r w:rsidRPr="00E62701">
              <w:rPr>
                <w:rFonts w:ascii="宋体" w:hAnsi="宋体" w:cs="宋体-18030" w:hint="eastAsia"/>
                <w:szCs w:val="21"/>
              </w:rPr>
              <w:t>国投瑞银创新医疗灵活配置混合型证券投资基金</w:t>
            </w:r>
          </w:p>
        </w:tc>
        <w:tc>
          <w:tcPr>
            <w:tcW w:w="2914" w:type="dxa"/>
            <w:shd w:val="clear" w:color="auto" w:fill="auto"/>
            <w:vAlign w:val="center"/>
          </w:tcPr>
          <w:p w:rsidR="00E62701"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E62701" w:rsidRPr="00E62701">
              <w:rPr>
                <w:rFonts w:ascii="宋体" w:hAnsi="宋体" w:cs="宋体-18030"/>
                <w:szCs w:val="21"/>
              </w:rPr>
              <w:t>005520</w:t>
            </w:r>
            <w:r w:rsidR="00E62701">
              <w:rPr>
                <w:rFonts w:ascii="宋体" w:hAnsi="宋体" w:cs="宋体-18030"/>
                <w:szCs w:val="21"/>
              </w:rPr>
              <w:t>/</w:t>
            </w:r>
            <w:r w:rsidR="00E62701">
              <w:t xml:space="preserve"> </w:t>
            </w:r>
            <w:r>
              <w:t>C</w:t>
            </w:r>
            <w:r>
              <w:rPr>
                <w:rFonts w:hint="eastAsia"/>
              </w:rPr>
              <w:t>类</w:t>
            </w:r>
            <w:r w:rsidR="00E62701" w:rsidRPr="00E56D20">
              <w:rPr>
                <w:rFonts w:ascii="宋体" w:hAnsi="宋体" w:cs="宋体-18030"/>
                <w:szCs w:val="21"/>
              </w:rPr>
              <w:t>021546</w:t>
            </w:r>
          </w:p>
        </w:tc>
      </w:tr>
      <w:tr w:rsidR="00E62701" w:rsidRPr="00B65CCE" w:rsidTr="00E56D20">
        <w:tc>
          <w:tcPr>
            <w:tcW w:w="4990" w:type="dxa"/>
            <w:vAlign w:val="center"/>
          </w:tcPr>
          <w:p w:rsidR="00E62701" w:rsidRPr="00835511" w:rsidRDefault="00E62701" w:rsidP="00E56D20">
            <w:pPr>
              <w:spacing w:line="360" w:lineRule="auto"/>
              <w:jc w:val="center"/>
              <w:rPr>
                <w:rFonts w:ascii="宋体" w:hAnsi="宋体" w:cs="宋体-18030"/>
                <w:szCs w:val="21"/>
              </w:rPr>
            </w:pPr>
            <w:r w:rsidRPr="00E62701">
              <w:rPr>
                <w:rFonts w:ascii="宋体" w:hAnsi="宋体" w:cs="宋体-18030" w:hint="eastAsia"/>
                <w:szCs w:val="21"/>
              </w:rPr>
              <w:t>国投瑞银策略回报混合型证券投资基金</w:t>
            </w:r>
          </w:p>
        </w:tc>
        <w:tc>
          <w:tcPr>
            <w:tcW w:w="2914" w:type="dxa"/>
            <w:shd w:val="clear" w:color="auto" w:fill="auto"/>
            <w:vAlign w:val="center"/>
          </w:tcPr>
          <w:p w:rsidR="00E62701"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E62701" w:rsidRPr="00E62701">
              <w:rPr>
                <w:rFonts w:ascii="宋体" w:hAnsi="宋体" w:cs="宋体-18030"/>
                <w:szCs w:val="21"/>
              </w:rPr>
              <w:t>013636</w:t>
            </w:r>
            <w:r w:rsidR="00E62701">
              <w:rPr>
                <w:rFonts w:ascii="宋体" w:hAnsi="宋体" w:cs="宋体-18030"/>
                <w:szCs w:val="21"/>
              </w:rPr>
              <w:t>/</w:t>
            </w:r>
            <w:r w:rsidR="00E62701">
              <w:t xml:space="preserve"> </w:t>
            </w:r>
            <w:r>
              <w:t>C</w:t>
            </w:r>
            <w:r>
              <w:rPr>
                <w:rFonts w:hint="eastAsia"/>
              </w:rPr>
              <w:t>类</w:t>
            </w:r>
            <w:r w:rsidR="00E62701" w:rsidRPr="00E62701">
              <w:rPr>
                <w:rFonts w:ascii="宋体" w:hAnsi="宋体" w:cs="宋体-18030"/>
                <w:szCs w:val="21"/>
              </w:rPr>
              <w:t>01363</w:t>
            </w:r>
            <w:r w:rsidR="00E62701">
              <w:rPr>
                <w:rFonts w:ascii="宋体" w:hAnsi="宋体" w:cs="宋体-18030"/>
                <w:szCs w:val="21"/>
              </w:rPr>
              <w:t>7</w:t>
            </w:r>
          </w:p>
        </w:tc>
      </w:tr>
      <w:tr w:rsidR="00E62701" w:rsidRPr="00B65CCE" w:rsidTr="00E56D20">
        <w:tc>
          <w:tcPr>
            <w:tcW w:w="4990" w:type="dxa"/>
            <w:vAlign w:val="center"/>
          </w:tcPr>
          <w:p w:rsidR="00E62701" w:rsidRPr="00835511" w:rsidRDefault="00E62701" w:rsidP="00E56D20">
            <w:pPr>
              <w:spacing w:line="360" w:lineRule="auto"/>
              <w:jc w:val="center"/>
              <w:rPr>
                <w:rFonts w:ascii="宋体" w:hAnsi="宋体" w:cs="宋体-18030"/>
                <w:szCs w:val="21"/>
              </w:rPr>
            </w:pPr>
            <w:r w:rsidRPr="00E62701">
              <w:rPr>
                <w:rFonts w:ascii="宋体" w:hAnsi="宋体" w:cs="宋体-18030" w:hint="eastAsia"/>
                <w:szCs w:val="21"/>
              </w:rPr>
              <w:t>国投瑞银策略智选混合型证券投资基金</w:t>
            </w:r>
          </w:p>
        </w:tc>
        <w:tc>
          <w:tcPr>
            <w:tcW w:w="2914" w:type="dxa"/>
            <w:shd w:val="clear" w:color="auto" w:fill="auto"/>
            <w:vAlign w:val="center"/>
          </w:tcPr>
          <w:p w:rsidR="00E62701" w:rsidRPr="00B65CCE"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E62701" w:rsidRPr="00E62701">
              <w:rPr>
                <w:rFonts w:ascii="宋体" w:hAnsi="宋体" w:cs="宋体-18030"/>
                <w:szCs w:val="21"/>
              </w:rPr>
              <w:t>017216</w:t>
            </w:r>
            <w:r w:rsidR="00E62701">
              <w:rPr>
                <w:rFonts w:ascii="宋体" w:hAnsi="宋体" w:cs="宋体-18030" w:hint="eastAsia"/>
                <w:szCs w:val="21"/>
              </w:rPr>
              <w:t>/</w:t>
            </w:r>
            <w:r w:rsidR="00E62701">
              <w:t xml:space="preserve"> </w:t>
            </w:r>
            <w:r>
              <w:t>C</w:t>
            </w:r>
            <w:r>
              <w:rPr>
                <w:rFonts w:hint="eastAsia"/>
              </w:rPr>
              <w:t>类</w:t>
            </w:r>
            <w:r w:rsidR="00E62701" w:rsidRPr="00E62701">
              <w:rPr>
                <w:rFonts w:ascii="宋体" w:hAnsi="宋体" w:cs="宋体-18030"/>
                <w:szCs w:val="21"/>
              </w:rPr>
              <w:t>01721</w:t>
            </w:r>
            <w:r w:rsidR="00E62701">
              <w:rPr>
                <w:rFonts w:ascii="宋体" w:hAnsi="宋体" w:cs="宋体-18030"/>
                <w:szCs w:val="21"/>
              </w:rPr>
              <w:t>7</w:t>
            </w:r>
          </w:p>
        </w:tc>
      </w:tr>
      <w:tr w:rsidR="00E62701" w:rsidRPr="00B65CCE" w:rsidTr="00E56D20">
        <w:tc>
          <w:tcPr>
            <w:tcW w:w="4990" w:type="dxa"/>
            <w:vAlign w:val="center"/>
          </w:tcPr>
          <w:p w:rsidR="00E62701" w:rsidRPr="00F76437" w:rsidRDefault="00E62701" w:rsidP="00E56D20">
            <w:pPr>
              <w:spacing w:line="360" w:lineRule="auto"/>
              <w:jc w:val="center"/>
              <w:rPr>
                <w:rFonts w:ascii="宋体" w:hAnsi="宋体" w:cs="宋体-18030"/>
                <w:szCs w:val="21"/>
              </w:rPr>
            </w:pPr>
            <w:r w:rsidRPr="00E62701">
              <w:rPr>
                <w:rFonts w:ascii="宋体" w:hAnsi="宋体" w:cs="宋体-18030" w:hint="eastAsia"/>
                <w:szCs w:val="21"/>
              </w:rPr>
              <w:t>国投瑞银产业转型一年持有期混合型证券投资基金</w:t>
            </w:r>
          </w:p>
        </w:tc>
        <w:tc>
          <w:tcPr>
            <w:tcW w:w="2914" w:type="dxa"/>
            <w:shd w:val="clear" w:color="auto" w:fill="auto"/>
            <w:vAlign w:val="center"/>
          </w:tcPr>
          <w:p w:rsidR="00E62701" w:rsidRPr="00F76437" w:rsidRDefault="00F94A5A" w:rsidP="00E56D20">
            <w:pPr>
              <w:spacing w:line="360" w:lineRule="auto"/>
              <w:jc w:val="center"/>
              <w:rPr>
                <w:rFonts w:ascii="宋体" w:hAnsi="宋体" w:cs="宋体-18030"/>
                <w:szCs w:val="21"/>
              </w:rPr>
            </w:pPr>
            <w:r>
              <w:rPr>
                <w:rFonts w:ascii="宋体" w:hAnsi="宋体" w:cs="宋体-18030"/>
                <w:szCs w:val="21"/>
              </w:rPr>
              <w:t>A</w:t>
            </w:r>
            <w:r>
              <w:rPr>
                <w:rFonts w:ascii="宋体" w:hAnsi="宋体" w:cs="宋体-18030" w:hint="eastAsia"/>
                <w:szCs w:val="21"/>
              </w:rPr>
              <w:t>类</w:t>
            </w:r>
            <w:r w:rsidR="00E62701" w:rsidRPr="00E62701">
              <w:rPr>
                <w:rFonts w:ascii="宋体" w:hAnsi="宋体" w:cs="宋体-18030"/>
                <w:szCs w:val="21"/>
              </w:rPr>
              <w:t>015285</w:t>
            </w:r>
            <w:r w:rsidR="00E62701">
              <w:rPr>
                <w:rFonts w:ascii="宋体" w:hAnsi="宋体" w:cs="宋体-18030"/>
                <w:szCs w:val="21"/>
              </w:rPr>
              <w:t>/</w:t>
            </w:r>
            <w:r>
              <w:t xml:space="preserve"> C</w:t>
            </w:r>
            <w:r>
              <w:rPr>
                <w:rFonts w:hint="eastAsia"/>
              </w:rPr>
              <w:t>类</w:t>
            </w:r>
            <w:r w:rsidR="00E62701" w:rsidRPr="00E62701">
              <w:rPr>
                <w:rFonts w:ascii="宋体" w:hAnsi="宋体" w:cs="宋体-18030"/>
                <w:szCs w:val="21"/>
              </w:rPr>
              <w:t>01528</w:t>
            </w:r>
            <w:r w:rsidR="00E62701">
              <w:rPr>
                <w:rFonts w:ascii="宋体" w:hAnsi="宋体" w:cs="宋体-18030"/>
                <w:szCs w:val="21"/>
              </w:rPr>
              <w:t>6</w:t>
            </w:r>
          </w:p>
        </w:tc>
      </w:tr>
    </w:tbl>
    <w:p w:rsidR="00E62701" w:rsidRPr="00E56D20" w:rsidRDefault="002F1296" w:rsidP="00E56D20">
      <w:pPr>
        <w:spacing w:line="360" w:lineRule="auto"/>
        <w:ind w:left="482"/>
        <w:rPr>
          <w:rFonts w:ascii="宋体" w:hAnsi="宋体" w:cs="宋体-18030"/>
          <w:b/>
          <w:sz w:val="24"/>
        </w:rPr>
      </w:pPr>
      <w:r>
        <w:rPr>
          <w:rFonts w:ascii="宋体" w:hAnsi="宋体" w:cs="宋体-18030"/>
          <w:b/>
          <w:sz w:val="24"/>
        </w:rPr>
        <w:t>2</w:t>
      </w:r>
      <w:r>
        <w:rPr>
          <w:rFonts w:ascii="宋体" w:hAnsi="宋体" w:cs="宋体-18030" w:hint="eastAsia"/>
          <w:b/>
          <w:sz w:val="24"/>
        </w:rPr>
        <w:t>、</w:t>
      </w:r>
      <w:r w:rsidR="005A3AF6">
        <w:rPr>
          <w:rFonts w:ascii="宋体" w:hAnsi="宋体" w:cs="宋体-18030"/>
          <w:b/>
          <w:sz w:val="24"/>
        </w:rPr>
        <w:t>具体</w:t>
      </w:r>
      <w:r>
        <w:rPr>
          <w:rFonts w:ascii="宋体" w:hAnsi="宋体" w:cs="宋体-18030" w:hint="eastAsia"/>
          <w:b/>
          <w:sz w:val="24"/>
        </w:rPr>
        <w:t>内容</w:t>
      </w:r>
    </w:p>
    <w:p w:rsidR="00E62701" w:rsidRPr="00E62701" w:rsidRDefault="002F1296" w:rsidP="00E62701">
      <w:pPr>
        <w:spacing w:line="360" w:lineRule="auto"/>
        <w:ind w:firstLineChars="200" w:firstLine="480"/>
        <w:rPr>
          <w:rFonts w:ascii="宋体" w:eastAsia="宋体" w:hAnsi="宋体"/>
          <w:sz w:val="24"/>
        </w:rPr>
      </w:pPr>
      <w:r>
        <w:rPr>
          <w:rFonts w:ascii="宋体" w:eastAsia="宋体" w:hAnsi="宋体" w:hint="eastAsia"/>
          <w:sz w:val="24"/>
        </w:rPr>
        <w:t>（1）</w:t>
      </w:r>
      <w:r w:rsidR="00E62701" w:rsidRPr="00E62701">
        <w:rPr>
          <w:rFonts w:ascii="宋体" w:eastAsia="宋体" w:hAnsi="宋体" w:hint="eastAsia"/>
          <w:sz w:val="24"/>
        </w:rPr>
        <w:t>自2024年12月30日起，上述基金</w:t>
      </w:r>
      <w:r w:rsidR="00375F2E">
        <w:rPr>
          <w:rFonts w:ascii="宋体" w:eastAsia="宋体" w:hAnsi="宋体" w:hint="eastAsia"/>
          <w:sz w:val="24"/>
        </w:rPr>
        <w:t>“</w:t>
      </w:r>
      <w:r w:rsidR="00E62701" w:rsidRPr="00E62701">
        <w:rPr>
          <w:rFonts w:ascii="宋体" w:eastAsia="宋体" w:hAnsi="宋体" w:hint="eastAsia"/>
          <w:sz w:val="24"/>
        </w:rPr>
        <w:t>单个基金账户每一开放日转换转</w:t>
      </w:r>
      <w:r w:rsidR="00E62701" w:rsidRPr="00E62701">
        <w:rPr>
          <w:rFonts w:ascii="宋体" w:eastAsia="宋体" w:hAnsi="宋体" w:hint="eastAsia"/>
          <w:sz w:val="24"/>
        </w:rPr>
        <w:lastRenderedPageBreak/>
        <w:t>出份额累计不得超过100万份</w:t>
      </w:r>
      <w:r w:rsidR="00375F2E">
        <w:rPr>
          <w:rFonts w:ascii="宋体" w:eastAsia="宋体" w:hAnsi="宋体" w:hint="eastAsia"/>
          <w:sz w:val="24"/>
        </w:rPr>
        <w:t>”</w:t>
      </w:r>
      <w:r w:rsidR="00E62701" w:rsidRPr="00E62701">
        <w:rPr>
          <w:rFonts w:ascii="宋体" w:eastAsia="宋体" w:hAnsi="宋体" w:hint="eastAsia"/>
          <w:sz w:val="24"/>
        </w:rPr>
        <w:t>的业务限制，调整为</w:t>
      </w:r>
      <w:r w:rsidR="00375F2E">
        <w:rPr>
          <w:rFonts w:ascii="宋体" w:eastAsia="宋体" w:hAnsi="宋体" w:hint="eastAsia"/>
          <w:sz w:val="24"/>
        </w:rPr>
        <w:t>“</w:t>
      </w:r>
      <w:r w:rsidR="00E62701" w:rsidRPr="00E62701">
        <w:rPr>
          <w:rFonts w:ascii="宋体" w:eastAsia="宋体" w:hAnsi="宋体" w:hint="eastAsia"/>
          <w:sz w:val="24"/>
        </w:rPr>
        <w:t>单个基金账户每一开放日转换转出份额累计不得超过100</w:t>
      </w:r>
      <w:r w:rsidR="00E62701" w:rsidRPr="00E62701">
        <w:rPr>
          <w:rFonts w:ascii="宋体" w:eastAsia="宋体" w:hAnsi="宋体"/>
          <w:sz w:val="24"/>
        </w:rPr>
        <w:t>0</w:t>
      </w:r>
      <w:r w:rsidR="00E62701" w:rsidRPr="00E62701">
        <w:rPr>
          <w:rFonts w:ascii="宋体" w:eastAsia="宋体" w:hAnsi="宋体" w:hint="eastAsia"/>
          <w:sz w:val="24"/>
        </w:rPr>
        <w:t>万份</w:t>
      </w:r>
      <w:r w:rsidR="00375F2E">
        <w:rPr>
          <w:rFonts w:ascii="宋体" w:eastAsia="宋体" w:hAnsi="宋体" w:hint="eastAsia"/>
          <w:sz w:val="24"/>
        </w:rPr>
        <w:t>”</w:t>
      </w:r>
      <w:r w:rsidR="00E62701" w:rsidRPr="00E62701">
        <w:rPr>
          <w:rFonts w:ascii="宋体" w:eastAsia="宋体" w:hAnsi="宋体" w:hint="eastAsia"/>
          <w:sz w:val="24"/>
        </w:rPr>
        <w:t>的业务限制；</w:t>
      </w:r>
    </w:p>
    <w:p w:rsidR="00E62701" w:rsidRPr="00E62701" w:rsidRDefault="002F1296" w:rsidP="00E62701">
      <w:pPr>
        <w:spacing w:line="360" w:lineRule="auto"/>
        <w:ind w:firstLineChars="200" w:firstLine="480"/>
        <w:rPr>
          <w:rFonts w:ascii="宋体" w:eastAsia="宋体" w:hAnsi="宋体"/>
          <w:sz w:val="24"/>
        </w:rPr>
      </w:pPr>
      <w:r>
        <w:rPr>
          <w:rFonts w:ascii="宋体" w:eastAsia="宋体" w:hAnsi="宋体" w:hint="eastAsia"/>
          <w:sz w:val="24"/>
        </w:rPr>
        <w:t>（2）</w:t>
      </w:r>
      <w:r w:rsidR="00E62701" w:rsidRPr="00F76437">
        <w:rPr>
          <w:rFonts w:ascii="宋体" w:eastAsia="宋体" w:hAnsi="宋体" w:hint="eastAsia"/>
          <w:sz w:val="24"/>
        </w:rPr>
        <w:t>如基金销售机构有不同规定，投资者在</w:t>
      </w:r>
      <w:r w:rsidR="00B10BE3">
        <w:rPr>
          <w:rFonts w:ascii="宋体" w:eastAsia="宋体" w:hAnsi="宋体" w:hint="eastAsia"/>
          <w:sz w:val="24"/>
        </w:rPr>
        <w:t>基金</w:t>
      </w:r>
      <w:r w:rsidR="00E62701" w:rsidRPr="00F76437">
        <w:rPr>
          <w:rFonts w:ascii="宋体" w:eastAsia="宋体" w:hAnsi="宋体" w:hint="eastAsia"/>
          <w:sz w:val="24"/>
        </w:rPr>
        <w:t>销售机构办理涉及上述规则的业务时，需同时遵循</w:t>
      </w:r>
      <w:r w:rsidR="00B10BE3">
        <w:rPr>
          <w:rFonts w:ascii="宋体" w:eastAsia="宋体" w:hAnsi="宋体" w:hint="eastAsia"/>
          <w:sz w:val="24"/>
        </w:rPr>
        <w:t>基金</w:t>
      </w:r>
      <w:r w:rsidR="00E62701" w:rsidRPr="00F76437">
        <w:rPr>
          <w:rFonts w:ascii="宋体" w:eastAsia="宋体" w:hAnsi="宋体" w:hint="eastAsia"/>
          <w:sz w:val="24"/>
        </w:rPr>
        <w:t>销售机构的相关规定</w:t>
      </w:r>
      <w:r w:rsidR="00E62701">
        <w:rPr>
          <w:rFonts w:ascii="宋体" w:eastAsia="宋体" w:hAnsi="宋体" w:hint="eastAsia"/>
          <w:sz w:val="24"/>
        </w:rPr>
        <w:t>。</w:t>
      </w:r>
    </w:p>
    <w:p w:rsidR="00F76437" w:rsidRDefault="00FB74E2" w:rsidP="00FB74E2">
      <w:pPr>
        <w:pStyle w:val="a5"/>
        <w:numPr>
          <w:ilvl w:val="0"/>
          <w:numId w:val="1"/>
        </w:numPr>
        <w:spacing w:line="360" w:lineRule="auto"/>
        <w:ind w:firstLineChars="0"/>
        <w:rPr>
          <w:rFonts w:ascii="宋体" w:hAnsi="宋体" w:cs="宋体-18030"/>
          <w:b/>
          <w:sz w:val="24"/>
        </w:rPr>
      </w:pPr>
      <w:r>
        <w:rPr>
          <w:rFonts w:ascii="宋体" w:hAnsi="宋体" w:cs="宋体-18030" w:hint="eastAsia"/>
          <w:b/>
          <w:sz w:val="24"/>
        </w:rPr>
        <w:t>转换费率</w:t>
      </w:r>
    </w:p>
    <w:p w:rsidR="00FB74E2" w:rsidRPr="00FB74E2" w:rsidRDefault="00FB74E2" w:rsidP="00FB74E2">
      <w:pPr>
        <w:spacing w:line="360" w:lineRule="auto"/>
        <w:ind w:firstLineChars="200" w:firstLine="480"/>
        <w:rPr>
          <w:rFonts w:ascii="宋体" w:eastAsia="宋体" w:hAnsi="宋体"/>
          <w:sz w:val="24"/>
        </w:rPr>
      </w:pPr>
      <w:r w:rsidRPr="00FB74E2">
        <w:rPr>
          <w:rFonts w:ascii="宋体" w:eastAsia="宋体" w:hAnsi="宋体" w:hint="eastAsia"/>
          <w:sz w:val="24"/>
        </w:rPr>
        <w:t>基金转换费用由转出基金赎回费和</w:t>
      </w:r>
      <w:r w:rsidR="00EA793C">
        <w:rPr>
          <w:rFonts w:ascii="宋体" w:eastAsia="宋体" w:hAnsi="宋体" w:hint="eastAsia"/>
          <w:sz w:val="24"/>
        </w:rPr>
        <w:t>基金转换的</w:t>
      </w:r>
      <w:r w:rsidRPr="00FB74E2">
        <w:rPr>
          <w:rFonts w:ascii="宋体" w:eastAsia="宋体" w:hAnsi="宋体" w:hint="eastAsia"/>
          <w:sz w:val="24"/>
        </w:rPr>
        <w:t>申购补差费组成</w:t>
      </w:r>
      <w:r w:rsidR="00EA793C">
        <w:rPr>
          <w:rFonts w:ascii="宋体" w:eastAsia="宋体" w:hAnsi="宋体" w:hint="eastAsia"/>
          <w:sz w:val="24"/>
        </w:rPr>
        <w:t>。</w:t>
      </w:r>
      <w:r w:rsidRPr="00FB74E2">
        <w:rPr>
          <w:rFonts w:ascii="宋体" w:eastAsia="宋体" w:hAnsi="宋体" w:hint="eastAsia"/>
          <w:sz w:val="24"/>
        </w:rPr>
        <w:t>在进行基金转换时，转出基金视同赎回申请，如涉及的转出基金有赎回费用,则收取该基金的赎回费用</w:t>
      </w:r>
      <w:r w:rsidR="00EA793C">
        <w:rPr>
          <w:rFonts w:ascii="宋体" w:eastAsia="宋体" w:hAnsi="宋体" w:hint="eastAsia"/>
          <w:sz w:val="24"/>
        </w:rPr>
        <w:t>；</w:t>
      </w:r>
      <w:r w:rsidRPr="00FB74E2">
        <w:rPr>
          <w:rFonts w:ascii="宋体" w:eastAsia="宋体" w:hAnsi="宋体" w:hint="eastAsia"/>
          <w:sz w:val="24"/>
        </w:rPr>
        <w:t>从申购费用低的基金向申购费用高的基金转换时，每次收取申购补差费用，从申购费用高的基金向申购费用低的基金转换时，不收取申购补差费用。基金转换采取单笔计算法，投资人当日多次转换的，单笔计算转换费。</w:t>
      </w:r>
    </w:p>
    <w:p w:rsidR="00FB74E2" w:rsidRDefault="00FB74E2" w:rsidP="00FB74E2">
      <w:pPr>
        <w:pStyle w:val="a5"/>
        <w:numPr>
          <w:ilvl w:val="0"/>
          <w:numId w:val="1"/>
        </w:numPr>
        <w:spacing w:line="360" w:lineRule="auto"/>
        <w:ind w:firstLineChars="0"/>
        <w:rPr>
          <w:rFonts w:ascii="宋体" w:hAnsi="宋体" w:cs="宋体-18030"/>
          <w:b/>
          <w:sz w:val="24"/>
        </w:rPr>
      </w:pPr>
      <w:r w:rsidRPr="00FB74E2">
        <w:rPr>
          <w:rFonts w:ascii="宋体" w:hAnsi="宋体" w:cs="宋体-18030" w:hint="eastAsia"/>
          <w:b/>
          <w:sz w:val="24"/>
        </w:rPr>
        <w:t>其他与转换相关的事项</w:t>
      </w:r>
    </w:p>
    <w:p w:rsidR="00FB74E2" w:rsidRDefault="00FB74E2" w:rsidP="00FB74E2">
      <w:pPr>
        <w:spacing w:line="360" w:lineRule="auto"/>
        <w:ind w:firstLineChars="200" w:firstLine="480"/>
        <w:rPr>
          <w:rFonts w:ascii="宋体" w:eastAsia="宋体" w:hAnsi="宋体"/>
          <w:sz w:val="24"/>
        </w:rPr>
      </w:pPr>
      <w:bookmarkStart w:id="1" w:name="_GoBack"/>
      <w:bookmarkEnd w:id="1"/>
      <w:r w:rsidRPr="00FB74E2">
        <w:rPr>
          <w:rFonts w:ascii="宋体" w:eastAsia="宋体" w:hAnsi="宋体" w:hint="eastAsia"/>
          <w:sz w:val="24"/>
        </w:rPr>
        <w:t>投资者可登录国投瑞银基金管理有限公司网站（www.ubssdic.com）或拨打客户服务电话（400-880-6868、0755-83160000）咨询相关情况。</w:t>
      </w:r>
    </w:p>
    <w:p w:rsidR="00FB74E2" w:rsidRDefault="00FB74E2" w:rsidP="00FB74E2">
      <w:pPr>
        <w:spacing w:line="360" w:lineRule="auto"/>
        <w:ind w:firstLineChars="200" w:firstLine="480"/>
        <w:rPr>
          <w:rFonts w:ascii="宋体" w:eastAsia="宋体" w:hAnsi="宋体"/>
          <w:sz w:val="24"/>
        </w:rPr>
      </w:pPr>
    </w:p>
    <w:p w:rsidR="00FB74E2" w:rsidRPr="00285BD0" w:rsidRDefault="00FB74E2" w:rsidP="00FB74E2">
      <w:pPr>
        <w:widowControl/>
        <w:spacing w:line="360" w:lineRule="auto"/>
        <w:ind w:firstLineChars="200" w:firstLine="480"/>
        <w:contextualSpacing/>
        <w:jc w:val="left"/>
        <w:rPr>
          <w:rFonts w:ascii="宋体" w:eastAsia="宋体" w:hAnsi="宋体" w:cs="Arial"/>
          <w:color w:val="000000" w:themeColor="text1"/>
          <w:kern w:val="0"/>
          <w:sz w:val="24"/>
          <w:szCs w:val="24"/>
        </w:rPr>
      </w:pPr>
      <w:r w:rsidRPr="00285BD0">
        <w:rPr>
          <w:rFonts w:ascii="宋体" w:eastAsia="宋体" w:hAnsi="宋体" w:cs="Arial" w:hint="eastAsia"/>
          <w:color w:val="000000" w:themeColor="text1"/>
          <w:kern w:val="0"/>
          <w:sz w:val="24"/>
          <w:szCs w:val="24"/>
        </w:rPr>
        <w:t>投资者投资国投瑞银旗下基金前，请仔细阅读《基金合同》、《招募说明书》、《基金产品资料概要》等相关法律文件。</w:t>
      </w:r>
    </w:p>
    <w:p w:rsidR="00FB74E2" w:rsidRPr="00285BD0" w:rsidRDefault="00FB74E2" w:rsidP="00FB74E2">
      <w:pPr>
        <w:widowControl/>
        <w:spacing w:line="360" w:lineRule="auto"/>
        <w:ind w:firstLineChars="200" w:firstLine="480"/>
        <w:contextualSpacing/>
        <w:jc w:val="left"/>
        <w:rPr>
          <w:rFonts w:ascii="宋体" w:eastAsia="宋体" w:hAnsi="宋体" w:cs="Arial"/>
          <w:color w:val="000000" w:themeColor="text1"/>
          <w:kern w:val="0"/>
          <w:sz w:val="24"/>
          <w:szCs w:val="24"/>
        </w:rPr>
      </w:pPr>
      <w:r w:rsidRPr="00285BD0">
        <w:rPr>
          <w:rFonts w:ascii="宋体" w:eastAsia="宋体" w:hAnsi="宋体" w:cs="Arial" w:hint="eastAsia"/>
          <w:color w:val="000000" w:themeColor="text1"/>
          <w:kern w:val="0"/>
          <w:sz w:val="24"/>
          <w:szCs w:val="24"/>
        </w:rPr>
        <w:t>风险提示：基金管理人依照恪尽职守、诚实信用、谨慎勤勉的原则管理和运用基金财产，但不保证基金一定盈利，也不保证最低收益。敬请投资者注意投资风险。</w:t>
      </w:r>
    </w:p>
    <w:p w:rsidR="00FB74E2" w:rsidRDefault="00FB74E2" w:rsidP="00FB74E2">
      <w:pPr>
        <w:widowControl/>
        <w:spacing w:line="360" w:lineRule="auto"/>
        <w:ind w:firstLineChars="200" w:firstLine="480"/>
        <w:contextualSpacing/>
        <w:jc w:val="left"/>
        <w:rPr>
          <w:rFonts w:ascii="宋体" w:eastAsia="宋体" w:hAnsi="宋体" w:cs="Arial"/>
          <w:color w:val="000000" w:themeColor="text1"/>
          <w:kern w:val="0"/>
          <w:sz w:val="24"/>
          <w:szCs w:val="24"/>
        </w:rPr>
      </w:pPr>
      <w:r w:rsidRPr="00285BD0">
        <w:rPr>
          <w:rFonts w:ascii="宋体" w:eastAsia="宋体" w:hAnsi="宋体" w:cs="Arial" w:hint="eastAsia"/>
          <w:color w:val="000000" w:themeColor="text1"/>
          <w:kern w:val="0"/>
          <w:sz w:val="24"/>
          <w:szCs w:val="24"/>
        </w:rPr>
        <w:t>特此公告。</w:t>
      </w:r>
      <w:r w:rsidRPr="00285BD0">
        <w:rPr>
          <w:rFonts w:ascii="宋体" w:eastAsia="宋体" w:hAnsi="宋体" w:cs="Arial"/>
          <w:color w:val="000000" w:themeColor="text1"/>
          <w:kern w:val="0"/>
          <w:sz w:val="24"/>
          <w:szCs w:val="24"/>
        </w:rPr>
        <w:cr/>
      </w:r>
    </w:p>
    <w:p w:rsidR="00FB74E2" w:rsidRPr="00285BD0" w:rsidRDefault="00FB74E2" w:rsidP="00FB74E2">
      <w:pPr>
        <w:widowControl/>
        <w:spacing w:line="360" w:lineRule="auto"/>
        <w:ind w:firstLineChars="200" w:firstLine="480"/>
        <w:contextualSpacing/>
        <w:jc w:val="left"/>
        <w:rPr>
          <w:rFonts w:ascii="宋体" w:eastAsia="宋体" w:hAnsi="宋体" w:cs="Arial"/>
          <w:color w:val="000000" w:themeColor="text1"/>
          <w:kern w:val="0"/>
          <w:sz w:val="24"/>
          <w:szCs w:val="24"/>
        </w:rPr>
      </w:pPr>
    </w:p>
    <w:p w:rsidR="00FB74E2" w:rsidRPr="008C58CF" w:rsidRDefault="00FB74E2" w:rsidP="00FB74E2">
      <w:pPr>
        <w:widowControl/>
        <w:spacing w:line="360" w:lineRule="auto"/>
        <w:ind w:firstLine="480"/>
        <w:jc w:val="right"/>
        <w:rPr>
          <w:rFonts w:ascii="宋体" w:eastAsia="宋体" w:hAnsi="宋体" w:cs="Arial"/>
          <w:color w:val="000000" w:themeColor="text1"/>
          <w:kern w:val="0"/>
          <w:sz w:val="24"/>
          <w:szCs w:val="24"/>
        </w:rPr>
      </w:pPr>
      <w:r w:rsidRPr="008C58CF">
        <w:rPr>
          <w:rFonts w:ascii="宋体" w:eastAsia="宋体" w:hAnsi="宋体" w:cs="Arial" w:hint="eastAsia"/>
          <w:color w:val="000000" w:themeColor="text1"/>
          <w:kern w:val="0"/>
          <w:sz w:val="24"/>
          <w:szCs w:val="24"/>
        </w:rPr>
        <w:t>国投瑞银基金管理有限公司</w:t>
      </w:r>
      <w:r w:rsidRPr="008C58CF">
        <w:rPr>
          <w:rFonts w:ascii="宋体" w:eastAsia="宋体" w:hAnsi="宋体" w:cs="Arial" w:hint="eastAsia"/>
          <w:color w:val="000000" w:themeColor="text1"/>
          <w:kern w:val="0"/>
          <w:sz w:val="24"/>
          <w:szCs w:val="24"/>
        </w:rPr>
        <w:br/>
        <w:t>20</w:t>
      </w:r>
      <w:r w:rsidRPr="008C58CF">
        <w:rPr>
          <w:rFonts w:ascii="宋体" w:eastAsia="宋体" w:hAnsi="宋体" w:cs="Arial"/>
          <w:color w:val="000000" w:themeColor="text1"/>
          <w:kern w:val="0"/>
          <w:sz w:val="24"/>
          <w:szCs w:val="24"/>
        </w:rPr>
        <w:t>24</w:t>
      </w:r>
      <w:r w:rsidRPr="008C58CF">
        <w:rPr>
          <w:rFonts w:ascii="宋体" w:eastAsia="宋体" w:hAnsi="宋体" w:cs="Arial" w:hint="eastAsia"/>
          <w:color w:val="000000" w:themeColor="text1"/>
          <w:kern w:val="0"/>
          <w:sz w:val="24"/>
          <w:szCs w:val="24"/>
        </w:rPr>
        <w:t>年1</w:t>
      </w:r>
      <w:r w:rsidRPr="008C58CF">
        <w:rPr>
          <w:rFonts w:ascii="宋体" w:eastAsia="宋体" w:hAnsi="宋体" w:cs="Arial"/>
          <w:color w:val="000000" w:themeColor="text1"/>
          <w:kern w:val="0"/>
          <w:sz w:val="24"/>
          <w:szCs w:val="24"/>
        </w:rPr>
        <w:t>2</w:t>
      </w:r>
      <w:r w:rsidRPr="008C58CF">
        <w:rPr>
          <w:rFonts w:ascii="宋体" w:eastAsia="宋体" w:hAnsi="宋体" w:cs="Arial" w:hint="eastAsia"/>
          <w:color w:val="000000" w:themeColor="text1"/>
          <w:kern w:val="0"/>
          <w:sz w:val="24"/>
          <w:szCs w:val="24"/>
        </w:rPr>
        <w:t>月</w:t>
      </w:r>
      <w:r>
        <w:rPr>
          <w:rFonts w:ascii="宋体" w:eastAsia="宋体" w:hAnsi="宋体" w:cs="Arial"/>
          <w:color w:val="000000" w:themeColor="text1"/>
          <w:kern w:val="0"/>
          <w:sz w:val="24"/>
          <w:szCs w:val="24"/>
        </w:rPr>
        <w:t>26</w:t>
      </w:r>
      <w:r w:rsidRPr="008C58CF">
        <w:rPr>
          <w:rFonts w:ascii="宋体" w:eastAsia="宋体" w:hAnsi="宋体" w:cs="Arial" w:hint="eastAsia"/>
          <w:color w:val="000000" w:themeColor="text1"/>
          <w:kern w:val="0"/>
          <w:sz w:val="24"/>
          <w:szCs w:val="24"/>
        </w:rPr>
        <w:t>日</w:t>
      </w:r>
    </w:p>
    <w:p w:rsidR="00FB74E2" w:rsidRPr="00FB74E2" w:rsidRDefault="00FB74E2" w:rsidP="00FB74E2">
      <w:pPr>
        <w:spacing w:line="360" w:lineRule="auto"/>
        <w:ind w:firstLineChars="200" w:firstLine="480"/>
        <w:rPr>
          <w:rFonts w:ascii="宋体" w:eastAsia="宋体" w:hAnsi="宋体"/>
          <w:sz w:val="24"/>
        </w:rPr>
      </w:pPr>
    </w:p>
    <w:sectPr w:rsidR="00FB74E2" w:rsidRPr="00FB74E2" w:rsidSect="00D53F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B3" w:rsidRDefault="005E17B3" w:rsidP="00F76437">
      <w:r>
        <w:separator/>
      </w:r>
    </w:p>
  </w:endnote>
  <w:endnote w:type="continuationSeparator" w:id="0">
    <w:p w:rsidR="005E17B3" w:rsidRDefault="005E17B3" w:rsidP="00F7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宋体-18030">
    <w:altName w:val="Arial Unicode MS"/>
    <w:charset w:val="86"/>
    <w:family w:val="modern"/>
    <w:pitch w:val="default"/>
    <w:sig w:usb0="800022A7" w:usb1="880F3C78" w:usb2="000A005E"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B3" w:rsidRDefault="005E17B3" w:rsidP="00F76437">
      <w:r>
        <w:separator/>
      </w:r>
    </w:p>
  </w:footnote>
  <w:footnote w:type="continuationSeparator" w:id="0">
    <w:p w:rsidR="005E17B3" w:rsidRDefault="005E17B3" w:rsidP="00F7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65C0"/>
    <w:multiLevelType w:val="hybridMultilevel"/>
    <w:tmpl w:val="784A4B5E"/>
    <w:lvl w:ilvl="0" w:tplc="57BAE17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CF40316"/>
    <w:multiLevelType w:val="hybridMultilevel"/>
    <w:tmpl w:val="8F70408C"/>
    <w:lvl w:ilvl="0" w:tplc="3A5068D0">
      <w:start w:val="2"/>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7BF620C"/>
    <w:multiLevelType w:val="hybridMultilevel"/>
    <w:tmpl w:val="82C2DC7E"/>
    <w:lvl w:ilvl="0" w:tplc="2AA452F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3C038B"/>
    <w:multiLevelType w:val="hybridMultilevel"/>
    <w:tmpl w:val="784A4B5E"/>
    <w:lvl w:ilvl="0" w:tplc="57BAE17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8A05B93"/>
    <w:multiLevelType w:val="hybridMultilevel"/>
    <w:tmpl w:val="5854F07C"/>
    <w:lvl w:ilvl="0" w:tplc="017088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FE35C46"/>
    <w:multiLevelType w:val="hybridMultilevel"/>
    <w:tmpl w:val="172A2B0C"/>
    <w:lvl w:ilvl="0" w:tplc="C8DAD0C2">
      <w:start w:val="3"/>
      <w:numFmt w:val="japaneseCounting"/>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6FDE608A"/>
    <w:multiLevelType w:val="hybridMultilevel"/>
    <w:tmpl w:val="784A4B5E"/>
    <w:lvl w:ilvl="0" w:tplc="57BAE17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78495F70"/>
    <w:multiLevelType w:val="hybridMultilevel"/>
    <w:tmpl w:val="CD3E6AB6"/>
    <w:lvl w:ilvl="0" w:tplc="6DCE024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F85A7A"/>
    <w:multiLevelType w:val="hybridMultilevel"/>
    <w:tmpl w:val="1C6A7642"/>
    <w:lvl w:ilvl="0" w:tplc="A6CECE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542"/>
    <w:rsid w:val="00121738"/>
    <w:rsid w:val="001E2726"/>
    <w:rsid w:val="002F1296"/>
    <w:rsid w:val="00375F2E"/>
    <w:rsid w:val="003F5AA9"/>
    <w:rsid w:val="00502236"/>
    <w:rsid w:val="005A3AF6"/>
    <w:rsid w:val="005E17B3"/>
    <w:rsid w:val="00853D3F"/>
    <w:rsid w:val="009F0D53"/>
    <w:rsid w:val="00B10BE3"/>
    <w:rsid w:val="00CC7162"/>
    <w:rsid w:val="00CF6542"/>
    <w:rsid w:val="00D53F38"/>
    <w:rsid w:val="00E30750"/>
    <w:rsid w:val="00E56D20"/>
    <w:rsid w:val="00E576DC"/>
    <w:rsid w:val="00E62701"/>
    <w:rsid w:val="00EA62EB"/>
    <w:rsid w:val="00EA793C"/>
    <w:rsid w:val="00F44FCE"/>
    <w:rsid w:val="00F76437"/>
    <w:rsid w:val="00F94A5A"/>
    <w:rsid w:val="00FB7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437"/>
    <w:rPr>
      <w:sz w:val="18"/>
      <w:szCs w:val="18"/>
    </w:rPr>
  </w:style>
  <w:style w:type="paragraph" w:styleId="a4">
    <w:name w:val="footer"/>
    <w:basedOn w:val="a"/>
    <w:link w:val="Char0"/>
    <w:uiPriority w:val="99"/>
    <w:unhideWhenUsed/>
    <w:rsid w:val="00F76437"/>
    <w:pPr>
      <w:tabs>
        <w:tab w:val="center" w:pos="4153"/>
        <w:tab w:val="right" w:pos="8306"/>
      </w:tabs>
      <w:snapToGrid w:val="0"/>
      <w:jc w:val="left"/>
    </w:pPr>
    <w:rPr>
      <w:sz w:val="18"/>
      <w:szCs w:val="18"/>
    </w:rPr>
  </w:style>
  <w:style w:type="character" w:customStyle="1" w:styleId="Char0">
    <w:name w:val="页脚 Char"/>
    <w:basedOn w:val="a0"/>
    <w:link w:val="a4"/>
    <w:uiPriority w:val="99"/>
    <w:rsid w:val="00F76437"/>
    <w:rPr>
      <w:sz w:val="18"/>
      <w:szCs w:val="18"/>
    </w:rPr>
  </w:style>
  <w:style w:type="paragraph" w:styleId="a5">
    <w:name w:val="List Paragraph"/>
    <w:basedOn w:val="a"/>
    <w:uiPriority w:val="34"/>
    <w:qFormat/>
    <w:rsid w:val="00F76437"/>
    <w:pPr>
      <w:ind w:firstLineChars="200" w:firstLine="420"/>
    </w:pPr>
  </w:style>
  <w:style w:type="character" w:styleId="a6">
    <w:name w:val="annotation reference"/>
    <w:basedOn w:val="a0"/>
    <w:uiPriority w:val="99"/>
    <w:semiHidden/>
    <w:unhideWhenUsed/>
    <w:rsid w:val="002F1296"/>
    <w:rPr>
      <w:sz w:val="21"/>
      <w:szCs w:val="21"/>
    </w:rPr>
  </w:style>
  <w:style w:type="paragraph" w:styleId="a7">
    <w:name w:val="annotation text"/>
    <w:basedOn w:val="a"/>
    <w:link w:val="Char1"/>
    <w:uiPriority w:val="99"/>
    <w:semiHidden/>
    <w:unhideWhenUsed/>
    <w:rsid w:val="002F1296"/>
    <w:pPr>
      <w:jc w:val="left"/>
    </w:pPr>
  </w:style>
  <w:style w:type="character" w:customStyle="1" w:styleId="Char1">
    <w:name w:val="批注文字 Char"/>
    <w:basedOn w:val="a0"/>
    <w:link w:val="a7"/>
    <w:uiPriority w:val="99"/>
    <w:semiHidden/>
    <w:rsid w:val="002F1296"/>
  </w:style>
  <w:style w:type="paragraph" w:styleId="a8">
    <w:name w:val="annotation subject"/>
    <w:basedOn w:val="a7"/>
    <w:next w:val="a7"/>
    <w:link w:val="Char2"/>
    <w:uiPriority w:val="99"/>
    <w:semiHidden/>
    <w:unhideWhenUsed/>
    <w:rsid w:val="002F1296"/>
    <w:rPr>
      <w:b/>
      <w:bCs/>
    </w:rPr>
  </w:style>
  <w:style w:type="character" w:customStyle="1" w:styleId="Char2">
    <w:name w:val="批注主题 Char"/>
    <w:basedOn w:val="Char1"/>
    <w:link w:val="a8"/>
    <w:uiPriority w:val="99"/>
    <w:semiHidden/>
    <w:rsid w:val="002F1296"/>
    <w:rPr>
      <w:b/>
      <w:bCs/>
    </w:rPr>
  </w:style>
  <w:style w:type="paragraph" w:styleId="a9">
    <w:name w:val="Balloon Text"/>
    <w:basedOn w:val="a"/>
    <w:link w:val="Char3"/>
    <w:uiPriority w:val="99"/>
    <w:semiHidden/>
    <w:unhideWhenUsed/>
    <w:rsid w:val="002F1296"/>
    <w:rPr>
      <w:sz w:val="18"/>
      <w:szCs w:val="18"/>
    </w:rPr>
  </w:style>
  <w:style w:type="character" w:customStyle="1" w:styleId="Char3">
    <w:name w:val="批注框文本 Char"/>
    <w:basedOn w:val="a0"/>
    <w:link w:val="a9"/>
    <w:uiPriority w:val="99"/>
    <w:semiHidden/>
    <w:rsid w:val="002F1296"/>
    <w:rPr>
      <w:sz w:val="18"/>
      <w:szCs w:val="18"/>
    </w:rPr>
  </w:style>
</w:styles>
</file>

<file path=word/webSettings.xml><?xml version="1.0" encoding="utf-8"?>
<w:webSettings xmlns:r="http://schemas.openxmlformats.org/officeDocument/2006/relationships" xmlns:w="http://schemas.openxmlformats.org/wordprocessingml/2006/main">
  <w:divs>
    <w:div w:id="595290817">
      <w:bodyDiv w:val="1"/>
      <w:marLeft w:val="0"/>
      <w:marRight w:val="0"/>
      <w:marTop w:val="0"/>
      <w:marBottom w:val="0"/>
      <w:divBdr>
        <w:top w:val="none" w:sz="0" w:space="0" w:color="auto"/>
        <w:left w:val="none" w:sz="0" w:space="0" w:color="auto"/>
        <w:bottom w:val="none" w:sz="0" w:space="0" w:color="auto"/>
        <w:right w:val="none" w:sz="0" w:space="0" w:color="auto"/>
      </w:divBdr>
    </w:div>
    <w:div w:id="2025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4</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田佳熠</dc:creator>
  <cp:keywords/>
  <dc:description/>
  <cp:lastModifiedBy>ZHONGM</cp:lastModifiedBy>
  <cp:revision>2</cp:revision>
  <dcterms:created xsi:type="dcterms:W3CDTF">2024-12-25T16:01:00Z</dcterms:created>
  <dcterms:modified xsi:type="dcterms:W3CDTF">2024-12-25T16:01:00Z</dcterms:modified>
</cp:coreProperties>
</file>