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C7" w:rsidRDefault="00310EC7" w:rsidP="00310EC7">
      <w:pPr>
        <w:pStyle w:val="a8"/>
        <w:rPr>
          <w:b/>
          <w:sz w:val="48"/>
          <w:szCs w:val="48"/>
        </w:rPr>
      </w:pPr>
      <w:bookmarkStart w:id="0" w:name="_GoBack"/>
      <w:bookmarkStart w:id="1" w:name="_Toc457987864"/>
      <w:bookmarkEnd w:id="0"/>
      <w:r w:rsidRPr="00570428">
        <w:rPr>
          <w:b/>
          <w:sz w:val="48"/>
          <w:szCs w:val="48"/>
        </w:rPr>
        <w:t>鹏扬淳享债券型证券投资基金分红公告</w:t>
      </w:r>
    </w:p>
    <w:p w:rsidR="00DA2749" w:rsidRDefault="00341BC3" w:rsidP="00310EC7">
      <w:pPr>
        <w:pStyle w:val="1"/>
        <w:spacing w:before="156" w:after="156"/>
      </w:pPr>
      <w:r w:rsidRPr="00341BC3">
        <w:rPr>
          <w:rFonts w:hint="eastAsia"/>
        </w:rPr>
        <w:t>公告基本信息</w:t>
      </w:r>
      <w:bookmarkEnd w:id="1"/>
    </w:p>
    <w:tbl>
      <w:tblPr>
        <w:tblStyle w:val="ac"/>
        <w:tblW w:w="9911" w:type="dxa"/>
        <w:jc w:val="center"/>
        <w:tblLayout w:type="fixed"/>
        <w:tblLook w:val="04A0"/>
      </w:tblPr>
      <w:tblGrid>
        <w:gridCol w:w="1356"/>
        <w:gridCol w:w="2893"/>
        <w:gridCol w:w="1842"/>
        <w:gridCol w:w="1985"/>
        <w:gridCol w:w="1835"/>
      </w:tblGrid>
      <w:tr w:rsidR="006C5B9B" w:rsidTr="00AE360F">
        <w:trPr>
          <w:jc w:val="center"/>
        </w:trPr>
        <w:tc>
          <w:tcPr>
            <w:tcW w:w="4249" w:type="dxa"/>
            <w:gridSpan w:val="2"/>
            <w:tcMar>
              <w:left w:w="85" w:type="dxa"/>
              <w:right w:w="85" w:type="dxa"/>
            </w:tcMar>
            <w:vAlign w:val="center"/>
          </w:tcPr>
          <w:p w:rsidR="006C5B9B" w:rsidRPr="00A5411A" w:rsidRDefault="006C5B9B" w:rsidP="00BE74A8">
            <w:pPr>
              <w:rPr>
                <w:szCs w:val="22"/>
              </w:rPr>
            </w:pPr>
            <w:r w:rsidRPr="00A5411A">
              <w:rPr>
                <w:szCs w:val="22"/>
              </w:rPr>
              <w:t>基金名称</w:t>
            </w:r>
          </w:p>
        </w:tc>
        <w:tc>
          <w:tcPr>
            <w:tcW w:w="5662" w:type="dxa"/>
            <w:gridSpan w:val="3"/>
            <w:tcMar>
              <w:left w:w="85" w:type="dxa"/>
              <w:right w:w="85" w:type="dxa"/>
            </w:tcMar>
            <w:vAlign w:val="center"/>
          </w:tcPr>
          <w:p w:rsidR="006C5B9B" w:rsidRPr="00A5411A" w:rsidRDefault="006C5B9B" w:rsidP="00BE74A8">
            <w:pPr>
              <w:rPr>
                <w:szCs w:val="22"/>
              </w:rPr>
            </w:pPr>
            <w:r w:rsidRPr="00A5411A">
              <w:rPr>
                <w:szCs w:val="22"/>
              </w:rPr>
              <w:t>鹏扬淳享债券型证券投资基金</w:t>
            </w:r>
          </w:p>
        </w:tc>
      </w:tr>
      <w:tr w:rsidR="006C5B9B" w:rsidTr="00AE360F">
        <w:trPr>
          <w:jc w:val="center"/>
        </w:trPr>
        <w:tc>
          <w:tcPr>
            <w:tcW w:w="4249" w:type="dxa"/>
            <w:gridSpan w:val="2"/>
            <w:tcMar>
              <w:left w:w="85" w:type="dxa"/>
              <w:right w:w="85" w:type="dxa"/>
            </w:tcMar>
            <w:vAlign w:val="center"/>
          </w:tcPr>
          <w:p w:rsidR="006C5B9B" w:rsidRPr="00A5411A" w:rsidRDefault="006C5B9B" w:rsidP="00BE74A8">
            <w:pPr>
              <w:rPr>
                <w:szCs w:val="22"/>
              </w:rPr>
            </w:pPr>
            <w:r w:rsidRPr="00A5411A">
              <w:rPr>
                <w:szCs w:val="22"/>
              </w:rPr>
              <w:t>基金简称</w:t>
            </w:r>
          </w:p>
        </w:tc>
        <w:tc>
          <w:tcPr>
            <w:tcW w:w="5662" w:type="dxa"/>
            <w:gridSpan w:val="3"/>
            <w:tcMar>
              <w:left w:w="85" w:type="dxa"/>
              <w:right w:w="85" w:type="dxa"/>
            </w:tcMar>
            <w:vAlign w:val="center"/>
          </w:tcPr>
          <w:p w:rsidR="006C5B9B" w:rsidRPr="00A5411A" w:rsidRDefault="006C5B9B" w:rsidP="00BE74A8">
            <w:pPr>
              <w:rPr>
                <w:szCs w:val="22"/>
              </w:rPr>
            </w:pPr>
            <w:r w:rsidRPr="00A5411A">
              <w:rPr>
                <w:szCs w:val="22"/>
              </w:rPr>
              <w:t>鹏扬淳享债券</w:t>
            </w:r>
          </w:p>
        </w:tc>
      </w:tr>
      <w:tr w:rsidR="006C5B9B" w:rsidTr="00AE360F">
        <w:trPr>
          <w:jc w:val="center"/>
        </w:trPr>
        <w:tc>
          <w:tcPr>
            <w:tcW w:w="4249" w:type="dxa"/>
            <w:gridSpan w:val="2"/>
            <w:tcMar>
              <w:left w:w="85" w:type="dxa"/>
              <w:right w:w="85" w:type="dxa"/>
            </w:tcMar>
            <w:vAlign w:val="center"/>
          </w:tcPr>
          <w:p w:rsidR="006C5B9B" w:rsidRPr="00A5411A" w:rsidRDefault="006C5B9B" w:rsidP="00BE74A8">
            <w:pPr>
              <w:rPr>
                <w:szCs w:val="22"/>
              </w:rPr>
            </w:pPr>
            <w:r>
              <w:t>基金主代码</w:t>
            </w:r>
          </w:p>
        </w:tc>
        <w:tc>
          <w:tcPr>
            <w:tcW w:w="5662" w:type="dxa"/>
            <w:gridSpan w:val="3"/>
            <w:tcMar>
              <w:left w:w="85" w:type="dxa"/>
              <w:right w:w="85" w:type="dxa"/>
            </w:tcMar>
            <w:vAlign w:val="center"/>
          </w:tcPr>
          <w:p w:rsidR="006C5B9B" w:rsidRPr="00A5411A" w:rsidRDefault="006C5B9B" w:rsidP="00BE74A8">
            <w:pPr>
              <w:rPr>
                <w:szCs w:val="22"/>
              </w:rPr>
            </w:pPr>
            <w:r w:rsidRPr="00A5411A">
              <w:rPr>
                <w:szCs w:val="22"/>
              </w:rPr>
              <w:t>006513</w:t>
            </w:r>
          </w:p>
        </w:tc>
      </w:tr>
      <w:tr w:rsidR="006C5B9B" w:rsidTr="00AE360F">
        <w:trPr>
          <w:jc w:val="center"/>
        </w:trPr>
        <w:tc>
          <w:tcPr>
            <w:tcW w:w="4249" w:type="dxa"/>
            <w:gridSpan w:val="2"/>
            <w:tcMar>
              <w:left w:w="85" w:type="dxa"/>
              <w:right w:w="85" w:type="dxa"/>
            </w:tcMar>
            <w:vAlign w:val="center"/>
          </w:tcPr>
          <w:p w:rsidR="006C5B9B" w:rsidRPr="00A5411A" w:rsidRDefault="006C5B9B" w:rsidP="00BE74A8">
            <w:pPr>
              <w:rPr>
                <w:szCs w:val="22"/>
              </w:rPr>
            </w:pPr>
            <w:r w:rsidRPr="00A5411A">
              <w:rPr>
                <w:szCs w:val="22"/>
              </w:rPr>
              <w:t>基金合同生效日</w:t>
            </w:r>
          </w:p>
        </w:tc>
        <w:tc>
          <w:tcPr>
            <w:tcW w:w="5662" w:type="dxa"/>
            <w:gridSpan w:val="3"/>
            <w:tcMar>
              <w:left w:w="85" w:type="dxa"/>
              <w:right w:w="85" w:type="dxa"/>
            </w:tcMar>
            <w:vAlign w:val="center"/>
          </w:tcPr>
          <w:p w:rsidR="006C5B9B" w:rsidRPr="00A5411A" w:rsidRDefault="006C5B9B" w:rsidP="00BE74A8">
            <w:pPr>
              <w:rPr>
                <w:szCs w:val="22"/>
              </w:rPr>
            </w:pPr>
            <w:r>
              <w:rPr>
                <w:szCs w:val="22"/>
              </w:rPr>
              <w:t>2018年12月12日</w:t>
            </w:r>
          </w:p>
        </w:tc>
      </w:tr>
      <w:tr w:rsidR="006C5B9B" w:rsidTr="00AE360F">
        <w:trPr>
          <w:jc w:val="center"/>
        </w:trPr>
        <w:tc>
          <w:tcPr>
            <w:tcW w:w="4249" w:type="dxa"/>
            <w:gridSpan w:val="2"/>
            <w:tcMar>
              <w:left w:w="85" w:type="dxa"/>
              <w:right w:w="85" w:type="dxa"/>
            </w:tcMar>
            <w:vAlign w:val="center"/>
          </w:tcPr>
          <w:p w:rsidR="006C5B9B" w:rsidRPr="00A5411A" w:rsidRDefault="006C5B9B" w:rsidP="00BE74A8">
            <w:pPr>
              <w:rPr>
                <w:szCs w:val="22"/>
              </w:rPr>
            </w:pPr>
            <w:r w:rsidRPr="00A5411A">
              <w:rPr>
                <w:szCs w:val="22"/>
              </w:rPr>
              <w:t>基金管理人名称</w:t>
            </w:r>
          </w:p>
        </w:tc>
        <w:tc>
          <w:tcPr>
            <w:tcW w:w="5662" w:type="dxa"/>
            <w:gridSpan w:val="3"/>
            <w:tcMar>
              <w:left w:w="85" w:type="dxa"/>
              <w:right w:w="85" w:type="dxa"/>
            </w:tcMar>
            <w:vAlign w:val="center"/>
          </w:tcPr>
          <w:p w:rsidR="006C5B9B" w:rsidRPr="00A5411A" w:rsidRDefault="006C5B9B" w:rsidP="00BE74A8">
            <w:pPr>
              <w:rPr>
                <w:szCs w:val="22"/>
              </w:rPr>
            </w:pPr>
            <w:r w:rsidRPr="00A5411A">
              <w:rPr>
                <w:szCs w:val="22"/>
              </w:rPr>
              <w:t>鹏扬基金管理有限公司</w:t>
            </w:r>
          </w:p>
        </w:tc>
      </w:tr>
      <w:tr w:rsidR="006C5B9B" w:rsidTr="00AE360F">
        <w:trPr>
          <w:jc w:val="center"/>
        </w:trPr>
        <w:tc>
          <w:tcPr>
            <w:tcW w:w="4249" w:type="dxa"/>
            <w:gridSpan w:val="2"/>
            <w:tcMar>
              <w:left w:w="85" w:type="dxa"/>
              <w:right w:w="85" w:type="dxa"/>
            </w:tcMar>
            <w:vAlign w:val="center"/>
          </w:tcPr>
          <w:p w:rsidR="006C5B9B" w:rsidRPr="00A5411A" w:rsidRDefault="006C5B9B" w:rsidP="00BE74A8">
            <w:pPr>
              <w:rPr>
                <w:szCs w:val="22"/>
              </w:rPr>
            </w:pPr>
            <w:r w:rsidRPr="00A5411A">
              <w:rPr>
                <w:szCs w:val="22"/>
              </w:rPr>
              <w:t>基金托管人名称</w:t>
            </w:r>
          </w:p>
        </w:tc>
        <w:tc>
          <w:tcPr>
            <w:tcW w:w="5662" w:type="dxa"/>
            <w:gridSpan w:val="3"/>
            <w:tcMar>
              <w:left w:w="85" w:type="dxa"/>
              <w:right w:w="85" w:type="dxa"/>
            </w:tcMar>
            <w:vAlign w:val="center"/>
          </w:tcPr>
          <w:p w:rsidR="006C5B9B" w:rsidRPr="00A5411A" w:rsidRDefault="006C5B9B" w:rsidP="00BE74A8">
            <w:pPr>
              <w:rPr>
                <w:szCs w:val="22"/>
              </w:rPr>
            </w:pPr>
            <w:r w:rsidRPr="00A5411A">
              <w:rPr>
                <w:szCs w:val="22"/>
              </w:rPr>
              <w:t>招商银行股份有限公司</w:t>
            </w:r>
          </w:p>
        </w:tc>
      </w:tr>
      <w:tr w:rsidR="006C5B9B" w:rsidTr="00AE360F">
        <w:trPr>
          <w:jc w:val="center"/>
        </w:trPr>
        <w:tc>
          <w:tcPr>
            <w:tcW w:w="4249" w:type="dxa"/>
            <w:gridSpan w:val="2"/>
            <w:tcMar>
              <w:left w:w="85" w:type="dxa"/>
              <w:right w:w="85" w:type="dxa"/>
            </w:tcMar>
            <w:vAlign w:val="center"/>
          </w:tcPr>
          <w:p w:rsidR="006C5B9B" w:rsidRPr="00A5411A" w:rsidRDefault="006C5B9B" w:rsidP="00BE74A8">
            <w:pPr>
              <w:rPr>
                <w:szCs w:val="22"/>
              </w:rPr>
            </w:pPr>
            <w:r w:rsidRPr="00A5411A">
              <w:rPr>
                <w:szCs w:val="22"/>
              </w:rPr>
              <w:t>公告依据</w:t>
            </w:r>
          </w:p>
        </w:tc>
        <w:tc>
          <w:tcPr>
            <w:tcW w:w="5662" w:type="dxa"/>
            <w:gridSpan w:val="3"/>
            <w:tcMar>
              <w:left w:w="85" w:type="dxa"/>
              <w:right w:w="85" w:type="dxa"/>
            </w:tcMar>
            <w:vAlign w:val="center"/>
          </w:tcPr>
          <w:p w:rsidR="006C5B9B" w:rsidRPr="00A5411A" w:rsidRDefault="006C5B9B" w:rsidP="00BE74A8">
            <w:pPr>
              <w:rPr>
                <w:szCs w:val="22"/>
              </w:rPr>
            </w:pPr>
            <w:r w:rsidRPr="00A5411A">
              <w:rPr>
                <w:szCs w:val="22"/>
              </w:rPr>
              <w:t>《中华人民共和国证券投资基金法》、《公开募集证券投资基金运作管理办法》、《公开募集证券投资基金信息披露管理办法》、《鹏扬淳享债券型证券投资基金基金合同》、《鹏扬淳享债券型证券投资基金招募说明书》等</w:t>
            </w:r>
          </w:p>
        </w:tc>
      </w:tr>
      <w:tr w:rsidR="006C5B9B" w:rsidTr="00AE360F">
        <w:trPr>
          <w:jc w:val="center"/>
        </w:trPr>
        <w:tc>
          <w:tcPr>
            <w:tcW w:w="4249" w:type="dxa"/>
            <w:gridSpan w:val="2"/>
            <w:tcMar>
              <w:left w:w="85" w:type="dxa"/>
              <w:right w:w="85" w:type="dxa"/>
            </w:tcMar>
            <w:vAlign w:val="center"/>
          </w:tcPr>
          <w:p w:rsidR="006C5B9B" w:rsidRDefault="006C5B9B" w:rsidP="00BE74A8">
            <w:r w:rsidRPr="00A5411A">
              <w:rPr>
                <w:szCs w:val="22"/>
              </w:rPr>
              <w:t>收益分配基准日</w:t>
            </w:r>
          </w:p>
        </w:tc>
        <w:tc>
          <w:tcPr>
            <w:tcW w:w="5662" w:type="dxa"/>
            <w:gridSpan w:val="3"/>
            <w:tcMar>
              <w:left w:w="85" w:type="dxa"/>
              <w:right w:w="85" w:type="dxa"/>
            </w:tcMar>
            <w:vAlign w:val="center"/>
          </w:tcPr>
          <w:p w:rsidR="006C5B9B" w:rsidRPr="00A5411A" w:rsidRDefault="006C5B9B" w:rsidP="00BE74A8">
            <w:pPr>
              <w:rPr>
                <w:szCs w:val="22"/>
              </w:rPr>
            </w:pPr>
            <w:r>
              <w:rPr>
                <w:szCs w:val="22"/>
              </w:rPr>
              <w:t>2024年12月23日</w:t>
            </w:r>
          </w:p>
        </w:tc>
      </w:tr>
      <w:tr w:rsidR="006C5B9B" w:rsidTr="00AE360F">
        <w:trPr>
          <w:jc w:val="center"/>
        </w:trPr>
        <w:tc>
          <w:tcPr>
            <w:tcW w:w="4249" w:type="dxa"/>
            <w:gridSpan w:val="2"/>
            <w:tcMar>
              <w:left w:w="85" w:type="dxa"/>
              <w:right w:w="85" w:type="dxa"/>
            </w:tcMar>
            <w:vAlign w:val="center"/>
          </w:tcPr>
          <w:p w:rsidR="006C5B9B" w:rsidRPr="00A5411A" w:rsidRDefault="006C5B9B" w:rsidP="00BE74A8">
            <w:pPr>
              <w:rPr>
                <w:szCs w:val="22"/>
              </w:rPr>
            </w:pPr>
            <w:r w:rsidRPr="00A5411A">
              <w:rPr>
                <w:szCs w:val="22"/>
              </w:rPr>
              <w:t>有关年度分红次数的说明</w:t>
            </w:r>
          </w:p>
        </w:tc>
        <w:tc>
          <w:tcPr>
            <w:tcW w:w="5662" w:type="dxa"/>
            <w:gridSpan w:val="3"/>
            <w:tcMar>
              <w:left w:w="85" w:type="dxa"/>
              <w:right w:w="85" w:type="dxa"/>
            </w:tcMar>
            <w:vAlign w:val="center"/>
          </w:tcPr>
          <w:p w:rsidR="006C5B9B" w:rsidRPr="00A5411A" w:rsidRDefault="006C5B9B" w:rsidP="00BE74A8">
            <w:pPr>
              <w:rPr>
                <w:szCs w:val="22"/>
              </w:rPr>
            </w:pPr>
            <w:r w:rsidRPr="00A5411A">
              <w:rPr>
                <w:szCs w:val="22"/>
              </w:rPr>
              <w:t>本次分红为 2024 年度第二次分红</w:t>
            </w:r>
          </w:p>
        </w:tc>
      </w:tr>
      <w:tr w:rsidR="00AE360F" w:rsidTr="00AE360F">
        <w:trPr>
          <w:jc w:val="center"/>
        </w:trPr>
        <w:tc>
          <w:tcPr>
            <w:tcW w:w="4249" w:type="dxa"/>
            <w:gridSpan w:val="2"/>
            <w:tcMar>
              <w:left w:w="85" w:type="dxa"/>
              <w:right w:w="85" w:type="dxa"/>
            </w:tcMar>
            <w:vAlign w:val="center"/>
          </w:tcPr>
          <w:p w:rsidR="006C5B9B" w:rsidRPr="00A5411A" w:rsidRDefault="006C5B9B" w:rsidP="006C5B9B">
            <w:pPr>
              <w:rPr>
                <w:szCs w:val="22"/>
              </w:rPr>
            </w:pPr>
            <w:r w:rsidRPr="00A5411A">
              <w:rPr>
                <w:szCs w:val="22"/>
              </w:rPr>
              <w:t>下属</w:t>
            </w:r>
            <w:r w:rsidR="00AE360F">
              <w:rPr>
                <w:szCs w:val="22"/>
              </w:rPr>
              <w:t>分类</w:t>
            </w:r>
            <w:r w:rsidRPr="00A5411A">
              <w:rPr>
                <w:szCs w:val="22"/>
              </w:rPr>
              <w:t>基金的基金简称</w:t>
            </w:r>
          </w:p>
        </w:tc>
        <w:tc>
          <w:tcPr>
            <w:tcW w:w="1842" w:type="dxa"/>
            <w:tcMar>
              <w:left w:w="85" w:type="dxa"/>
              <w:right w:w="85" w:type="dxa"/>
            </w:tcMar>
            <w:vAlign w:val="center"/>
          </w:tcPr>
          <w:p w:rsidR="006C5B9B" w:rsidRPr="00FE2C9F" w:rsidRDefault="006C5B9B" w:rsidP="006C5B9B">
            <w:r w:rsidRPr="00FE2C9F">
              <w:rPr>
                <w:rFonts w:hint="eastAsia"/>
              </w:rPr>
              <w:t>鹏扬淳享债券A</w:t>
            </w:r>
          </w:p>
        </w:tc>
        <w:tc>
          <w:tcPr>
            <w:tcW w:w="1985" w:type="dxa"/>
            <w:tcMar>
              <w:left w:w="85" w:type="dxa"/>
              <w:right w:w="85" w:type="dxa"/>
            </w:tcMar>
            <w:vAlign w:val="center"/>
          </w:tcPr>
          <w:p w:rsidR="006C5B9B" w:rsidRPr="00FE2C9F" w:rsidRDefault="006C5B9B" w:rsidP="006C5B9B">
            <w:r w:rsidRPr="00FE2C9F">
              <w:rPr>
                <w:rFonts w:hint="eastAsia"/>
              </w:rPr>
              <w:t>鹏扬淳享债券C</w:t>
            </w:r>
          </w:p>
        </w:tc>
        <w:tc>
          <w:tcPr>
            <w:tcW w:w="1835" w:type="dxa"/>
            <w:tcMar>
              <w:left w:w="85" w:type="dxa"/>
              <w:right w:w="85" w:type="dxa"/>
            </w:tcMar>
            <w:vAlign w:val="center"/>
          </w:tcPr>
          <w:p w:rsidR="006C5B9B" w:rsidRPr="00376F72" w:rsidRDefault="006C5B9B" w:rsidP="006C5B9B">
            <w:r w:rsidRPr="00376F72">
              <w:rPr>
                <w:rFonts w:hint="eastAsia"/>
              </w:rPr>
              <w:t>鹏扬淳享债券D</w:t>
            </w:r>
          </w:p>
        </w:tc>
      </w:tr>
      <w:tr w:rsidR="00AE360F" w:rsidTr="00AE360F">
        <w:trPr>
          <w:jc w:val="center"/>
        </w:trPr>
        <w:tc>
          <w:tcPr>
            <w:tcW w:w="4249" w:type="dxa"/>
            <w:gridSpan w:val="2"/>
            <w:tcMar>
              <w:left w:w="85" w:type="dxa"/>
              <w:right w:w="85" w:type="dxa"/>
            </w:tcMar>
            <w:vAlign w:val="center"/>
          </w:tcPr>
          <w:p w:rsidR="006C5B9B" w:rsidRPr="00A5411A" w:rsidRDefault="006C5B9B" w:rsidP="006C5B9B">
            <w:pPr>
              <w:rPr>
                <w:szCs w:val="22"/>
              </w:rPr>
            </w:pPr>
            <w:r w:rsidRPr="00A5411A">
              <w:rPr>
                <w:szCs w:val="22"/>
              </w:rPr>
              <w:t>下属</w:t>
            </w:r>
            <w:r w:rsidR="00AE360F">
              <w:rPr>
                <w:szCs w:val="22"/>
              </w:rPr>
              <w:t>分类</w:t>
            </w:r>
            <w:r w:rsidRPr="00A5411A">
              <w:rPr>
                <w:szCs w:val="22"/>
              </w:rPr>
              <w:t>基金的交易代码</w:t>
            </w:r>
          </w:p>
        </w:tc>
        <w:tc>
          <w:tcPr>
            <w:tcW w:w="1842" w:type="dxa"/>
            <w:tcMar>
              <w:left w:w="85" w:type="dxa"/>
              <w:right w:w="85" w:type="dxa"/>
            </w:tcMar>
            <w:vAlign w:val="center"/>
          </w:tcPr>
          <w:p w:rsidR="006C5B9B" w:rsidRPr="00FE2C9F" w:rsidRDefault="006C5B9B" w:rsidP="006C5B9B">
            <w:r w:rsidRPr="00FE2C9F">
              <w:rPr>
                <w:rFonts w:hint="eastAsia"/>
              </w:rPr>
              <w:t>006513</w:t>
            </w:r>
          </w:p>
        </w:tc>
        <w:tc>
          <w:tcPr>
            <w:tcW w:w="1985" w:type="dxa"/>
            <w:tcMar>
              <w:left w:w="85" w:type="dxa"/>
              <w:right w:w="85" w:type="dxa"/>
            </w:tcMar>
            <w:vAlign w:val="center"/>
          </w:tcPr>
          <w:p w:rsidR="006C5B9B" w:rsidRPr="00FE2C9F" w:rsidRDefault="006C5B9B" w:rsidP="006C5B9B">
            <w:r w:rsidRPr="00FE2C9F">
              <w:rPr>
                <w:rFonts w:hint="eastAsia"/>
              </w:rPr>
              <w:t>006514</w:t>
            </w:r>
          </w:p>
        </w:tc>
        <w:tc>
          <w:tcPr>
            <w:tcW w:w="1835" w:type="dxa"/>
            <w:tcMar>
              <w:left w:w="85" w:type="dxa"/>
              <w:right w:w="85" w:type="dxa"/>
            </w:tcMar>
            <w:vAlign w:val="center"/>
          </w:tcPr>
          <w:p w:rsidR="006C5B9B" w:rsidRPr="00376F72" w:rsidRDefault="006C5B9B" w:rsidP="006C5B9B">
            <w:r w:rsidRPr="00376F72">
              <w:rPr>
                <w:rFonts w:hint="eastAsia"/>
              </w:rPr>
              <w:t>021743</w:t>
            </w:r>
          </w:p>
        </w:tc>
      </w:tr>
      <w:tr w:rsidR="00AE360F" w:rsidTr="00AE360F">
        <w:trPr>
          <w:jc w:val="center"/>
        </w:trPr>
        <w:tc>
          <w:tcPr>
            <w:tcW w:w="1356" w:type="dxa"/>
            <w:vMerge w:val="restart"/>
            <w:tcMar>
              <w:left w:w="85" w:type="dxa"/>
              <w:right w:w="85" w:type="dxa"/>
            </w:tcMar>
            <w:vAlign w:val="center"/>
          </w:tcPr>
          <w:p w:rsidR="006C5B9B" w:rsidRDefault="006C5B9B" w:rsidP="006C5B9B">
            <w:pPr>
              <w:jc w:val="center"/>
              <w:rPr>
                <w:szCs w:val="22"/>
              </w:rPr>
            </w:pPr>
            <w:r w:rsidRPr="00A5411A">
              <w:rPr>
                <w:szCs w:val="22"/>
              </w:rPr>
              <w:t>截止基准日</w:t>
            </w:r>
          </w:p>
          <w:p w:rsidR="006C5B9B" w:rsidRPr="00A5411A" w:rsidRDefault="006C5B9B" w:rsidP="006C5B9B">
            <w:pPr>
              <w:jc w:val="both"/>
              <w:rPr>
                <w:szCs w:val="22"/>
              </w:rPr>
            </w:pPr>
            <w:r w:rsidRPr="00A5411A">
              <w:rPr>
                <w:szCs w:val="22"/>
              </w:rPr>
              <w:t>下属</w:t>
            </w:r>
            <w:r w:rsidR="00AE360F">
              <w:rPr>
                <w:szCs w:val="22"/>
              </w:rPr>
              <w:t>分类</w:t>
            </w:r>
            <w:r w:rsidRPr="00A5411A">
              <w:rPr>
                <w:szCs w:val="22"/>
              </w:rPr>
              <w:t>基金的相关指标</w:t>
            </w:r>
          </w:p>
        </w:tc>
        <w:tc>
          <w:tcPr>
            <w:tcW w:w="2893" w:type="dxa"/>
            <w:tcMar>
              <w:left w:w="85" w:type="dxa"/>
              <w:right w:w="85" w:type="dxa"/>
            </w:tcMar>
            <w:vAlign w:val="center"/>
          </w:tcPr>
          <w:p w:rsidR="006C5B9B" w:rsidRPr="00A5411A" w:rsidRDefault="006C5B9B" w:rsidP="006C5B9B">
            <w:pPr>
              <w:jc w:val="both"/>
              <w:rPr>
                <w:szCs w:val="22"/>
              </w:rPr>
            </w:pPr>
            <w:r w:rsidRPr="00A5411A">
              <w:rPr>
                <w:szCs w:val="22"/>
              </w:rPr>
              <w:t>基准日下属</w:t>
            </w:r>
            <w:r w:rsidR="00AE360F">
              <w:rPr>
                <w:szCs w:val="22"/>
              </w:rPr>
              <w:t>分类</w:t>
            </w:r>
            <w:r w:rsidRPr="00A5411A">
              <w:rPr>
                <w:szCs w:val="22"/>
              </w:rPr>
              <w:t>基金份额净值</w:t>
            </w:r>
            <w:r>
              <w:rPr>
                <w:rFonts w:hAnsi="宋体" w:hint="eastAsia"/>
              </w:rPr>
              <w:t>（单位：人民币元）</w:t>
            </w:r>
          </w:p>
        </w:tc>
        <w:tc>
          <w:tcPr>
            <w:tcW w:w="1842" w:type="dxa"/>
            <w:tcMar>
              <w:left w:w="85" w:type="dxa"/>
              <w:right w:w="85" w:type="dxa"/>
            </w:tcMar>
            <w:vAlign w:val="center"/>
          </w:tcPr>
          <w:p w:rsidR="006C5B9B" w:rsidRPr="001D695F" w:rsidRDefault="006C5B9B" w:rsidP="006C5B9B">
            <w:r w:rsidRPr="001D695F">
              <w:rPr>
                <w:rFonts w:hint="eastAsia"/>
              </w:rPr>
              <w:t>1.0697</w:t>
            </w:r>
          </w:p>
        </w:tc>
        <w:tc>
          <w:tcPr>
            <w:tcW w:w="1985" w:type="dxa"/>
            <w:tcMar>
              <w:left w:w="85" w:type="dxa"/>
              <w:right w:w="85" w:type="dxa"/>
            </w:tcMar>
            <w:vAlign w:val="center"/>
          </w:tcPr>
          <w:p w:rsidR="006C5B9B" w:rsidRPr="001D695F" w:rsidRDefault="006C5B9B" w:rsidP="006C5B9B">
            <w:r w:rsidRPr="001D695F">
              <w:rPr>
                <w:rFonts w:hint="eastAsia"/>
              </w:rPr>
              <w:t>1.0607</w:t>
            </w:r>
          </w:p>
        </w:tc>
        <w:tc>
          <w:tcPr>
            <w:tcW w:w="1835" w:type="dxa"/>
            <w:tcMar>
              <w:left w:w="85" w:type="dxa"/>
              <w:right w:w="85" w:type="dxa"/>
            </w:tcMar>
            <w:vAlign w:val="center"/>
          </w:tcPr>
          <w:p w:rsidR="006C5B9B" w:rsidRPr="007F70C1" w:rsidRDefault="006C5B9B" w:rsidP="006C5B9B">
            <w:r w:rsidRPr="007F70C1">
              <w:rPr>
                <w:rFonts w:hint="eastAsia"/>
              </w:rPr>
              <w:t>-</w:t>
            </w:r>
          </w:p>
        </w:tc>
      </w:tr>
      <w:tr w:rsidR="00AE360F" w:rsidTr="00AE360F">
        <w:trPr>
          <w:jc w:val="center"/>
        </w:trPr>
        <w:tc>
          <w:tcPr>
            <w:tcW w:w="1356" w:type="dxa"/>
            <w:vMerge/>
            <w:tcMar>
              <w:left w:w="85" w:type="dxa"/>
              <w:right w:w="85" w:type="dxa"/>
            </w:tcMar>
            <w:vAlign w:val="center"/>
          </w:tcPr>
          <w:p w:rsidR="006C5B9B" w:rsidRPr="00A5411A" w:rsidRDefault="006C5B9B" w:rsidP="006C5B9B">
            <w:pPr>
              <w:rPr>
                <w:szCs w:val="22"/>
              </w:rPr>
            </w:pPr>
          </w:p>
        </w:tc>
        <w:tc>
          <w:tcPr>
            <w:tcW w:w="2893" w:type="dxa"/>
            <w:tcMar>
              <w:left w:w="85" w:type="dxa"/>
              <w:right w:w="85" w:type="dxa"/>
            </w:tcMar>
            <w:vAlign w:val="center"/>
          </w:tcPr>
          <w:p w:rsidR="006C5B9B" w:rsidRPr="00A5411A" w:rsidRDefault="006C5B9B" w:rsidP="006C5B9B">
            <w:pPr>
              <w:jc w:val="both"/>
              <w:rPr>
                <w:szCs w:val="22"/>
              </w:rPr>
            </w:pPr>
            <w:r>
              <w:rPr>
                <w:szCs w:val="22"/>
              </w:rPr>
              <w:t>基准日下属</w:t>
            </w:r>
            <w:r w:rsidR="00AE360F">
              <w:rPr>
                <w:szCs w:val="22"/>
              </w:rPr>
              <w:t>分类</w:t>
            </w:r>
            <w:r>
              <w:rPr>
                <w:szCs w:val="22"/>
              </w:rPr>
              <w:t>基金可供分配利润</w:t>
            </w:r>
            <w:r>
              <w:rPr>
                <w:rFonts w:hAnsi="宋体" w:hint="eastAsia"/>
              </w:rPr>
              <w:t>（单位：人民币元）</w:t>
            </w:r>
          </w:p>
        </w:tc>
        <w:tc>
          <w:tcPr>
            <w:tcW w:w="1842" w:type="dxa"/>
            <w:tcMar>
              <w:left w:w="85" w:type="dxa"/>
              <w:right w:w="85" w:type="dxa"/>
            </w:tcMar>
            <w:vAlign w:val="center"/>
          </w:tcPr>
          <w:p w:rsidR="006C5B9B" w:rsidRPr="001D695F" w:rsidRDefault="006C5B9B" w:rsidP="006C5B9B">
            <w:r>
              <w:rPr>
                <w:rFonts w:hint="eastAsia"/>
              </w:rPr>
              <w:t>41,776,088.33</w:t>
            </w:r>
          </w:p>
        </w:tc>
        <w:tc>
          <w:tcPr>
            <w:tcW w:w="1985" w:type="dxa"/>
            <w:tcMar>
              <w:left w:w="85" w:type="dxa"/>
              <w:right w:w="85" w:type="dxa"/>
            </w:tcMar>
            <w:vAlign w:val="center"/>
          </w:tcPr>
          <w:p w:rsidR="006C5B9B" w:rsidRDefault="006C5B9B" w:rsidP="006C5B9B">
            <w:r>
              <w:rPr>
                <w:rFonts w:hint="eastAsia"/>
              </w:rPr>
              <w:t>186,883.63</w:t>
            </w:r>
          </w:p>
        </w:tc>
        <w:tc>
          <w:tcPr>
            <w:tcW w:w="1835" w:type="dxa"/>
            <w:tcMar>
              <w:left w:w="85" w:type="dxa"/>
              <w:right w:w="85" w:type="dxa"/>
            </w:tcMar>
            <w:vAlign w:val="center"/>
          </w:tcPr>
          <w:p w:rsidR="006C5B9B" w:rsidRPr="007F70C1" w:rsidRDefault="006C5B9B" w:rsidP="006C5B9B">
            <w:r>
              <w:rPr>
                <w:rFonts w:hint="eastAsia"/>
              </w:rPr>
              <w:t>-</w:t>
            </w:r>
          </w:p>
        </w:tc>
      </w:tr>
      <w:tr w:rsidR="00AE360F" w:rsidTr="00AE360F">
        <w:trPr>
          <w:jc w:val="center"/>
        </w:trPr>
        <w:tc>
          <w:tcPr>
            <w:tcW w:w="1356" w:type="dxa"/>
            <w:vMerge/>
            <w:tcMar>
              <w:left w:w="85" w:type="dxa"/>
              <w:right w:w="85" w:type="dxa"/>
            </w:tcMar>
            <w:vAlign w:val="center"/>
          </w:tcPr>
          <w:p w:rsidR="006C5B9B" w:rsidRPr="00A5411A" w:rsidRDefault="006C5B9B" w:rsidP="006C5B9B">
            <w:pPr>
              <w:rPr>
                <w:szCs w:val="22"/>
              </w:rPr>
            </w:pPr>
          </w:p>
        </w:tc>
        <w:tc>
          <w:tcPr>
            <w:tcW w:w="2893" w:type="dxa"/>
            <w:tcMar>
              <w:left w:w="85" w:type="dxa"/>
              <w:right w:w="85" w:type="dxa"/>
            </w:tcMar>
            <w:vAlign w:val="center"/>
          </w:tcPr>
          <w:p w:rsidR="006C5B9B" w:rsidRPr="00A5411A" w:rsidRDefault="006C5B9B" w:rsidP="006C5B9B">
            <w:pPr>
              <w:rPr>
                <w:szCs w:val="22"/>
              </w:rPr>
            </w:pPr>
            <w:r>
              <w:rPr>
                <w:szCs w:val="22"/>
              </w:rPr>
              <w:t>截止基准日下属</w:t>
            </w:r>
            <w:r w:rsidR="00AE360F">
              <w:rPr>
                <w:szCs w:val="22"/>
              </w:rPr>
              <w:t>分类</w:t>
            </w:r>
            <w:r>
              <w:rPr>
                <w:szCs w:val="22"/>
              </w:rPr>
              <w:t>基金按照合同约定的分红比例计算的应分配金额（单位：人民币元）</w:t>
            </w:r>
          </w:p>
        </w:tc>
        <w:tc>
          <w:tcPr>
            <w:tcW w:w="1842" w:type="dxa"/>
            <w:tcMar>
              <w:left w:w="85" w:type="dxa"/>
              <w:right w:w="85" w:type="dxa"/>
            </w:tcMar>
            <w:vAlign w:val="center"/>
          </w:tcPr>
          <w:p w:rsidR="006C5B9B" w:rsidRPr="00523ED3" w:rsidRDefault="006C5B9B" w:rsidP="006C5B9B">
            <w:r w:rsidRPr="00523ED3">
              <w:rPr>
                <w:rFonts w:hint="eastAsia"/>
              </w:rPr>
              <w:t>-</w:t>
            </w:r>
          </w:p>
        </w:tc>
        <w:tc>
          <w:tcPr>
            <w:tcW w:w="1985" w:type="dxa"/>
            <w:tcMar>
              <w:left w:w="85" w:type="dxa"/>
              <w:right w:w="85" w:type="dxa"/>
            </w:tcMar>
            <w:vAlign w:val="center"/>
          </w:tcPr>
          <w:p w:rsidR="006C5B9B" w:rsidRDefault="006C5B9B" w:rsidP="006C5B9B">
            <w:r w:rsidRPr="00523ED3">
              <w:rPr>
                <w:rFonts w:hint="eastAsia"/>
              </w:rPr>
              <w:t>-</w:t>
            </w:r>
          </w:p>
        </w:tc>
        <w:tc>
          <w:tcPr>
            <w:tcW w:w="1835" w:type="dxa"/>
            <w:tcMar>
              <w:left w:w="85" w:type="dxa"/>
              <w:right w:w="85" w:type="dxa"/>
            </w:tcMar>
            <w:vAlign w:val="center"/>
          </w:tcPr>
          <w:p w:rsidR="006C5B9B" w:rsidRPr="00747F33" w:rsidRDefault="006C5B9B" w:rsidP="006C5B9B">
            <w:r w:rsidRPr="00747F33">
              <w:rPr>
                <w:rFonts w:hint="eastAsia"/>
              </w:rPr>
              <w:t>-</w:t>
            </w:r>
          </w:p>
        </w:tc>
      </w:tr>
      <w:tr w:rsidR="00AE360F" w:rsidTr="00AE360F">
        <w:trPr>
          <w:jc w:val="center"/>
        </w:trPr>
        <w:tc>
          <w:tcPr>
            <w:tcW w:w="4249" w:type="dxa"/>
            <w:gridSpan w:val="2"/>
            <w:tcMar>
              <w:left w:w="85" w:type="dxa"/>
              <w:right w:w="85" w:type="dxa"/>
            </w:tcMar>
            <w:vAlign w:val="center"/>
          </w:tcPr>
          <w:p w:rsidR="006C5B9B" w:rsidRPr="00A5411A" w:rsidRDefault="006C5B9B" w:rsidP="007B5D69">
            <w:pPr>
              <w:jc w:val="both"/>
              <w:rPr>
                <w:szCs w:val="22"/>
              </w:rPr>
            </w:pPr>
            <w:r w:rsidRPr="00A5411A">
              <w:rPr>
                <w:szCs w:val="22"/>
              </w:rPr>
              <w:t>本次下属</w:t>
            </w:r>
            <w:r w:rsidR="00AE360F">
              <w:rPr>
                <w:szCs w:val="22"/>
              </w:rPr>
              <w:t>分类</w:t>
            </w:r>
            <w:r w:rsidRPr="00A5411A">
              <w:rPr>
                <w:szCs w:val="22"/>
              </w:rPr>
              <w:t>基金分红方案（单位：元/10份基金份额）</w:t>
            </w:r>
          </w:p>
        </w:tc>
        <w:tc>
          <w:tcPr>
            <w:tcW w:w="1842" w:type="dxa"/>
            <w:tcMar>
              <w:left w:w="85" w:type="dxa"/>
              <w:right w:w="85" w:type="dxa"/>
            </w:tcMar>
            <w:vAlign w:val="center"/>
          </w:tcPr>
          <w:p w:rsidR="006C5B9B" w:rsidRPr="00172A90" w:rsidRDefault="006C5B9B" w:rsidP="00BE74A8">
            <w:r w:rsidRPr="00172A90">
              <w:rPr>
                <w:rFonts w:hint="eastAsia"/>
              </w:rPr>
              <w:t>0.2500</w:t>
            </w:r>
          </w:p>
        </w:tc>
        <w:tc>
          <w:tcPr>
            <w:tcW w:w="1985" w:type="dxa"/>
            <w:tcMar>
              <w:left w:w="85" w:type="dxa"/>
              <w:right w:w="85" w:type="dxa"/>
            </w:tcMar>
            <w:vAlign w:val="center"/>
          </w:tcPr>
          <w:p w:rsidR="006C5B9B" w:rsidRDefault="006C5B9B" w:rsidP="00BE74A8">
            <w:r w:rsidRPr="00172A90">
              <w:rPr>
                <w:rFonts w:hint="eastAsia"/>
              </w:rPr>
              <w:t>0.2000</w:t>
            </w:r>
          </w:p>
        </w:tc>
        <w:tc>
          <w:tcPr>
            <w:tcW w:w="1835" w:type="dxa"/>
            <w:tcMar>
              <w:left w:w="85" w:type="dxa"/>
              <w:right w:w="85" w:type="dxa"/>
            </w:tcMar>
            <w:vAlign w:val="center"/>
          </w:tcPr>
          <w:p w:rsidR="006C5B9B" w:rsidRPr="004A0EB0" w:rsidRDefault="006C5B9B" w:rsidP="00BE74A8">
            <w:r w:rsidRPr="004A0EB0">
              <w:rPr>
                <w:rFonts w:hint="eastAsia"/>
              </w:rPr>
              <w:t>-</w:t>
            </w:r>
          </w:p>
        </w:tc>
      </w:tr>
    </w:tbl>
    <w:p w:rsidR="00341BC3" w:rsidRPr="00A5411A" w:rsidRDefault="00341BC3" w:rsidP="0094623B">
      <w:pPr>
        <w:rPr>
          <w:szCs w:val="22"/>
        </w:rPr>
      </w:pPr>
      <w:r w:rsidRPr="00A5411A">
        <w:rPr>
          <w:szCs w:val="22"/>
        </w:rPr>
        <w:t>注：本基金自2024年6月26日起增设D类份额，鹏扬淳享债券D增设日至今无份额。</w:t>
      </w:r>
    </w:p>
    <w:p w:rsidR="00341BC3" w:rsidRDefault="005765DC" w:rsidP="005765DC">
      <w:pPr>
        <w:pStyle w:val="1"/>
        <w:spacing w:before="156" w:after="156"/>
      </w:pPr>
      <w:bookmarkStart w:id="2" w:name="_Toc457987865"/>
      <w:r w:rsidRPr="005765DC">
        <w:rPr>
          <w:rFonts w:hint="eastAsia"/>
        </w:rPr>
        <w:t>与分红相关的其他信息</w:t>
      </w:r>
      <w:bookmarkEnd w:id="2"/>
    </w:p>
    <w:tbl>
      <w:tblPr>
        <w:tblStyle w:val="ac"/>
        <w:tblW w:w="9072" w:type="dxa"/>
        <w:jc w:val="center"/>
        <w:tblLook w:val="04A0"/>
      </w:tblPr>
      <w:tblGrid>
        <w:gridCol w:w="2981"/>
        <w:gridCol w:w="6091"/>
      </w:tblGrid>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权益登记日</w:t>
            </w:r>
          </w:p>
        </w:tc>
        <w:tc>
          <w:tcPr>
            <w:tcW w:w="6091" w:type="dxa"/>
            <w:tcMar>
              <w:left w:w="85" w:type="dxa"/>
              <w:right w:w="85" w:type="dxa"/>
            </w:tcMar>
            <w:vAlign w:val="center"/>
          </w:tcPr>
          <w:p w:rsidR="00BE74A8" w:rsidRPr="00A5411A" w:rsidRDefault="00BE74A8" w:rsidP="00BE74A8">
            <w:pPr>
              <w:rPr>
                <w:szCs w:val="22"/>
              </w:rPr>
            </w:pPr>
            <w:r>
              <w:rPr>
                <w:szCs w:val="22"/>
              </w:rPr>
              <w:t>2024年12月27日</w:t>
            </w:r>
          </w:p>
        </w:tc>
      </w:tr>
      <w:tr w:rsidR="00AE360F" w:rsidTr="00AE360F">
        <w:trPr>
          <w:jc w:val="center"/>
        </w:trPr>
        <w:tc>
          <w:tcPr>
            <w:tcW w:w="2802" w:type="dxa"/>
            <w:tcMar>
              <w:left w:w="85" w:type="dxa"/>
              <w:right w:w="85" w:type="dxa"/>
            </w:tcMar>
            <w:vAlign w:val="center"/>
          </w:tcPr>
          <w:p w:rsidR="00074834" w:rsidRPr="00A5411A" w:rsidRDefault="00074834" w:rsidP="00BE74A8">
            <w:pPr>
              <w:rPr>
                <w:szCs w:val="22"/>
              </w:rPr>
            </w:pPr>
            <w:r w:rsidRPr="00A5411A">
              <w:rPr>
                <w:szCs w:val="22"/>
              </w:rPr>
              <w:t>除息日</w:t>
            </w:r>
          </w:p>
        </w:tc>
        <w:tc>
          <w:tcPr>
            <w:tcW w:w="3045" w:type="dxa"/>
            <w:tcMar>
              <w:left w:w="85" w:type="dxa"/>
              <w:right w:w="85" w:type="dxa"/>
            </w:tcMar>
            <w:vAlign w:val="center"/>
          </w:tcPr>
          <w:p w:rsidR="00074834" w:rsidRPr="00A5411A" w:rsidRDefault="00074834" w:rsidP="00BE74A8">
            <w:pPr>
              <w:rPr>
                <w:szCs w:val="22"/>
              </w:rPr>
            </w:pPr>
            <w:r>
              <w:rPr>
                <w:szCs w:val="22"/>
              </w:rPr>
              <w:t>2024年12月27日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现金红利发放日</w:t>
            </w:r>
          </w:p>
        </w:tc>
        <w:tc>
          <w:tcPr>
            <w:tcW w:w="6091" w:type="dxa"/>
            <w:tcMar>
              <w:left w:w="85" w:type="dxa"/>
              <w:right w:w="85" w:type="dxa"/>
            </w:tcMar>
            <w:vAlign w:val="center"/>
          </w:tcPr>
          <w:p w:rsidR="00BE74A8" w:rsidRPr="00A5411A" w:rsidRDefault="00BE74A8" w:rsidP="00BE74A8">
            <w:pPr>
              <w:rPr>
                <w:szCs w:val="22"/>
              </w:rPr>
            </w:pPr>
            <w:r>
              <w:rPr>
                <w:szCs w:val="22"/>
              </w:rPr>
              <w:t>2024年12月30日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分红对象</w:t>
            </w:r>
          </w:p>
        </w:tc>
        <w:tc>
          <w:tcPr>
            <w:tcW w:w="6091" w:type="dxa"/>
            <w:tcMar>
              <w:left w:w="85" w:type="dxa"/>
              <w:right w:w="85" w:type="dxa"/>
            </w:tcMar>
            <w:vAlign w:val="center"/>
          </w:tcPr>
          <w:p w:rsidR="00BE74A8" w:rsidRPr="00A5411A" w:rsidRDefault="00BE74A8" w:rsidP="00BE74A8">
            <w:pPr>
              <w:rPr>
                <w:szCs w:val="22"/>
              </w:rPr>
            </w:pPr>
            <w:r w:rsidRPr="00A5411A">
              <w:rPr>
                <w:szCs w:val="22"/>
              </w:rPr>
              <w:t>权益登记日在本基金注册登记机构登记在册的本基金全体基金份额持有人</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红利再投资相关事项的说明</w:t>
            </w:r>
          </w:p>
        </w:tc>
        <w:tc>
          <w:tcPr>
            <w:tcW w:w="6091" w:type="dxa"/>
            <w:tcMar>
              <w:left w:w="85" w:type="dxa"/>
              <w:right w:w="85" w:type="dxa"/>
            </w:tcMar>
            <w:vAlign w:val="center"/>
          </w:tcPr>
          <w:p w:rsidR="00BE74A8" w:rsidRPr="00A5411A" w:rsidRDefault="00BE74A8" w:rsidP="00BE74A8">
            <w:pPr>
              <w:rPr>
                <w:szCs w:val="22"/>
              </w:rPr>
            </w:pPr>
            <w:r w:rsidRPr="00A5411A">
              <w:rPr>
                <w:szCs w:val="22"/>
              </w:rPr>
              <w:t>选择红利再投资的投资者其现金红利转换为基金份额的基金份额净值（NAV）确定日为2024年12月27日，该部分基金份额将于2024年12月30日直接计入其基金账户，投资者可自2024年12月31日起查询、赎回。</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税收相关事项的说明</w:t>
            </w:r>
          </w:p>
        </w:tc>
        <w:tc>
          <w:tcPr>
            <w:tcW w:w="6091" w:type="dxa"/>
            <w:tcMar>
              <w:left w:w="85" w:type="dxa"/>
              <w:right w:w="85" w:type="dxa"/>
            </w:tcMar>
            <w:vAlign w:val="center"/>
          </w:tcPr>
          <w:p w:rsidR="00BE74A8" w:rsidRPr="00A5411A" w:rsidRDefault="00BE74A8" w:rsidP="00BE74A8">
            <w:pPr>
              <w:rPr>
                <w:szCs w:val="22"/>
              </w:rPr>
            </w:pPr>
            <w:r w:rsidRPr="00A5411A">
              <w:rPr>
                <w:szCs w:val="22"/>
              </w:rPr>
              <w:t>根据财政部、国家税务总局的财税字[2002]128 号《关于开放式证券投资基金有关税收问题的通知》，基金向投资者分配的基金收</w:t>
            </w:r>
            <w:r w:rsidRPr="00A5411A">
              <w:rPr>
                <w:szCs w:val="22"/>
              </w:rPr>
              <w:lastRenderedPageBreak/>
              <w:t>益，暂免征收所得税。</w:t>
            </w:r>
          </w:p>
        </w:tc>
      </w:tr>
      <w:tr w:rsidR="00BE74A8" w:rsidTr="00074834">
        <w:trPr>
          <w:jc w:val="center"/>
        </w:trPr>
        <w:tc>
          <w:tcPr>
            <w:tcW w:w="2981" w:type="dxa"/>
            <w:tcMar>
              <w:left w:w="85" w:type="dxa"/>
              <w:right w:w="85" w:type="dxa"/>
            </w:tcMar>
            <w:vAlign w:val="center"/>
          </w:tcPr>
          <w:p w:rsidR="00BE74A8" w:rsidRDefault="00BE74A8" w:rsidP="00BE74A8">
            <w:r w:rsidRPr="00A5411A">
              <w:rPr>
                <w:szCs w:val="22"/>
              </w:rPr>
              <w:lastRenderedPageBreak/>
              <w:t>费用相关事项的说明</w:t>
            </w:r>
          </w:p>
        </w:tc>
        <w:tc>
          <w:tcPr>
            <w:tcW w:w="6091" w:type="dxa"/>
            <w:tcMar>
              <w:left w:w="85" w:type="dxa"/>
              <w:right w:w="85" w:type="dxa"/>
            </w:tcMar>
            <w:vAlign w:val="center"/>
          </w:tcPr>
          <w:p w:rsidR="00BE74A8" w:rsidRDefault="00BE74A8" w:rsidP="00BE74A8">
            <w:r w:rsidRPr="00A5411A">
              <w:rPr>
                <w:szCs w:val="22"/>
              </w:rPr>
              <w:t>1）本基金本次收益分配免收收益分配手续费；</w:t>
            </w:r>
            <w:r w:rsidRPr="00A5411A">
              <w:rPr>
                <w:szCs w:val="22"/>
              </w:rPr>
              <w:br/>
              <w:t>2）收益分配采用红利再投方式免收再投资的申购费用。</w:t>
            </w:r>
          </w:p>
        </w:tc>
      </w:tr>
    </w:tbl>
    <w:p w:rsidR="005765DC" w:rsidRPr="00A5411A" w:rsidRDefault="005765DC" w:rsidP="0094623B">
      <w:pPr>
        <w:rPr>
          <w:szCs w:val="22"/>
        </w:rPr>
      </w:pPr>
      <w:r w:rsidRPr="00A5411A">
        <w:rPr>
          <w:szCs w:val="22"/>
        </w:rPr>
        <w:t>注：选择现金红利方式的投资者的红利款将于现金红利发放日自基金托管账户划出。</w:t>
      </w:r>
    </w:p>
    <w:p w:rsidR="005765DC" w:rsidRDefault="005765DC" w:rsidP="005765DC">
      <w:pPr>
        <w:pStyle w:val="1"/>
        <w:spacing w:before="156" w:after="156"/>
      </w:pPr>
      <w:bookmarkStart w:id="3" w:name="_Toc457987866"/>
      <w:r w:rsidRPr="005765DC">
        <w:rPr>
          <w:rFonts w:hint="eastAsia"/>
        </w:rPr>
        <w:t>其他需要提示的事项</w:t>
      </w:r>
      <w:bookmarkEnd w:id="3"/>
    </w:p>
    <w:p w:rsidR="005765DC" w:rsidRDefault="005765DC" w:rsidP="00570428">
      <w:pPr>
        <w:pStyle w:val="aa"/>
        <w:ind w:firstLine="420"/>
      </w:pPr>
      <w:r w:rsidRPr="00A5411A">
        <w:t>1、权益登记日申请申购或转入的基金份额不享有本次分红权益，权益登记日申请赎回或转出的基金份额享有本次分红权益。</w:t>
      </w:r>
      <w:r w:rsidRPr="00A5411A">
        <w:br/>
        <w:t xml:space="preserve">    2、本基金默认分红方式为现金分红。投资者可到销售网点或本公司交易平台查询分红方式。如需变更分红方式，请于权益登记日之前的交易时间内（不含权益登记日）办理变更手续。</w:t>
      </w:r>
      <w:r w:rsidRPr="00A5411A">
        <w:br/>
        <w:t xml:space="preserve">    3、本次分红确认的方式按照投资者在权益登记日之前（不含权益登记日）最后一次选择成功的分红方式为准。</w:t>
      </w:r>
      <w:r w:rsidRPr="00A5411A">
        <w:br/>
        <w:t xml:space="preserve">    4、投资者通过任一销售机构按基金交易代码提交的分红方式变更申请，只对投资者在该销售机构指定交易账户下的基金份额有效，并不改变投资者在该销售机构其他交易账户或其他销售机构基金份额的分红方式。</w:t>
      </w:r>
      <w:r w:rsidRPr="00A5411A">
        <w:br/>
        <w:t xml:space="preserve">    5、风险提示：本基金分红并不改变本基金的风险收益特征，也不会因此降低基金投资风险或提高基金投资收益。本公司承诺以诚实信用、勤勉尽责的原则管理和运用基金资产，但不保证基金一定盈利，也不保证最低收益。敬请投资人注意投资风险。投资者可以通过拨打鹏扬基金管理有限公司客户服务热线400-968-6688（免长途话费），或登陆网站http://www.pyamc.com了解相关情况。投资者也可以前往本基金有关销售机构进行咨询。本基金的销售机构详见本基金更新的招募说明书或相关公告。</w:t>
      </w:r>
    </w:p>
    <w:p w:rsidR="00570428" w:rsidRPr="00AE360F" w:rsidRDefault="00570428" w:rsidP="00AE360F">
      <w:pPr>
        <w:pStyle w:val="aa"/>
        <w:ind w:firstLine="420"/>
      </w:pPr>
    </w:p>
    <w:p w:rsidR="00570428" w:rsidRPr="00AE360F" w:rsidRDefault="00570428" w:rsidP="00AE360F">
      <w:pPr>
        <w:pStyle w:val="aa"/>
        <w:ind w:firstLine="420"/>
      </w:pPr>
    </w:p>
    <w:p w:rsidR="00570428" w:rsidRPr="00AE360F" w:rsidRDefault="00570428" w:rsidP="00AE360F">
      <w:pPr>
        <w:pStyle w:val="aa"/>
        <w:ind w:firstLine="420"/>
        <w:jc w:val="right"/>
        <w:rPr>
          <w:color w:val="000000"/>
        </w:rPr>
      </w:pPr>
      <w:r w:rsidRPr="00AE360F">
        <w:rPr>
          <w:rFonts w:hint="eastAsia"/>
          <w:color w:val="000000"/>
        </w:rPr>
        <w:t>鹏扬基金管理有限公司</w:t>
      </w:r>
    </w:p>
    <w:p w:rsidR="00570428" w:rsidRPr="00AE360F" w:rsidRDefault="00570428" w:rsidP="00AE360F">
      <w:pPr>
        <w:pStyle w:val="aa"/>
        <w:ind w:firstLine="420"/>
        <w:jc w:val="right"/>
        <w:rPr>
          <w:color w:val="000000"/>
        </w:rPr>
      </w:pPr>
      <w:r w:rsidRPr="00AE360F">
        <w:rPr>
          <w:rFonts w:hint="eastAsia"/>
          <w:color w:val="000000"/>
        </w:rPr>
        <w:t>2024年12月26日</w:t>
      </w:r>
    </w:p>
    <w:sectPr w:rsidR="00570428" w:rsidRPr="00AE360F" w:rsidSect="007B5D6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9EF" w:rsidRDefault="009F79EF" w:rsidP="00341BC3">
      <w:r>
        <w:separator/>
      </w:r>
    </w:p>
  </w:endnote>
  <w:endnote w:type="continuationSeparator" w:id="0">
    <w:p w:rsidR="009F79EF" w:rsidRDefault="009F79EF" w:rsidP="0034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28" w:rsidRDefault="00570428" w:rsidP="00570428">
    <w:pPr>
      <w:pStyle w:val="a4"/>
      <w:jc w:val="center"/>
    </w:pPr>
    <w:r w:rsidRPr="00570428">
      <w:rPr>
        <w:rFonts w:hint="eastAsia"/>
      </w:rPr>
      <w:t>第</w:t>
    </w:r>
    <w:r w:rsidR="002D47DC">
      <w:fldChar w:fldCharType="begin"/>
    </w:r>
    <w:r>
      <w:instrText xml:space="preserve"> </w:instrText>
    </w:r>
    <w:r>
      <w:rPr>
        <w:rFonts w:hint="eastAsia"/>
      </w:rPr>
      <w:instrText>PAGE   \* MERGEFORMAT</w:instrText>
    </w:r>
    <w:r>
      <w:instrText xml:space="preserve"> </w:instrText>
    </w:r>
    <w:r w:rsidR="002D47DC">
      <w:fldChar w:fldCharType="separate"/>
    </w:r>
    <w:r w:rsidR="00A73C5A">
      <w:rPr>
        <w:noProof/>
      </w:rPr>
      <w:t>1</w:t>
    </w:r>
    <w:r w:rsidR="002D47DC">
      <w:fldChar w:fldCharType="end"/>
    </w:r>
    <w:r w:rsidRPr="00570428">
      <w:rPr>
        <w:rFonts w:hint="eastAsia"/>
      </w:rPr>
      <w:t>页</w:t>
    </w:r>
    <w:r w:rsidRPr="00570428">
      <w:rPr>
        <w:rFonts w:hint="eastAsia"/>
      </w:rPr>
      <w:t xml:space="preserve"> </w:t>
    </w:r>
    <w:r w:rsidRPr="00570428">
      <w:rPr>
        <w:rFonts w:hint="eastAsia"/>
      </w:rPr>
      <w:t>共</w:t>
    </w:r>
    <w:fldSimple w:instr=" NUMPAGES   \* MERGEFORMAT ">
      <w:r w:rsidR="00A73C5A">
        <w:rPr>
          <w:noProof/>
        </w:rPr>
        <w:t>2</w:t>
      </w:r>
    </w:fldSimple>
    <w:r w:rsidRPr="00570428">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9EF" w:rsidRDefault="009F79EF" w:rsidP="00341BC3">
      <w:r>
        <w:separator/>
      </w:r>
    </w:p>
  </w:footnote>
  <w:footnote w:type="continuationSeparator" w:id="0">
    <w:p w:rsidR="009F79EF" w:rsidRDefault="009F79EF" w:rsidP="0034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68" w:rsidRDefault="007E5FE5">
    <w:pPr>
      <w:pBdr>
        <w:between w:val="single" w:sz="3" w:space="0" w:color="000000"/>
      </w:pBdr>
      <w:jc w:val="right"/>
    </w:pPr>
    <w:r>
      <w:rPr>
        <w:rFonts w:hAnsi="宋体" w:hint="eastAsia"/>
        <w:bCs/>
        <w:color w:val="000000"/>
        <w:sz w:val="18"/>
        <w:szCs w:val="18"/>
      </w:rPr>
      <w:t>鹏扬淳享债券型证券投资基金分红公告</w:t>
    </w:r>
  </w:p>
  <w:p w:rsidR="007E1F68" w:rsidRDefault="007E1F68">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84430"/>
    <w:multiLevelType w:val="hybridMultilevel"/>
    <w:tmpl w:val="5F4E9798"/>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542"/>
    <w:rsid w:val="00001A6F"/>
    <w:rsid w:val="00023B3A"/>
    <w:rsid w:val="00030DD2"/>
    <w:rsid w:val="000507D6"/>
    <w:rsid w:val="00074834"/>
    <w:rsid w:val="000762C7"/>
    <w:rsid w:val="0009734C"/>
    <w:rsid w:val="000C554B"/>
    <w:rsid w:val="000F608E"/>
    <w:rsid w:val="0011526A"/>
    <w:rsid w:val="001569AC"/>
    <w:rsid w:val="001603BA"/>
    <w:rsid w:val="00181F7A"/>
    <w:rsid w:val="001C42A3"/>
    <w:rsid w:val="001F485F"/>
    <w:rsid w:val="0021203E"/>
    <w:rsid w:val="002255C3"/>
    <w:rsid w:val="002828AA"/>
    <w:rsid w:val="00287EE4"/>
    <w:rsid w:val="002D0E43"/>
    <w:rsid w:val="002D47DC"/>
    <w:rsid w:val="002D51F1"/>
    <w:rsid w:val="002F27BA"/>
    <w:rsid w:val="00310EC7"/>
    <w:rsid w:val="0031453C"/>
    <w:rsid w:val="00334299"/>
    <w:rsid w:val="00341BC3"/>
    <w:rsid w:val="0034567C"/>
    <w:rsid w:val="00350F99"/>
    <w:rsid w:val="00367E60"/>
    <w:rsid w:val="00381F52"/>
    <w:rsid w:val="004552B5"/>
    <w:rsid w:val="0048370C"/>
    <w:rsid w:val="0049035C"/>
    <w:rsid w:val="004B2A90"/>
    <w:rsid w:val="00563E58"/>
    <w:rsid w:val="00570428"/>
    <w:rsid w:val="005765DC"/>
    <w:rsid w:val="005F1128"/>
    <w:rsid w:val="00664AFE"/>
    <w:rsid w:val="00667466"/>
    <w:rsid w:val="00673542"/>
    <w:rsid w:val="006C3AEF"/>
    <w:rsid w:val="006C5B9B"/>
    <w:rsid w:val="006F05DA"/>
    <w:rsid w:val="00763DF0"/>
    <w:rsid w:val="007840F2"/>
    <w:rsid w:val="007B5D69"/>
    <w:rsid w:val="007D6538"/>
    <w:rsid w:val="007E1F68"/>
    <w:rsid w:val="007E5FE5"/>
    <w:rsid w:val="008102CF"/>
    <w:rsid w:val="00852485"/>
    <w:rsid w:val="00857A4D"/>
    <w:rsid w:val="00861446"/>
    <w:rsid w:val="00863865"/>
    <w:rsid w:val="00883031"/>
    <w:rsid w:val="00890ABA"/>
    <w:rsid w:val="00891E33"/>
    <w:rsid w:val="008B32A1"/>
    <w:rsid w:val="00937335"/>
    <w:rsid w:val="0094623B"/>
    <w:rsid w:val="009C6E3D"/>
    <w:rsid w:val="009F79EF"/>
    <w:rsid w:val="00A007A8"/>
    <w:rsid w:val="00A10C3D"/>
    <w:rsid w:val="00A5411A"/>
    <w:rsid w:val="00A57A81"/>
    <w:rsid w:val="00A724AF"/>
    <w:rsid w:val="00A73C5A"/>
    <w:rsid w:val="00A74D94"/>
    <w:rsid w:val="00A94EB3"/>
    <w:rsid w:val="00AA74E8"/>
    <w:rsid w:val="00AE1561"/>
    <w:rsid w:val="00AE2EFF"/>
    <w:rsid w:val="00AE360F"/>
    <w:rsid w:val="00AF4FB3"/>
    <w:rsid w:val="00B70982"/>
    <w:rsid w:val="00BC2A99"/>
    <w:rsid w:val="00BD1AEC"/>
    <w:rsid w:val="00BE1DE8"/>
    <w:rsid w:val="00BE4459"/>
    <w:rsid w:val="00BE74A8"/>
    <w:rsid w:val="00C00443"/>
    <w:rsid w:val="00C30AD8"/>
    <w:rsid w:val="00CB4958"/>
    <w:rsid w:val="00D13C98"/>
    <w:rsid w:val="00D14955"/>
    <w:rsid w:val="00D24F9C"/>
    <w:rsid w:val="00D51F6A"/>
    <w:rsid w:val="00D674E1"/>
    <w:rsid w:val="00DA22AA"/>
    <w:rsid w:val="00DA2749"/>
    <w:rsid w:val="00DB5C10"/>
    <w:rsid w:val="00E52539"/>
    <w:rsid w:val="00E62C65"/>
    <w:rsid w:val="00E67046"/>
    <w:rsid w:val="00E8675D"/>
    <w:rsid w:val="00EE19BC"/>
    <w:rsid w:val="00EF3D02"/>
    <w:rsid w:val="00F23629"/>
    <w:rsid w:val="00F2546A"/>
    <w:rsid w:val="00F43B32"/>
    <w:rsid w:val="00F77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570428"/>
    <w:pPr>
      <w:widowControl w:val="0"/>
    </w:pPr>
    <w:rPr>
      <w:rFonts w:ascii="宋体" w:eastAsia="宋体"/>
    </w:rPr>
  </w:style>
  <w:style w:type="paragraph" w:styleId="1">
    <w:name w:val="heading 1"/>
    <w:basedOn w:val="a"/>
    <w:next w:val="a"/>
    <w:link w:val="1Char"/>
    <w:uiPriority w:val="9"/>
    <w:qFormat/>
    <w:rsid w:val="00570428"/>
    <w:pPr>
      <w:keepNext/>
      <w:keepLines/>
      <w:numPr>
        <w:numId w:val="1"/>
      </w:numPr>
      <w:spacing w:beforeLines="50" w:afterLines="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C3"/>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341BC3"/>
    <w:rPr>
      <w:sz w:val="18"/>
      <w:szCs w:val="18"/>
    </w:rPr>
  </w:style>
  <w:style w:type="paragraph" w:styleId="a4">
    <w:name w:val="footer"/>
    <w:basedOn w:val="a"/>
    <w:link w:val="Char0"/>
    <w:uiPriority w:val="99"/>
    <w:unhideWhenUsed/>
    <w:rsid w:val="00341BC3"/>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341BC3"/>
    <w:rPr>
      <w:sz w:val="18"/>
      <w:szCs w:val="18"/>
    </w:rPr>
  </w:style>
  <w:style w:type="character" w:customStyle="1" w:styleId="1Char">
    <w:name w:val="标题 1 Char"/>
    <w:basedOn w:val="a0"/>
    <w:link w:val="1"/>
    <w:uiPriority w:val="9"/>
    <w:rsid w:val="00570428"/>
    <w:rPr>
      <w:rFonts w:ascii="宋体" w:eastAsia="宋体" w:hAnsi="Times New Roman" w:cs="Times New Roman"/>
      <w:b/>
      <w:bCs/>
      <w:kern w:val="44"/>
      <w:sz w:val="28"/>
      <w:szCs w:val="44"/>
    </w:rPr>
  </w:style>
  <w:style w:type="character" w:styleId="a5">
    <w:name w:val="footnote reference"/>
    <w:rsid w:val="00341BC3"/>
    <w:rPr>
      <w:vertAlign w:val="superscript"/>
    </w:rPr>
  </w:style>
  <w:style w:type="paragraph" w:styleId="a6">
    <w:name w:val="footnote text"/>
    <w:basedOn w:val="a"/>
    <w:link w:val="Char1"/>
    <w:rsid w:val="00341BC3"/>
    <w:pPr>
      <w:snapToGrid w:val="0"/>
    </w:pPr>
  </w:style>
  <w:style w:type="character" w:customStyle="1" w:styleId="Char1">
    <w:name w:val="脚注文本 Char"/>
    <w:basedOn w:val="a0"/>
    <w:link w:val="a6"/>
    <w:rsid w:val="00341BC3"/>
    <w:rPr>
      <w:rFonts w:ascii="Times New Roman" w:eastAsia="宋体" w:hAnsi="Times New Roman" w:cs="Times New Roman"/>
      <w:sz w:val="18"/>
      <w:szCs w:val="20"/>
    </w:rPr>
  </w:style>
  <w:style w:type="paragraph" w:styleId="TOC">
    <w:name w:val="TOC Heading"/>
    <w:basedOn w:val="1"/>
    <w:next w:val="a"/>
    <w:uiPriority w:val="39"/>
    <w:unhideWhenUsed/>
    <w:rsid w:val="005765DC"/>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765DC"/>
  </w:style>
  <w:style w:type="character" w:styleId="a7">
    <w:name w:val="Hyperlink"/>
    <w:basedOn w:val="a0"/>
    <w:uiPriority w:val="99"/>
    <w:unhideWhenUsed/>
    <w:rsid w:val="005765DC"/>
    <w:rPr>
      <w:color w:val="0563C1" w:themeColor="hyperlink"/>
      <w:u w:val="single"/>
    </w:rPr>
  </w:style>
  <w:style w:type="paragraph" w:customStyle="1" w:styleId="11">
    <w:name w:val="主标题1"/>
    <w:basedOn w:val="a"/>
    <w:next w:val="a"/>
    <w:link w:val="1Char0"/>
    <w:rsid w:val="0021203E"/>
    <w:pPr>
      <w:adjustRightInd w:val="0"/>
      <w:snapToGrid w:val="0"/>
      <w:jc w:val="center"/>
    </w:pPr>
    <w:rPr>
      <w:rFonts w:hAnsi="宋体" w:cs="宋体"/>
      <w:b/>
      <w:bCs/>
      <w:sz w:val="44"/>
      <w:szCs w:val="24"/>
    </w:rPr>
  </w:style>
  <w:style w:type="character" w:customStyle="1" w:styleId="1Char0">
    <w:name w:val="主标题1 Char"/>
    <w:basedOn w:val="a0"/>
    <w:link w:val="11"/>
    <w:rsid w:val="0021203E"/>
    <w:rPr>
      <w:rFonts w:ascii="宋体" w:eastAsia="宋体" w:hAnsi="宋体" w:cs="宋体"/>
      <w:b/>
      <w:bCs/>
      <w:sz w:val="44"/>
      <w:szCs w:val="24"/>
    </w:rPr>
  </w:style>
  <w:style w:type="paragraph" w:customStyle="1" w:styleId="12">
    <w:name w:val="副标题1"/>
    <w:basedOn w:val="a"/>
    <w:next w:val="a"/>
    <w:link w:val="1Char1"/>
    <w:rsid w:val="00A5411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A5411A"/>
    <w:rPr>
      <w:rFonts w:ascii="宋体" w:eastAsia="宋体" w:hAnsi="宋体" w:cs="宋体"/>
      <w:bCs/>
      <w:sz w:val="32"/>
      <w:szCs w:val="24"/>
    </w:rPr>
  </w:style>
  <w:style w:type="paragraph" w:customStyle="1" w:styleId="a8">
    <w:name w:val="正文中"/>
    <w:qFormat/>
    <w:rsid w:val="00570428"/>
    <w:pPr>
      <w:jc w:val="center"/>
    </w:pPr>
    <w:rPr>
      <w:rFonts w:ascii="宋体" w:eastAsia="宋体" w:hAnsiTheme="majorEastAsia" w:cs="Times New Roman"/>
      <w:szCs w:val="44"/>
    </w:rPr>
  </w:style>
  <w:style w:type="paragraph" w:customStyle="1" w:styleId="a9">
    <w:name w:val="正文右"/>
    <w:qFormat/>
    <w:rsid w:val="00570428"/>
    <w:pPr>
      <w:jc w:val="right"/>
    </w:pPr>
    <w:rPr>
      <w:rFonts w:ascii="宋体" w:eastAsia="宋体" w:hAnsiTheme="majorEastAsia" w:cs="Times New Roman"/>
      <w:szCs w:val="44"/>
    </w:rPr>
  </w:style>
  <w:style w:type="paragraph" w:styleId="aa">
    <w:name w:val="Normal Indent"/>
    <w:qFormat/>
    <w:rsid w:val="00570428"/>
    <w:pPr>
      <w:spacing w:line="360" w:lineRule="auto"/>
      <w:ind w:firstLineChars="200" w:firstLine="200"/>
    </w:pPr>
    <w:rPr>
      <w:rFonts w:ascii="宋体" w:eastAsia="宋体"/>
    </w:rPr>
  </w:style>
  <w:style w:type="paragraph" w:styleId="ab">
    <w:name w:val="List Paragraph"/>
    <w:basedOn w:val="a"/>
    <w:uiPriority w:val="34"/>
    <w:rsid w:val="00181F7A"/>
    <w:pPr>
      <w:ind w:firstLineChars="200" w:firstLine="420"/>
    </w:pPr>
  </w:style>
  <w:style w:type="table" w:styleId="ac">
    <w:name w:val="Table Grid"/>
    <w:basedOn w:val="a1"/>
    <w:uiPriority w:val="39"/>
    <w:rsid w:val="00BE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E2296707-DA0B-4D01-82F9-B185720FEA53}">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drawingml/2006/main"/>
    <ds:schemaRef ds:uri="http://schemas.openxmlformats.org/drawingml/2006/wordprocessingDrawing"/>
    <ds:schemaRef ds:uri="http://schemas.microsoft.com/office/word/2010/wordml"/>
    <ds:schemaRef ds:uri="http://schemas.openxmlformats.org/officeDocument/2006/relationships"/>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1349</Characters>
  <Application>Microsoft Office Word</Application>
  <DocSecurity>4</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ZHONGM</cp:lastModifiedBy>
  <cp:revision>2</cp:revision>
  <cp:lastPrinted>2024-12-25T08:33:00Z</cp:lastPrinted>
  <dcterms:created xsi:type="dcterms:W3CDTF">2024-12-25T16:02:00Z</dcterms:created>
  <dcterms:modified xsi:type="dcterms:W3CDTF">2024-12-25T16:02:00Z</dcterms:modified>
</cp:coreProperties>
</file>