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120" w:rsidRDefault="00407057">
      <w:pPr>
        <w:spacing w:line="360" w:lineRule="auto"/>
        <w:jc w:val="center"/>
        <w:rPr>
          <w:rFonts w:asciiTheme="minorEastAsia" w:hAnsiTheme="minorEastAsia"/>
          <w:b/>
          <w:bCs/>
          <w:color w:val="000000"/>
          <w:sz w:val="28"/>
          <w:szCs w:val="21"/>
        </w:rPr>
      </w:pPr>
      <w:r>
        <w:rPr>
          <w:rFonts w:asciiTheme="minorEastAsia" w:hAnsiTheme="minorEastAsia" w:hint="eastAsia"/>
          <w:b/>
          <w:bCs/>
          <w:color w:val="000000"/>
          <w:sz w:val="28"/>
          <w:szCs w:val="21"/>
        </w:rPr>
        <w:t>上海国泰君安证券资产管理有限公司</w:t>
      </w:r>
      <w:r>
        <w:rPr>
          <w:rFonts w:asciiTheme="minorEastAsia" w:hAnsiTheme="minorEastAsia"/>
          <w:b/>
          <w:bCs/>
          <w:color w:val="000000"/>
          <w:sz w:val="28"/>
          <w:szCs w:val="21"/>
        </w:rPr>
        <w:t>关于</w:t>
      </w:r>
      <w:r>
        <w:rPr>
          <w:rFonts w:asciiTheme="minorEastAsia" w:hAnsiTheme="minorEastAsia" w:hint="eastAsia"/>
          <w:b/>
          <w:bCs/>
          <w:color w:val="000000"/>
          <w:sz w:val="28"/>
          <w:szCs w:val="21"/>
        </w:rPr>
        <w:t>国泰君安信息行业混合型发起式证券投资基金</w:t>
      </w:r>
    </w:p>
    <w:p w:rsidR="00C73120" w:rsidRDefault="00407057">
      <w:pPr>
        <w:spacing w:line="360" w:lineRule="auto"/>
        <w:jc w:val="center"/>
        <w:rPr>
          <w:rFonts w:asciiTheme="minorEastAsia" w:hAnsiTheme="minorEastAsia"/>
          <w:b/>
          <w:bCs/>
          <w:color w:val="000000"/>
          <w:sz w:val="28"/>
          <w:szCs w:val="21"/>
        </w:rPr>
      </w:pPr>
      <w:r>
        <w:rPr>
          <w:rFonts w:asciiTheme="minorEastAsia" w:hAnsiTheme="minorEastAsia"/>
          <w:b/>
          <w:bCs/>
          <w:color w:val="000000"/>
          <w:sz w:val="28"/>
          <w:szCs w:val="21"/>
        </w:rPr>
        <w:t>基金合同终止及基金财产清算的公告</w:t>
      </w:r>
    </w:p>
    <w:p w:rsidR="00C73120" w:rsidRDefault="00407057">
      <w:pPr>
        <w:autoSpaceDE w:val="0"/>
        <w:autoSpaceDN w:val="0"/>
        <w:adjustRightInd w:val="0"/>
        <w:spacing w:line="360" w:lineRule="auto"/>
        <w:jc w:val="left"/>
        <w:rPr>
          <w:rFonts w:asciiTheme="minorEastAsia" w:hAnsiTheme="minorEastAsia" w:cs="宋体"/>
          <w:kern w:val="0"/>
          <w:szCs w:val="21"/>
        </w:rPr>
      </w:pP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kern w:val="0"/>
          <w:szCs w:val="21"/>
        </w:rPr>
        <w:t>根据《中华人民共和国证券投资基金法》、《公开募集证券投资基金运作管理办法》、《</w:t>
      </w:r>
      <w:r>
        <w:rPr>
          <w:rFonts w:asciiTheme="minorEastAsia" w:hAnsiTheme="minorEastAsia" w:cs="宋体" w:hint="eastAsia"/>
          <w:kern w:val="0"/>
          <w:szCs w:val="21"/>
        </w:rPr>
        <w:t>国泰君安信息行业混合型发起式证券投资基金</w:t>
      </w:r>
      <w:r>
        <w:rPr>
          <w:rFonts w:asciiTheme="minorEastAsia" w:hAnsiTheme="minorEastAsia" w:cs="宋体"/>
          <w:kern w:val="0"/>
          <w:szCs w:val="21"/>
        </w:rPr>
        <w:t>基金合同》（以下简称</w:t>
      </w:r>
      <w:r>
        <w:rPr>
          <w:rFonts w:asciiTheme="minorEastAsia" w:hAnsiTheme="minorEastAsia" w:cs="宋体"/>
          <w:kern w:val="0"/>
          <w:szCs w:val="21"/>
        </w:rPr>
        <w:t>“</w:t>
      </w:r>
      <w:r>
        <w:rPr>
          <w:rFonts w:asciiTheme="minorEastAsia" w:hAnsiTheme="minorEastAsia" w:cs="宋体" w:hint="eastAsia"/>
          <w:kern w:val="0"/>
          <w:szCs w:val="21"/>
        </w:rPr>
        <w:t>《</w:t>
      </w:r>
      <w:r>
        <w:rPr>
          <w:rFonts w:asciiTheme="minorEastAsia" w:hAnsiTheme="minorEastAsia" w:cs="宋体"/>
          <w:kern w:val="0"/>
          <w:szCs w:val="21"/>
        </w:rPr>
        <w:t>基金合同</w:t>
      </w:r>
      <w:r>
        <w:rPr>
          <w:rFonts w:asciiTheme="minorEastAsia" w:hAnsiTheme="minorEastAsia" w:cs="宋体" w:hint="eastAsia"/>
          <w:kern w:val="0"/>
          <w:szCs w:val="21"/>
        </w:rPr>
        <w:t>》</w:t>
      </w:r>
      <w:r>
        <w:rPr>
          <w:rFonts w:asciiTheme="minorEastAsia" w:hAnsiTheme="minorEastAsia" w:cs="宋体"/>
          <w:kern w:val="0"/>
          <w:szCs w:val="21"/>
        </w:rPr>
        <w:t>”</w:t>
      </w:r>
      <w:r>
        <w:rPr>
          <w:rFonts w:asciiTheme="minorEastAsia" w:hAnsiTheme="minorEastAsia" w:cs="宋体" w:hint="eastAsia"/>
          <w:kern w:val="0"/>
          <w:szCs w:val="21"/>
        </w:rPr>
        <w:t>或“基金合同”</w:t>
      </w:r>
      <w:r>
        <w:rPr>
          <w:rFonts w:asciiTheme="minorEastAsia" w:hAnsiTheme="minorEastAsia" w:cs="宋体"/>
          <w:kern w:val="0"/>
          <w:szCs w:val="21"/>
        </w:rPr>
        <w:t>）的有关规定，</w:t>
      </w:r>
      <w:r>
        <w:rPr>
          <w:rFonts w:asciiTheme="minorEastAsia" w:hAnsiTheme="minorEastAsia" w:cs="宋体" w:hint="eastAsia"/>
          <w:kern w:val="0"/>
          <w:szCs w:val="21"/>
        </w:rPr>
        <w:t>国泰君安信息行业混合型发起式证券投资基金</w:t>
      </w:r>
      <w:r>
        <w:rPr>
          <w:rFonts w:asciiTheme="minorEastAsia" w:hAnsiTheme="minorEastAsia" w:cs="宋体"/>
          <w:kern w:val="0"/>
          <w:szCs w:val="21"/>
        </w:rPr>
        <w:t>（以下简称</w:t>
      </w:r>
      <w:r>
        <w:rPr>
          <w:rFonts w:asciiTheme="minorEastAsia" w:hAnsiTheme="minorEastAsia" w:cs="宋体"/>
          <w:kern w:val="0"/>
          <w:szCs w:val="21"/>
        </w:rPr>
        <w:t>“</w:t>
      </w:r>
      <w:r>
        <w:rPr>
          <w:rFonts w:asciiTheme="minorEastAsia" w:hAnsiTheme="minorEastAsia" w:cs="宋体"/>
          <w:kern w:val="0"/>
          <w:szCs w:val="21"/>
        </w:rPr>
        <w:t>本基金</w:t>
      </w:r>
      <w:r>
        <w:rPr>
          <w:rFonts w:asciiTheme="minorEastAsia" w:hAnsiTheme="minorEastAsia" w:cs="宋体"/>
          <w:kern w:val="0"/>
          <w:szCs w:val="21"/>
        </w:rPr>
        <w:t>”</w:t>
      </w:r>
      <w:r>
        <w:rPr>
          <w:rFonts w:asciiTheme="minorEastAsia" w:hAnsiTheme="minorEastAsia" w:cs="宋体"/>
          <w:kern w:val="0"/>
          <w:szCs w:val="21"/>
        </w:rPr>
        <w:t>）出现</w:t>
      </w:r>
      <w:r>
        <w:rPr>
          <w:rFonts w:asciiTheme="minorEastAsia" w:hAnsiTheme="minorEastAsia" w:cs="宋体" w:hint="eastAsia"/>
          <w:kern w:val="0"/>
          <w:szCs w:val="21"/>
        </w:rPr>
        <w:t>《</w:t>
      </w:r>
      <w:r>
        <w:rPr>
          <w:rFonts w:asciiTheme="minorEastAsia" w:hAnsiTheme="minorEastAsia" w:cs="宋体"/>
          <w:kern w:val="0"/>
          <w:szCs w:val="21"/>
        </w:rPr>
        <w:t>基金合同</w:t>
      </w:r>
      <w:r>
        <w:rPr>
          <w:rFonts w:asciiTheme="minorEastAsia" w:hAnsiTheme="minorEastAsia" w:cs="宋体" w:hint="eastAsia"/>
          <w:kern w:val="0"/>
          <w:szCs w:val="21"/>
        </w:rPr>
        <w:t>》</w:t>
      </w:r>
      <w:r>
        <w:rPr>
          <w:rFonts w:asciiTheme="minorEastAsia" w:hAnsiTheme="minorEastAsia" w:cs="宋体"/>
          <w:kern w:val="0"/>
          <w:szCs w:val="21"/>
        </w:rPr>
        <w:t>终止事由，</w:t>
      </w:r>
      <w:r>
        <w:rPr>
          <w:rFonts w:asciiTheme="minorEastAsia" w:hAnsiTheme="minorEastAsia" w:cs="宋体" w:hint="eastAsia"/>
          <w:kern w:val="0"/>
          <w:szCs w:val="21"/>
        </w:rPr>
        <w:t>上海国泰君安证券资产管理有限公司</w:t>
      </w:r>
      <w:r>
        <w:rPr>
          <w:rFonts w:asciiTheme="minorEastAsia" w:hAnsiTheme="minorEastAsia" w:cs="宋体"/>
          <w:kern w:val="0"/>
          <w:szCs w:val="21"/>
        </w:rPr>
        <w:t>（以下简称</w:t>
      </w:r>
      <w:r>
        <w:rPr>
          <w:rFonts w:asciiTheme="minorEastAsia" w:hAnsiTheme="minorEastAsia" w:cs="宋体"/>
          <w:kern w:val="0"/>
          <w:szCs w:val="21"/>
        </w:rPr>
        <w:t>“</w:t>
      </w:r>
      <w:r>
        <w:rPr>
          <w:rFonts w:asciiTheme="minorEastAsia" w:hAnsiTheme="minorEastAsia" w:cs="宋体"/>
          <w:kern w:val="0"/>
          <w:szCs w:val="21"/>
        </w:rPr>
        <w:t>本基金管理人</w:t>
      </w:r>
      <w:r>
        <w:rPr>
          <w:rFonts w:asciiTheme="minorEastAsia" w:hAnsiTheme="minorEastAsia" w:cs="宋体"/>
          <w:kern w:val="0"/>
          <w:szCs w:val="21"/>
        </w:rPr>
        <w:t>”</w:t>
      </w:r>
      <w:r>
        <w:rPr>
          <w:rFonts w:asciiTheme="minorEastAsia" w:hAnsiTheme="minorEastAsia" w:cs="宋体"/>
          <w:kern w:val="0"/>
          <w:szCs w:val="21"/>
        </w:rPr>
        <w:t>）</w:t>
      </w:r>
      <w:bookmarkStart w:id="0" w:name="OLE_LINK4"/>
      <w:r>
        <w:rPr>
          <w:rFonts w:asciiTheme="minorEastAsia" w:hAnsiTheme="minorEastAsia" w:cs="宋体"/>
          <w:kern w:val="0"/>
          <w:szCs w:val="21"/>
        </w:rPr>
        <w:t>应当在上述事由出现后</w:t>
      </w:r>
      <w:r w:rsidRPr="00744EAA">
        <w:rPr>
          <w:rFonts w:asciiTheme="minorEastAsia" w:hAnsiTheme="minorEastAsia" w:cs="宋体" w:hint="eastAsia"/>
          <w:kern w:val="0"/>
          <w:szCs w:val="21"/>
        </w:rPr>
        <w:t>按照基金合同的约定履行基金财产清算程序并终止基金合同</w:t>
      </w:r>
      <w:r>
        <w:rPr>
          <w:rFonts w:asciiTheme="minorEastAsia" w:hAnsiTheme="minorEastAsia" w:cs="宋体"/>
          <w:kern w:val="0"/>
          <w:szCs w:val="21"/>
        </w:rPr>
        <w:t>，</w:t>
      </w:r>
      <w:r>
        <w:rPr>
          <w:rFonts w:asciiTheme="minorEastAsia" w:hAnsiTheme="minorEastAsia" w:cs="宋体" w:hint="eastAsia"/>
          <w:kern w:val="0"/>
          <w:szCs w:val="21"/>
        </w:rPr>
        <w:t>无</w:t>
      </w:r>
      <w:r>
        <w:rPr>
          <w:rFonts w:asciiTheme="minorEastAsia" w:hAnsiTheme="minorEastAsia" w:cs="宋体"/>
          <w:kern w:val="0"/>
          <w:szCs w:val="21"/>
        </w:rPr>
        <w:t>需召开基金份额持有人大会。</w:t>
      </w:r>
      <w:bookmarkEnd w:id="0"/>
      <w:r>
        <w:rPr>
          <w:rFonts w:asciiTheme="minorEastAsia" w:hAnsiTheme="minorEastAsia" w:cs="宋体"/>
          <w:kern w:val="0"/>
          <w:szCs w:val="21"/>
        </w:rPr>
        <w:t>现将相关事宜公告如下：</w:t>
      </w: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p>
    <w:p w:rsidR="00C73120" w:rsidRDefault="00407057" w:rsidP="00407057">
      <w:pPr>
        <w:autoSpaceDE w:val="0"/>
        <w:autoSpaceDN w:val="0"/>
        <w:adjustRightInd w:val="0"/>
        <w:spacing w:line="360" w:lineRule="auto"/>
        <w:ind w:firstLineChars="200" w:firstLine="422"/>
        <w:jc w:val="left"/>
        <w:rPr>
          <w:rFonts w:asciiTheme="minorEastAsia" w:hAnsiTheme="minorEastAsia" w:cs="宋体"/>
          <w:b/>
          <w:kern w:val="0"/>
          <w:szCs w:val="21"/>
        </w:rPr>
      </w:pPr>
      <w:r>
        <w:rPr>
          <w:rFonts w:asciiTheme="minorEastAsia" w:hAnsiTheme="minorEastAsia" w:cs="宋体"/>
          <w:b/>
          <w:kern w:val="0"/>
          <w:szCs w:val="21"/>
        </w:rPr>
        <w:t>一、本基金基本信息</w:t>
      </w: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基金名称：国泰君安信息行业混合型发起式证券投资基金</w:t>
      </w: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基金简称：国泰君安信息行业混合发起</w:t>
      </w: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基金代码：</w:t>
      </w:r>
      <w:r>
        <w:rPr>
          <w:rFonts w:asciiTheme="minorEastAsia" w:hAnsiTheme="minorEastAsia" w:cs="宋体" w:hint="eastAsia"/>
          <w:kern w:val="0"/>
          <w:szCs w:val="21"/>
        </w:rPr>
        <w:t>013903</w:t>
      </w: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基金运作方式：契约型开放式</w:t>
      </w: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基金合同生效日：</w:t>
      </w:r>
      <w:r>
        <w:rPr>
          <w:rFonts w:asciiTheme="minorEastAsia" w:hAnsiTheme="minorEastAsia" w:cs="宋体" w:hint="eastAsia"/>
          <w:kern w:val="0"/>
          <w:szCs w:val="21"/>
        </w:rPr>
        <w:t>2021</w:t>
      </w:r>
      <w:r>
        <w:rPr>
          <w:rFonts w:asciiTheme="minorEastAsia" w:hAnsiTheme="minorEastAsia" w:cs="宋体" w:hint="eastAsia"/>
          <w:kern w:val="0"/>
          <w:szCs w:val="21"/>
        </w:rPr>
        <w:t>年</w:t>
      </w:r>
      <w:r>
        <w:rPr>
          <w:rFonts w:asciiTheme="minorEastAsia" w:hAnsiTheme="minorEastAsia" w:cs="宋体" w:hint="eastAsia"/>
          <w:kern w:val="0"/>
          <w:szCs w:val="21"/>
        </w:rPr>
        <w:t>12</w:t>
      </w:r>
      <w:r>
        <w:rPr>
          <w:rFonts w:asciiTheme="minorEastAsia" w:hAnsiTheme="minorEastAsia" w:cs="宋体" w:hint="eastAsia"/>
          <w:kern w:val="0"/>
          <w:szCs w:val="21"/>
        </w:rPr>
        <w:t>月</w:t>
      </w:r>
      <w:r>
        <w:rPr>
          <w:rFonts w:asciiTheme="minorEastAsia" w:hAnsiTheme="minorEastAsia" w:cs="宋体" w:hint="eastAsia"/>
          <w:kern w:val="0"/>
          <w:szCs w:val="21"/>
        </w:rPr>
        <w:t>24</w:t>
      </w:r>
      <w:r>
        <w:rPr>
          <w:rFonts w:asciiTheme="minorEastAsia" w:hAnsiTheme="minorEastAsia" w:cs="宋体" w:hint="eastAsia"/>
          <w:kern w:val="0"/>
          <w:szCs w:val="21"/>
        </w:rPr>
        <w:t>日</w:t>
      </w: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基金管理人名称：上海国泰君安证券资产管理有限公司</w:t>
      </w: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基金托管人名称：兴业银行股份有限公司</w:t>
      </w: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kern w:val="0"/>
          <w:szCs w:val="21"/>
        </w:rPr>
        <w:t>公告依据：《中华人民共和国证券投资基金法》、《公开募集证券投资基金运作管理办法》、《</w:t>
      </w:r>
      <w:r>
        <w:rPr>
          <w:rFonts w:asciiTheme="minorEastAsia" w:hAnsiTheme="minorEastAsia" w:cs="宋体" w:hint="eastAsia"/>
          <w:kern w:val="0"/>
          <w:szCs w:val="21"/>
        </w:rPr>
        <w:t>公开募集</w:t>
      </w:r>
      <w:r>
        <w:rPr>
          <w:rFonts w:asciiTheme="minorEastAsia" w:hAnsiTheme="minorEastAsia" w:cs="宋体"/>
          <w:kern w:val="0"/>
          <w:szCs w:val="21"/>
        </w:rPr>
        <w:t>证券投资基金信息披露管理办法》、</w:t>
      </w:r>
      <w:r>
        <w:rPr>
          <w:rFonts w:asciiTheme="minorEastAsia" w:hAnsiTheme="minorEastAsia" w:cs="宋体" w:hint="eastAsia"/>
          <w:kern w:val="0"/>
          <w:szCs w:val="21"/>
        </w:rPr>
        <w:t>《国泰君安信息行业混合型发起式证券投资基金</w:t>
      </w:r>
      <w:r>
        <w:rPr>
          <w:rFonts w:asciiTheme="minorEastAsia" w:hAnsiTheme="minorEastAsia" w:cs="宋体"/>
          <w:kern w:val="0"/>
          <w:szCs w:val="21"/>
        </w:rPr>
        <w:t>基金合同</w:t>
      </w:r>
      <w:r>
        <w:rPr>
          <w:rFonts w:asciiTheme="minorEastAsia" w:hAnsiTheme="minorEastAsia" w:cs="宋体" w:hint="eastAsia"/>
          <w:kern w:val="0"/>
          <w:szCs w:val="21"/>
        </w:rPr>
        <w:t>》</w:t>
      </w:r>
      <w:r>
        <w:rPr>
          <w:rFonts w:asciiTheme="minorEastAsia" w:hAnsiTheme="minorEastAsia" w:cs="宋体"/>
          <w:kern w:val="0"/>
          <w:szCs w:val="21"/>
        </w:rPr>
        <w:t>、《</w:t>
      </w:r>
      <w:r>
        <w:rPr>
          <w:rFonts w:asciiTheme="minorEastAsia" w:hAnsiTheme="minorEastAsia" w:cs="宋体" w:hint="eastAsia"/>
          <w:kern w:val="0"/>
          <w:szCs w:val="21"/>
        </w:rPr>
        <w:t>国泰君安信息行业混合型发起式证券投资基金</w:t>
      </w:r>
      <w:r>
        <w:rPr>
          <w:rFonts w:asciiTheme="minorEastAsia" w:hAnsiTheme="minorEastAsia" w:cs="宋体"/>
          <w:kern w:val="0"/>
          <w:szCs w:val="21"/>
        </w:rPr>
        <w:t>招募说明书》</w:t>
      </w:r>
      <w:r>
        <w:rPr>
          <w:rFonts w:asciiTheme="minorEastAsia" w:hAnsiTheme="minorEastAsia" w:cs="宋体" w:hint="eastAsia"/>
          <w:kern w:val="0"/>
          <w:szCs w:val="21"/>
        </w:rPr>
        <w:t>等</w:t>
      </w: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p>
    <w:p w:rsidR="00C73120" w:rsidRDefault="00407057" w:rsidP="00407057">
      <w:pPr>
        <w:autoSpaceDE w:val="0"/>
        <w:autoSpaceDN w:val="0"/>
        <w:adjustRightInd w:val="0"/>
        <w:spacing w:line="360" w:lineRule="auto"/>
        <w:ind w:firstLineChars="200" w:firstLine="422"/>
        <w:jc w:val="left"/>
        <w:rPr>
          <w:rFonts w:asciiTheme="minorEastAsia" w:hAnsiTheme="minorEastAsia" w:cs="宋体"/>
          <w:b/>
          <w:kern w:val="0"/>
          <w:szCs w:val="21"/>
        </w:rPr>
      </w:pPr>
      <w:r>
        <w:rPr>
          <w:rFonts w:asciiTheme="minorEastAsia" w:hAnsiTheme="minorEastAsia" w:cs="宋体"/>
          <w:b/>
          <w:kern w:val="0"/>
          <w:szCs w:val="21"/>
        </w:rPr>
        <w:t>二、基金合同终止事由</w:t>
      </w: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根据《基金合同》“第十九部分</w:t>
      </w:r>
      <w:r>
        <w:rPr>
          <w:rFonts w:asciiTheme="minorEastAsia" w:hAnsiTheme="minorEastAsia" w:cs="宋体" w:hint="eastAsia"/>
          <w:kern w:val="0"/>
          <w:szCs w:val="21"/>
        </w:rPr>
        <w:t xml:space="preserve"> </w:t>
      </w:r>
      <w:r>
        <w:rPr>
          <w:rFonts w:asciiTheme="minorEastAsia" w:hAnsiTheme="minorEastAsia" w:cs="宋体" w:hint="eastAsia"/>
          <w:kern w:val="0"/>
          <w:szCs w:val="21"/>
        </w:rPr>
        <w:t>基金合同的变更、终止与基金财产的清算”中“二、《基金合同》的终止事由”的约定：“有下列情形之一的，经履行相关程序后，《基金合同》应当终止：……</w:t>
      </w:r>
      <w:r>
        <w:rPr>
          <w:rFonts w:asciiTheme="minorEastAsia" w:hAnsiTheme="minorEastAsia" w:cs="宋体" w:hint="eastAsia"/>
          <w:kern w:val="0"/>
          <w:szCs w:val="21"/>
        </w:rPr>
        <w:t>3</w:t>
      </w:r>
      <w:r>
        <w:rPr>
          <w:rFonts w:asciiTheme="minorEastAsia" w:hAnsiTheme="minorEastAsia" w:cs="宋体" w:hint="eastAsia"/>
          <w:kern w:val="0"/>
          <w:szCs w:val="21"/>
        </w:rPr>
        <w:t>、《基金合同》约定的其他情形”；根据《基金合同》“第五部分</w:t>
      </w:r>
      <w:r>
        <w:rPr>
          <w:rFonts w:asciiTheme="minorEastAsia" w:hAnsiTheme="minorEastAsia" w:cs="宋体" w:hint="eastAsia"/>
          <w:kern w:val="0"/>
          <w:szCs w:val="21"/>
        </w:rPr>
        <w:t xml:space="preserve"> </w:t>
      </w:r>
      <w:r>
        <w:rPr>
          <w:rFonts w:asciiTheme="minorEastAsia" w:hAnsiTheme="minorEastAsia" w:cs="宋体" w:hint="eastAsia"/>
          <w:kern w:val="0"/>
          <w:szCs w:val="21"/>
        </w:rPr>
        <w:t>基金备案”中的约定：“《基金合同》生效之日起</w:t>
      </w:r>
      <w:r>
        <w:rPr>
          <w:rFonts w:asciiTheme="minorEastAsia" w:hAnsiTheme="minorEastAsia" w:cs="宋体" w:hint="eastAsia"/>
          <w:kern w:val="0"/>
          <w:szCs w:val="21"/>
        </w:rPr>
        <w:t>3</w:t>
      </w:r>
      <w:r>
        <w:rPr>
          <w:rFonts w:asciiTheme="minorEastAsia" w:hAnsiTheme="minorEastAsia" w:cs="宋体" w:hint="eastAsia"/>
          <w:kern w:val="0"/>
          <w:szCs w:val="21"/>
        </w:rPr>
        <w:t>年后的对应日，若基金资产净值低于</w:t>
      </w:r>
      <w:r>
        <w:rPr>
          <w:rFonts w:asciiTheme="minorEastAsia" w:hAnsiTheme="minorEastAsia" w:cs="宋体" w:hint="eastAsia"/>
          <w:kern w:val="0"/>
          <w:szCs w:val="21"/>
        </w:rPr>
        <w:t>2</w:t>
      </w:r>
      <w:r>
        <w:rPr>
          <w:rFonts w:asciiTheme="minorEastAsia" w:hAnsiTheme="minorEastAsia" w:cs="宋体" w:hint="eastAsia"/>
          <w:kern w:val="0"/>
          <w:szCs w:val="21"/>
        </w:rPr>
        <w:t>亿元，《基金合同》自动终止，且</w:t>
      </w:r>
      <w:r>
        <w:rPr>
          <w:rFonts w:asciiTheme="minorEastAsia" w:hAnsiTheme="minorEastAsia" w:cs="宋体" w:hint="eastAsia"/>
          <w:kern w:val="0"/>
          <w:szCs w:val="21"/>
        </w:rPr>
        <w:t>不得通过召开基金份额持有人大会的方式延续基金合同期限。”。</w:t>
      </w:r>
    </w:p>
    <w:p w:rsidR="0068130C"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r w:rsidRPr="00C850FB">
        <w:rPr>
          <w:rFonts w:asciiTheme="minorEastAsia" w:hAnsiTheme="minorEastAsia" w:cs="宋体" w:hint="eastAsia"/>
          <w:kern w:val="0"/>
          <w:szCs w:val="21"/>
        </w:rPr>
        <w:lastRenderedPageBreak/>
        <w:t>本基金的基金合同生效日为</w:t>
      </w:r>
      <w:r w:rsidRPr="00C850FB">
        <w:rPr>
          <w:rFonts w:asciiTheme="minorEastAsia" w:hAnsiTheme="minorEastAsia" w:cs="宋体" w:hint="eastAsia"/>
          <w:kern w:val="0"/>
          <w:szCs w:val="21"/>
        </w:rPr>
        <w:t>2021</w:t>
      </w:r>
      <w:r w:rsidRPr="00C850FB">
        <w:rPr>
          <w:rFonts w:asciiTheme="minorEastAsia" w:hAnsiTheme="minorEastAsia" w:cs="宋体" w:hint="eastAsia"/>
          <w:kern w:val="0"/>
          <w:szCs w:val="21"/>
        </w:rPr>
        <w:t>年</w:t>
      </w:r>
      <w:r w:rsidRPr="00C850FB">
        <w:rPr>
          <w:rFonts w:asciiTheme="minorEastAsia" w:hAnsiTheme="minorEastAsia" w:cs="宋体" w:hint="eastAsia"/>
          <w:kern w:val="0"/>
          <w:szCs w:val="21"/>
        </w:rPr>
        <w:t>12</w:t>
      </w:r>
      <w:r w:rsidRPr="00C850FB">
        <w:rPr>
          <w:rFonts w:asciiTheme="minorEastAsia" w:hAnsiTheme="minorEastAsia" w:cs="宋体" w:hint="eastAsia"/>
          <w:kern w:val="0"/>
          <w:szCs w:val="21"/>
        </w:rPr>
        <w:t>月</w:t>
      </w:r>
      <w:r w:rsidRPr="00C850FB">
        <w:rPr>
          <w:rFonts w:asciiTheme="minorEastAsia" w:hAnsiTheme="minorEastAsia" w:cs="宋体" w:hint="eastAsia"/>
          <w:kern w:val="0"/>
          <w:szCs w:val="21"/>
        </w:rPr>
        <w:t>24</w:t>
      </w:r>
      <w:r w:rsidRPr="00C850FB">
        <w:rPr>
          <w:rFonts w:asciiTheme="minorEastAsia" w:hAnsiTheme="minorEastAsia" w:cs="宋体" w:hint="eastAsia"/>
          <w:kern w:val="0"/>
          <w:szCs w:val="21"/>
        </w:rPr>
        <w:t>日，基金合同生效之日起</w:t>
      </w:r>
      <w:r w:rsidRPr="00C850FB">
        <w:rPr>
          <w:rFonts w:asciiTheme="minorEastAsia" w:hAnsiTheme="minorEastAsia" w:cs="宋体" w:hint="eastAsia"/>
          <w:kern w:val="0"/>
          <w:szCs w:val="21"/>
        </w:rPr>
        <w:t>3</w:t>
      </w:r>
      <w:r w:rsidRPr="00C850FB">
        <w:rPr>
          <w:rFonts w:asciiTheme="minorEastAsia" w:hAnsiTheme="minorEastAsia" w:cs="宋体" w:hint="eastAsia"/>
          <w:kern w:val="0"/>
          <w:szCs w:val="21"/>
        </w:rPr>
        <w:t>年后的对应日为</w:t>
      </w:r>
      <w:r w:rsidRPr="00C850FB">
        <w:rPr>
          <w:rFonts w:asciiTheme="minorEastAsia" w:hAnsiTheme="minorEastAsia" w:cs="宋体" w:hint="eastAsia"/>
          <w:kern w:val="0"/>
          <w:szCs w:val="21"/>
        </w:rPr>
        <w:t>2024</w:t>
      </w:r>
      <w:r w:rsidRPr="00C850FB">
        <w:rPr>
          <w:rFonts w:asciiTheme="minorEastAsia" w:hAnsiTheme="minorEastAsia" w:cs="宋体" w:hint="eastAsia"/>
          <w:kern w:val="0"/>
          <w:szCs w:val="21"/>
        </w:rPr>
        <w:t>年</w:t>
      </w:r>
      <w:r w:rsidRPr="00C850FB">
        <w:rPr>
          <w:rFonts w:asciiTheme="minorEastAsia" w:hAnsiTheme="minorEastAsia" w:cs="宋体" w:hint="eastAsia"/>
          <w:kern w:val="0"/>
          <w:szCs w:val="21"/>
        </w:rPr>
        <w:t>12</w:t>
      </w:r>
      <w:r w:rsidRPr="00C850FB">
        <w:rPr>
          <w:rFonts w:asciiTheme="minorEastAsia" w:hAnsiTheme="minorEastAsia" w:cs="宋体" w:hint="eastAsia"/>
          <w:kern w:val="0"/>
          <w:szCs w:val="21"/>
        </w:rPr>
        <w:t>月</w:t>
      </w:r>
      <w:r w:rsidRPr="00C850FB">
        <w:rPr>
          <w:rFonts w:asciiTheme="minorEastAsia" w:hAnsiTheme="minorEastAsia" w:cs="宋体" w:hint="eastAsia"/>
          <w:kern w:val="0"/>
          <w:szCs w:val="21"/>
        </w:rPr>
        <w:t>24</w:t>
      </w:r>
      <w:r w:rsidRPr="00C850FB">
        <w:rPr>
          <w:rFonts w:asciiTheme="minorEastAsia" w:hAnsiTheme="minorEastAsia" w:cs="宋体" w:hint="eastAsia"/>
          <w:kern w:val="0"/>
          <w:szCs w:val="21"/>
        </w:rPr>
        <w:t>日。</w:t>
      </w:r>
      <w:r>
        <w:rPr>
          <w:rFonts w:asciiTheme="minorEastAsia" w:hAnsiTheme="minorEastAsia" w:cs="宋体" w:hint="eastAsia"/>
          <w:kern w:val="0"/>
          <w:szCs w:val="21"/>
        </w:rPr>
        <w:t>截至</w:t>
      </w:r>
      <w:r>
        <w:rPr>
          <w:rFonts w:asciiTheme="minorEastAsia" w:hAnsiTheme="minorEastAsia" w:cs="宋体" w:hint="eastAsia"/>
          <w:kern w:val="0"/>
          <w:szCs w:val="21"/>
        </w:rPr>
        <w:t>2024</w:t>
      </w:r>
      <w:r>
        <w:rPr>
          <w:rFonts w:asciiTheme="minorEastAsia" w:hAnsiTheme="minorEastAsia" w:cs="宋体" w:hint="eastAsia"/>
          <w:kern w:val="0"/>
          <w:szCs w:val="21"/>
        </w:rPr>
        <w:t>年</w:t>
      </w:r>
      <w:r>
        <w:rPr>
          <w:rFonts w:asciiTheme="minorEastAsia" w:hAnsiTheme="minorEastAsia" w:cs="宋体" w:hint="eastAsia"/>
          <w:kern w:val="0"/>
          <w:szCs w:val="21"/>
        </w:rPr>
        <w:t>12</w:t>
      </w:r>
      <w:r>
        <w:rPr>
          <w:rFonts w:asciiTheme="minorEastAsia" w:hAnsiTheme="minorEastAsia" w:cs="宋体" w:hint="eastAsia"/>
          <w:kern w:val="0"/>
          <w:szCs w:val="21"/>
        </w:rPr>
        <w:t>月</w:t>
      </w:r>
      <w:r>
        <w:rPr>
          <w:rFonts w:asciiTheme="minorEastAsia" w:hAnsiTheme="minorEastAsia" w:cs="宋体" w:hint="eastAsia"/>
          <w:kern w:val="0"/>
          <w:szCs w:val="21"/>
        </w:rPr>
        <w:t>2</w:t>
      </w:r>
      <w:r>
        <w:rPr>
          <w:rFonts w:asciiTheme="minorEastAsia" w:hAnsiTheme="minorEastAsia" w:cs="宋体" w:hint="eastAsia"/>
          <w:kern w:val="0"/>
          <w:szCs w:val="21"/>
        </w:rPr>
        <w:t>4</w:t>
      </w:r>
      <w:r>
        <w:rPr>
          <w:rFonts w:asciiTheme="minorEastAsia" w:hAnsiTheme="minorEastAsia" w:cs="宋体" w:hint="eastAsia"/>
          <w:kern w:val="0"/>
          <w:szCs w:val="21"/>
        </w:rPr>
        <w:t>日</w:t>
      </w:r>
      <w:r>
        <w:rPr>
          <w:rFonts w:asciiTheme="minorEastAsia" w:hAnsiTheme="minorEastAsia" w:cs="宋体" w:hint="eastAsia"/>
          <w:kern w:val="0"/>
          <w:szCs w:val="21"/>
        </w:rPr>
        <w:t>日终</w:t>
      </w:r>
      <w:r>
        <w:rPr>
          <w:rFonts w:asciiTheme="minorEastAsia" w:hAnsiTheme="minorEastAsia" w:cs="宋体" w:hint="eastAsia"/>
          <w:kern w:val="0"/>
          <w:szCs w:val="21"/>
        </w:rPr>
        <w:t>，</w:t>
      </w:r>
      <w:r w:rsidRPr="0068130C">
        <w:rPr>
          <w:rFonts w:asciiTheme="minorEastAsia" w:hAnsiTheme="minorEastAsia" w:cs="宋体" w:hint="eastAsia"/>
          <w:kern w:val="0"/>
          <w:szCs w:val="21"/>
        </w:rPr>
        <w:t>本基金出现上述触发基金合同终止的情形（即本基金资产净值低于</w:t>
      </w:r>
      <w:r w:rsidRPr="0068130C">
        <w:rPr>
          <w:rFonts w:asciiTheme="minorEastAsia" w:hAnsiTheme="minorEastAsia" w:cs="宋体" w:hint="eastAsia"/>
          <w:kern w:val="0"/>
          <w:szCs w:val="21"/>
        </w:rPr>
        <w:t>2</w:t>
      </w:r>
      <w:r w:rsidRPr="0068130C">
        <w:rPr>
          <w:rFonts w:asciiTheme="minorEastAsia" w:hAnsiTheme="minorEastAsia" w:cs="宋体" w:hint="eastAsia"/>
          <w:kern w:val="0"/>
          <w:szCs w:val="21"/>
        </w:rPr>
        <w:t>亿元），本基金管理人将按照基金合同的约定履行基金财产清算程序并终止基金合同，无</w:t>
      </w:r>
      <w:r>
        <w:rPr>
          <w:rFonts w:asciiTheme="minorEastAsia" w:hAnsiTheme="minorEastAsia" w:cs="宋体" w:hint="eastAsia"/>
          <w:kern w:val="0"/>
          <w:szCs w:val="21"/>
        </w:rPr>
        <w:t>需</w:t>
      </w:r>
      <w:r w:rsidRPr="0068130C">
        <w:rPr>
          <w:rFonts w:asciiTheme="minorEastAsia" w:hAnsiTheme="minorEastAsia" w:cs="宋体" w:hint="eastAsia"/>
          <w:kern w:val="0"/>
          <w:szCs w:val="21"/>
        </w:rPr>
        <w:t>召开基金份额持有人大会。</w:t>
      </w: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p>
    <w:p w:rsidR="00C73120" w:rsidRDefault="00407057" w:rsidP="00407057">
      <w:pPr>
        <w:autoSpaceDE w:val="0"/>
        <w:autoSpaceDN w:val="0"/>
        <w:adjustRightInd w:val="0"/>
        <w:spacing w:line="360" w:lineRule="auto"/>
        <w:ind w:firstLineChars="200" w:firstLine="422"/>
        <w:jc w:val="left"/>
        <w:rPr>
          <w:rFonts w:asciiTheme="minorEastAsia" w:hAnsiTheme="minorEastAsia" w:cs="宋体"/>
          <w:b/>
          <w:kern w:val="0"/>
          <w:szCs w:val="21"/>
        </w:rPr>
      </w:pPr>
      <w:r>
        <w:rPr>
          <w:rFonts w:asciiTheme="minorEastAsia" w:hAnsiTheme="minorEastAsia" w:cs="宋体"/>
          <w:b/>
          <w:kern w:val="0"/>
          <w:szCs w:val="21"/>
        </w:rPr>
        <w:t>三、基金财产清算</w:t>
      </w: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1</w:t>
      </w:r>
      <w:r>
        <w:rPr>
          <w:rFonts w:asciiTheme="minorEastAsia" w:hAnsiTheme="minorEastAsia" w:cs="宋体" w:hint="eastAsia"/>
          <w:kern w:val="0"/>
          <w:szCs w:val="21"/>
        </w:rPr>
        <w:t>、本基金截至</w:t>
      </w:r>
      <w:r>
        <w:rPr>
          <w:rFonts w:asciiTheme="minorEastAsia" w:hAnsiTheme="minorEastAsia" w:cs="宋体" w:hint="eastAsia"/>
          <w:kern w:val="0"/>
          <w:szCs w:val="21"/>
        </w:rPr>
        <w:t>2024</w:t>
      </w:r>
      <w:r>
        <w:rPr>
          <w:rFonts w:asciiTheme="minorEastAsia" w:hAnsiTheme="minorEastAsia" w:cs="宋体" w:hint="eastAsia"/>
          <w:kern w:val="0"/>
          <w:szCs w:val="21"/>
        </w:rPr>
        <w:t>年</w:t>
      </w:r>
      <w:r>
        <w:rPr>
          <w:rFonts w:asciiTheme="minorEastAsia" w:hAnsiTheme="minorEastAsia" w:cs="宋体" w:hint="eastAsia"/>
          <w:kern w:val="0"/>
          <w:szCs w:val="21"/>
        </w:rPr>
        <w:t>12</w:t>
      </w:r>
      <w:r>
        <w:rPr>
          <w:rFonts w:asciiTheme="minorEastAsia" w:hAnsiTheme="minorEastAsia" w:cs="宋体" w:hint="eastAsia"/>
          <w:kern w:val="0"/>
          <w:szCs w:val="21"/>
        </w:rPr>
        <w:t>月</w:t>
      </w:r>
      <w:r>
        <w:rPr>
          <w:rFonts w:asciiTheme="minorEastAsia" w:hAnsiTheme="minorEastAsia" w:cs="宋体" w:hint="eastAsia"/>
          <w:kern w:val="0"/>
          <w:szCs w:val="21"/>
        </w:rPr>
        <w:t>24</w:t>
      </w:r>
      <w:r>
        <w:rPr>
          <w:rFonts w:asciiTheme="minorEastAsia" w:hAnsiTheme="minorEastAsia" w:cs="宋体" w:hint="eastAsia"/>
          <w:kern w:val="0"/>
          <w:szCs w:val="21"/>
        </w:rPr>
        <w:t>日日终，已发生上述基金合同终止情形，自</w:t>
      </w:r>
      <w:r>
        <w:rPr>
          <w:rFonts w:asciiTheme="minorEastAsia" w:hAnsiTheme="minorEastAsia" w:cs="宋体" w:hint="eastAsia"/>
          <w:kern w:val="0"/>
          <w:szCs w:val="21"/>
        </w:rPr>
        <w:t>2024</w:t>
      </w:r>
      <w:r>
        <w:rPr>
          <w:rFonts w:asciiTheme="minorEastAsia" w:hAnsiTheme="minorEastAsia" w:cs="宋体" w:hint="eastAsia"/>
          <w:kern w:val="0"/>
          <w:szCs w:val="21"/>
        </w:rPr>
        <w:t>年</w:t>
      </w:r>
      <w:r>
        <w:rPr>
          <w:rFonts w:asciiTheme="minorEastAsia" w:hAnsiTheme="minorEastAsia" w:cs="宋体" w:hint="eastAsia"/>
          <w:kern w:val="0"/>
          <w:szCs w:val="21"/>
        </w:rPr>
        <w:t>12</w:t>
      </w:r>
      <w:r>
        <w:rPr>
          <w:rFonts w:asciiTheme="minorEastAsia" w:hAnsiTheme="minorEastAsia" w:cs="宋体" w:hint="eastAsia"/>
          <w:kern w:val="0"/>
          <w:szCs w:val="21"/>
        </w:rPr>
        <w:t>月</w:t>
      </w:r>
      <w:r>
        <w:rPr>
          <w:rFonts w:asciiTheme="minorEastAsia" w:hAnsiTheme="minorEastAsia" w:cs="宋体" w:hint="eastAsia"/>
          <w:kern w:val="0"/>
          <w:szCs w:val="21"/>
        </w:rPr>
        <w:t>2</w:t>
      </w:r>
      <w:r>
        <w:rPr>
          <w:rFonts w:asciiTheme="minorEastAsia" w:hAnsiTheme="minorEastAsia" w:cs="宋体" w:hint="eastAsia"/>
          <w:kern w:val="0"/>
          <w:szCs w:val="21"/>
        </w:rPr>
        <w:t>5</w:t>
      </w:r>
      <w:r>
        <w:rPr>
          <w:rFonts w:asciiTheme="minorEastAsia" w:hAnsiTheme="minorEastAsia" w:cs="宋体" w:hint="eastAsia"/>
          <w:kern w:val="0"/>
          <w:szCs w:val="21"/>
        </w:rPr>
        <w:t>日（含当日</w:t>
      </w:r>
      <w:r>
        <w:rPr>
          <w:rFonts w:asciiTheme="minorEastAsia" w:hAnsiTheme="minorEastAsia" w:cs="宋体"/>
          <w:kern w:val="0"/>
          <w:szCs w:val="21"/>
        </w:rPr>
        <w:t>）</w:t>
      </w:r>
      <w:r>
        <w:rPr>
          <w:rFonts w:asciiTheme="minorEastAsia" w:hAnsiTheme="minorEastAsia" w:cs="宋体" w:hint="eastAsia"/>
          <w:kern w:val="0"/>
          <w:szCs w:val="21"/>
        </w:rPr>
        <w:t>起本基金进入清算程序，</w:t>
      </w:r>
      <w:r>
        <w:rPr>
          <w:rFonts w:asciiTheme="minorEastAsia" w:hAnsiTheme="minorEastAsia" w:cs="宋体" w:hint="eastAsia"/>
          <w:kern w:val="0"/>
          <w:szCs w:val="21"/>
        </w:rPr>
        <w:t>不再</w:t>
      </w:r>
      <w:r>
        <w:rPr>
          <w:rFonts w:asciiTheme="minorEastAsia" w:hAnsiTheme="minorEastAsia" w:cs="宋体" w:hint="eastAsia"/>
          <w:kern w:val="0"/>
          <w:szCs w:val="21"/>
        </w:rPr>
        <w:t>办理申购（含定期定额投资，下同）、赎回等业务。本基金进入清算程序后，停止收取基金管理费、基金托管费。</w:t>
      </w: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bookmarkStart w:id="1" w:name="OLE_LINK1"/>
      <w:r>
        <w:rPr>
          <w:rFonts w:asciiTheme="minorEastAsia" w:hAnsiTheme="minorEastAsia" w:cs="宋体" w:hint="eastAsia"/>
          <w:kern w:val="0"/>
          <w:szCs w:val="21"/>
        </w:rPr>
        <w:t>2</w:t>
      </w:r>
      <w:r>
        <w:rPr>
          <w:rFonts w:asciiTheme="minorEastAsia" w:hAnsiTheme="minorEastAsia" w:cs="宋体"/>
          <w:kern w:val="0"/>
          <w:szCs w:val="21"/>
        </w:rPr>
        <w:t>、</w:t>
      </w:r>
      <w:r>
        <w:rPr>
          <w:rFonts w:asciiTheme="minorEastAsia" w:hAnsiTheme="minorEastAsia" w:cs="宋体" w:hint="eastAsia"/>
          <w:kern w:val="0"/>
          <w:szCs w:val="21"/>
        </w:rPr>
        <w:t>本</w:t>
      </w:r>
      <w:r>
        <w:rPr>
          <w:rFonts w:asciiTheme="minorEastAsia" w:hAnsiTheme="minorEastAsia" w:cs="宋体"/>
          <w:kern w:val="0"/>
          <w:szCs w:val="21"/>
        </w:rPr>
        <w:t>基金管理人</w:t>
      </w:r>
      <w:r>
        <w:rPr>
          <w:rFonts w:asciiTheme="minorEastAsia" w:hAnsiTheme="minorEastAsia" w:cs="宋体" w:hint="eastAsia"/>
          <w:kern w:val="0"/>
          <w:szCs w:val="21"/>
        </w:rPr>
        <w:t>将自出现《基金合同》终止事由之日起</w:t>
      </w:r>
      <w:r>
        <w:rPr>
          <w:rFonts w:asciiTheme="minorEastAsia" w:hAnsiTheme="minorEastAsia" w:cs="宋体" w:hint="eastAsia"/>
          <w:kern w:val="0"/>
          <w:szCs w:val="21"/>
        </w:rPr>
        <w:t>30</w:t>
      </w:r>
      <w:r>
        <w:rPr>
          <w:rFonts w:asciiTheme="minorEastAsia" w:hAnsiTheme="minorEastAsia" w:cs="宋体" w:hint="eastAsia"/>
          <w:kern w:val="0"/>
          <w:szCs w:val="21"/>
        </w:rPr>
        <w:t>个工作日内成立清算小组，</w:t>
      </w:r>
      <w:r>
        <w:rPr>
          <w:rFonts w:asciiTheme="minorEastAsia" w:hAnsiTheme="minorEastAsia" w:cs="宋体"/>
          <w:kern w:val="0"/>
          <w:szCs w:val="21"/>
        </w:rPr>
        <w:t>组织基金财产清算小组并在中国证监会的监督下进行基金清算。基金财产清算小组成员由基金管理人、基金托管人、</w:t>
      </w:r>
      <w:r>
        <w:rPr>
          <w:rFonts w:asciiTheme="minorEastAsia" w:hAnsiTheme="minorEastAsia" w:cs="宋体" w:hint="eastAsia"/>
          <w:kern w:val="0"/>
          <w:szCs w:val="21"/>
        </w:rPr>
        <w:t>符合《中华人民共和国证券法》规定的注册会计师、律师以及中国证监会指定的人员组成</w:t>
      </w:r>
      <w:r>
        <w:rPr>
          <w:rFonts w:asciiTheme="minorEastAsia" w:hAnsiTheme="minorEastAsia" w:cs="宋体"/>
          <w:kern w:val="0"/>
          <w:szCs w:val="21"/>
        </w:rPr>
        <w:t>。基金财产清算小组可以聘用必要的工作人员。</w:t>
      </w: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kern w:val="0"/>
          <w:szCs w:val="21"/>
        </w:rPr>
        <w:t>3</w:t>
      </w:r>
      <w:r>
        <w:rPr>
          <w:rFonts w:asciiTheme="minorEastAsia" w:hAnsiTheme="minorEastAsia" w:cs="宋体"/>
          <w:kern w:val="0"/>
          <w:szCs w:val="21"/>
        </w:rPr>
        <w:t>、</w:t>
      </w:r>
      <w:r>
        <w:rPr>
          <w:rFonts w:asciiTheme="minorEastAsia" w:hAnsiTheme="minorEastAsia" w:cs="宋体" w:hint="eastAsia"/>
          <w:kern w:val="0"/>
          <w:szCs w:val="21"/>
        </w:rPr>
        <w:t>基金财产清算小组职责：基金财产清算小组负责基金财产的保管、清理、估价、变现和分配。基金财产清算小组可</w:t>
      </w:r>
      <w:r>
        <w:rPr>
          <w:rFonts w:asciiTheme="minorEastAsia" w:hAnsiTheme="minorEastAsia" w:cs="宋体" w:hint="eastAsia"/>
          <w:kern w:val="0"/>
          <w:szCs w:val="21"/>
        </w:rPr>
        <w:t>以依法进行必要的民事活动。</w:t>
      </w: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kern w:val="0"/>
          <w:szCs w:val="21"/>
        </w:rPr>
        <w:t>4</w:t>
      </w:r>
      <w:r>
        <w:rPr>
          <w:rFonts w:asciiTheme="minorEastAsia" w:hAnsiTheme="minorEastAsia" w:cs="宋体"/>
          <w:kern w:val="0"/>
          <w:szCs w:val="21"/>
        </w:rPr>
        <w:t>、</w:t>
      </w:r>
      <w:r>
        <w:rPr>
          <w:rFonts w:asciiTheme="minorEastAsia" w:hAnsiTheme="minorEastAsia" w:cs="宋体" w:hint="eastAsia"/>
          <w:kern w:val="0"/>
          <w:szCs w:val="21"/>
        </w:rPr>
        <w:t>基金财产清算程序：</w:t>
      </w:r>
      <w:r>
        <w:rPr>
          <w:rFonts w:asciiTheme="minorEastAsia" w:hAnsiTheme="minorEastAsia" w:cs="宋体"/>
          <w:kern w:val="0"/>
          <w:szCs w:val="21"/>
        </w:rPr>
        <w:tab/>
      </w: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kern w:val="0"/>
          <w:szCs w:val="21"/>
        </w:rPr>
        <w:t>1</w:t>
      </w:r>
      <w:r>
        <w:rPr>
          <w:rFonts w:asciiTheme="minorEastAsia" w:hAnsiTheme="minorEastAsia" w:cs="宋体" w:hint="eastAsia"/>
          <w:kern w:val="0"/>
          <w:szCs w:val="21"/>
        </w:rPr>
        <w:t>）《基金合同》终止情形出现时，由基金财产清算小组统一接管基金；</w:t>
      </w: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kern w:val="0"/>
          <w:szCs w:val="21"/>
        </w:rPr>
        <w:t>2</w:t>
      </w:r>
      <w:r>
        <w:rPr>
          <w:rFonts w:asciiTheme="minorEastAsia" w:hAnsiTheme="minorEastAsia" w:cs="宋体" w:hint="eastAsia"/>
          <w:kern w:val="0"/>
          <w:szCs w:val="21"/>
        </w:rPr>
        <w:t>）对基金财产和债权债务进行清理和确认；</w:t>
      </w: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kern w:val="0"/>
          <w:szCs w:val="21"/>
        </w:rPr>
        <w:t>3</w:t>
      </w:r>
      <w:r>
        <w:rPr>
          <w:rFonts w:asciiTheme="minorEastAsia" w:hAnsiTheme="minorEastAsia" w:cs="宋体" w:hint="eastAsia"/>
          <w:kern w:val="0"/>
          <w:szCs w:val="21"/>
        </w:rPr>
        <w:t>）对基金财产进行估值和变现；</w:t>
      </w: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kern w:val="0"/>
          <w:szCs w:val="21"/>
        </w:rPr>
        <w:t>4</w:t>
      </w:r>
      <w:r>
        <w:rPr>
          <w:rFonts w:asciiTheme="minorEastAsia" w:hAnsiTheme="minorEastAsia" w:cs="宋体" w:hint="eastAsia"/>
          <w:kern w:val="0"/>
          <w:szCs w:val="21"/>
        </w:rPr>
        <w:t>）制作清算报告；</w:t>
      </w: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kern w:val="0"/>
          <w:szCs w:val="21"/>
        </w:rPr>
        <w:t>5</w:t>
      </w:r>
      <w:r>
        <w:rPr>
          <w:rFonts w:asciiTheme="minorEastAsia" w:hAnsiTheme="minorEastAsia" w:cs="宋体" w:hint="eastAsia"/>
          <w:kern w:val="0"/>
          <w:szCs w:val="21"/>
        </w:rPr>
        <w:t>）聘请会计师事务所对清算报告进行外部审计，聘请律师事务所对清算报告出具法律意见书；</w:t>
      </w: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kern w:val="0"/>
          <w:szCs w:val="21"/>
        </w:rPr>
        <w:t>6</w:t>
      </w:r>
      <w:r>
        <w:rPr>
          <w:rFonts w:asciiTheme="minorEastAsia" w:hAnsiTheme="minorEastAsia" w:cs="宋体" w:hint="eastAsia"/>
          <w:kern w:val="0"/>
          <w:szCs w:val="21"/>
        </w:rPr>
        <w:t>）将清算报告报中国证监会备案并公告；</w:t>
      </w: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kern w:val="0"/>
          <w:szCs w:val="21"/>
        </w:rPr>
        <w:t>7</w:t>
      </w:r>
      <w:r>
        <w:rPr>
          <w:rFonts w:asciiTheme="minorEastAsia" w:hAnsiTheme="minorEastAsia" w:cs="宋体" w:hint="eastAsia"/>
          <w:kern w:val="0"/>
          <w:szCs w:val="21"/>
        </w:rPr>
        <w:t>）对基金剩余财产进行分配。</w:t>
      </w: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kern w:val="0"/>
          <w:szCs w:val="21"/>
        </w:rPr>
        <w:t>5</w:t>
      </w:r>
      <w:r>
        <w:rPr>
          <w:rFonts w:asciiTheme="minorEastAsia" w:hAnsiTheme="minorEastAsia" w:cs="宋体"/>
          <w:kern w:val="0"/>
          <w:szCs w:val="21"/>
        </w:rPr>
        <w:t>、</w:t>
      </w:r>
      <w:r>
        <w:rPr>
          <w:rFonts w:asciiTheme="minorEastAsia" w:hAnsiTheme="minorEastAsia" w:cs="宋体" w:hint="eastAsia"/>
          <w:kern w:val="0"/>
          <w:szCs w:val="21"/>
        </w:rPr>
        <w:t>基金财产清算的期限为</w:t>
      </w:r>
      <w:r>
        <w:rPr>
          <w:rFonts w:asciiTheme="minorEastAsia" w:hAnsiTheme="minorEastAsia" w:cs="宋体" w:hint="eastAsia"/>
          <w:kern w:val="0"/>
          <w:szCs w:val="21"/>
        </w:rPr>
        <w:t>6</w:t>
      </w:r>
      <w:r>
        <w:rPr>
          <w:rFonts w:asciiTheme="minorEastAsia" w:hAnsiTheme="minorEastAsia" w:cs="宋体" w:hint="eastAsia"/>
          <w:kern w:val="0"/>
          <w:szCs w:val="21"/>
        </w:rPr>
        <w:t>个月，但因本基金所持证券的流动性受到限制而不能及时变现的，清算期限相应顺延。</w:t>
      </w: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kern w:val="0"/>
          <w:szCs w:val="21"/>
        </w:rPr>
        <w:t>6</w:t>
      </w:r>
      <w:r>
        <w:rPr>
          <w:rFonts w:asciiTheme="minorEastAsia" w:hAnsiTheme="minorEastAsia" w:cs="宋体"/>
          <w:kern w:val="0"/>
          <w:szCs w:val="21"/>
        </w:rPr>
        <w:t>、清算费用</w:t>
      </w: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清算费用是指基金财产清算小组在进行基金清算过程中发生的所有合理费用，根据《基金合同》规定，清算费用由基金财产清算小组优先从基金财产中支付。考虑到本基金清算的实际情况，从保护基金份额持有人利益的角度出发，本基金的清算费用将由基金管理人承担</w:t>
      </w:r>
      <w:r>
        <w:rPr>
          <w:rFonts w:asciiTheme="minorEastAsia" w:hAnsiTheme="minorEastAsia" w:cs="宋体" w:hint="eastAsia"/>
          <w:kern w:val="0"/>
          <w:szCs w:val="21"/>
        </w:rPr>
        <w:lastRenderedPageBreak/>
        <w:t>并支付。</w:t>
      </w: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kern w:val="0"/>
          <w:szCs w:val="21"/>
        </w:rPr>
        <w:t>7</w:t>
      </w:r>
      <w:r>
        <w:rPr>
          <w:rFonts w:asciiTheme="minorEastAsia" w:hAnsiTheme="minorEastAsia" w:cs="宋体"/>
          <w:kern w:val="0"/>
          <w:szCs w:val="21"/>
        </w:rPr>
        <w:t>、基金财产清算剩余资产的分配</w:t>
      </w: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依据基金财产清算的分配方案，将基金财产清算后的全部剩余资产扣除基金财产清算费用（如有）、交纳所欠税款并清偿基金债务后，按基金份额持有人持有的基金份额比例进行分配。</w:t>
      </w: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kern w:val="0"/>
          <w:szCs w:val="21"/>
        </w:rPr>
        <w:t>8</w:t>
      </w:r>
      <w:r>
        <w:rPr>
          <w:rFonts w:asciiTheme="minorEastAsia" w:hAnsiTheme="minorEastAsia" w:cs="宋体"/>
          <w:kern w:val="0"/>
          <w:szCs w:val="21"/>
        </w:rPr>
        <w:t>、基金财产清算的公告</w:t>
      </w: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清算过程中的有关重大事项须及时公告；基金财产清</w:t>
      </w:r>
      <w:r>
        <w:rPr>
          <w:rFonts w:asciiTheme="minorEastAsia" w:hAnsiTheme="minorEastAsia" w:cs="宋体" w:hint="eastAsia"/>
          <w:kern w:val="0"/>
          <w:szCs w:val="21"/>
        </w:rPr>
        <w:t>算报告经符合《中华人民共和国证券法》规定的会计师事务所审计并由律师事务所出具法律意见书后报中国证监会备案并公告。基金财产清算公告于基金财产清算报告报中国证监会备案后</w:t>
      </w:r>
      <w:r>
        <w:rPr>
          <w:rFonts w:asciiTheme="minorEastAsia" w:hAnsiTheme="minorEastAsia" w:cs="宋体" w:hint="eastAsia"/>
          <w:kern w:val="0"/>
          <w:szCs w:val="21"/>
        </w:rPr>
        <w:t>5</w:t>
      </w:r>
      <w:r>
        <w:rPr>
          <w:rFonts w:asciiTheme="minorEastAsia" w:hAnsiTheme="minorEastAsia" w:cs="宋体" w:hint="eastAsia"/>
          <w:kern w:val="0"/>
          <w:szCs w:val="21"/>
        </w:rPr>
        <w:t>个工作日内由基金财产清算小组进行公告</w:t>
      </w:r>
      <w:r w:rsidRPr="0098434A">
        <w:rPr>
          <w:rFonts w:asciiTheme="minorEastAsia" w:hAnsiTheme="minorEastAsia" w:cs="宋体" w:hint="eastAsia"/>
          <w:kern w:val="0"/>
          <w:szCs w:val="21"/>
        </w:rPr>
        <w:t>，基金财产清算小组应当将清算报告登载在规定网站上，并将清算报告提示性公告登载在规定报刊上。</w:t>
      </w: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kern w:val="0"/>
          <w:szCs w:val="21"/>
        </w:rPr>
        <w:t>9</w:t>
      </w:r>
      <w:r>
        <w:rPr>
          <w:rFonts w:asciiTheme="minorEastAsia" w:hAnsiTheme="minorEastAsia" w:cs="宋体"/>
          <w:kern w:val="0"/>
          <w:szCs w:val="21"/>
        </w:rPr>
        <w:t>、基金财产清算账册及文件的保存</w:t>
      </w:r>
    </w:p>
    <w:p w:rsidR="0098434A" w:rsidRPr="0098434A" w:rsidRDefault="00407057" w:rsidP="00A8657B">
      <w:pPr>
        <w:autoSpaceDE w:val="0"/>
        <w:autoSpaceDN w:val="0"/>
        <w:adjustRightInd w:val="0"/>
        <w:spacing w:line="360" w:lineRule="auto"/>
        <w:ind w:firstLineChars="200" w:firstLine="420"/>
        <w:jc w:val="left"/>
        <w:rPr>
          <w:rFonts w:asciiTheme="minorEastAsia" w:hAnsiTheme="minorEastAsia" w:cs="宋体"/>
          <w:kern w:val="0"/>
          <w:szCs w:val="21"/>
        </w:rPr>
      </w:pPr>
      <w:r w:rsidRPr="0098434A">
        <w:rPr>
          <w:rFonts w:asciiTheme="minorEastAsia" w:hAnsiTheme="minorEastAsia" w:cs="宋体" w:hint="eastAsia"/>
          <w:kern w:val="0"/>
          <w:szCs w:val="21"/>
        </w:rPr>
        <w:t>基金财产清算账册及有关文件由基金托管人保存，保存期限不低于法律法规规定的最低期限。</w:t>
      </w:r>
    </w:p>
    <w:bookmarkEnd w:id="1"/>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p>
    <w:p w:rsidR="00C73120" w:rsidRDefault="00407057" w:rsidP="00407057">
      <w:pPr>
        <w:autoSpaceDE w:val="0"/>
        <w:autoSpaceDN w:val="0"/>
        <w:adjustRightInd w:val="0"/>
        <w:spacing w:line="360" w:lineRule="auto"/>
        <w:ind w:firstLineChars="200" w:firstLine="422"/>
        <w:jc w:val="left"/>
        <w:rPr>
          <w:rFonts w:asciiTheme="minorEastAsia" w:hAnsiTheme="minorEastAsia" w:cs="宋体"/>
          <w:b/>
          <w:kern w:val="0"/>
          <w:szCs w:val="21"/>
        </w:rPr>
      </w:pPr>
      <w:r>
        <w:rPr>
          <w:rFonts w:asciiTheme="minorEastAsia" w:hAnsiTheme="minorEastAsia" w:cs="宋体"/>
          <w:b/>
          <w:kern w:val="0"/>
          <w:szCs w:val="21"/>
        </w:rPr>
        <w:t>四、其他</w:t>
      </w: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kern w:val="0"/>
          <w:szCs w:val="21"/>
        </w:rPr>
        <w:t>1</w:t>
      </w:r>
      <w:r>
        <w:rPr>
          <w:rFonts w:asciiTheme="minorEastAsia" w:hAnsiTheme="minorEastAsia" w:cs="宋体"/>
          <w:kern w:val="0"/>
          <w:szCs w:val="21"/>
        </w:rPr>
        <w:t>、本基金进入清算程序后不办理申购、赎回</w:t>
      </w:r>
      <w:r>
        <w:rPr>
          <w:rFonts w:asciiTheme="minorEastAsia" w:hAnsiTheme="minorEastAsia" w:cs="宋体" w:hint="eastAsia"/>
          <w:kern w:val="0"/>
          <w:szCs w:val="21"/>
        </w:rPr>
        <w:t>等</w:t>
      </w:r>
      <w:r>
        <w:rPr>
          <w:rFonts w:asciiTheme="minorEastAsia" w:hAnsiTheme="minorEastAsia" w:cs="宋体"/>
          <w:kern w:val="0"/>
          <w:szCs w:val="21"/>
        </w:rPr>
        <w:t>业务。本公司承诺在清算过程中以诚实信用、勤勉尽责的原则履行相关职责。敬请投资者予以关注</w:t>
      </w:r>
      <w:r w:rsidRPr="004325CE">
        <w:rPr>
          <w:rFonts w:asciiTheme="minorEastAsia" w:hAnsiTheme="minorEastAsia" w:cs="宋体" w:hint="eastAsia"/>
          <w:kern w:val="0"/>
          <w:szCs w:val="21"/>
        </w:rPr>
        <w:t>基金清算的相关后续公告</w:t>
      </w:r>
      <w:r>
        <w:rPr>
          <w:rFonts w:asciiTheme="minorEastAsia" w:hAnsiTheme="minorEastAsia" w:cs="宋体"/>
          <w:kern w:val="0"/>
          <w:szCs w:val="21"/>
        </w:rPr>
        <w:t>。</w:t>
      </w: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bookmarkStart w:id="2" w:name="OLE_LINK3"/>
      <w:r>
        <w:rPr>
          <w:rFonts w:asciiTheme="minorEastAsia" w:hAnsiTheme="minorEastAsia" w:cs="宋体"/>
          <w:kern w:val="0"/>
          <w:szCs w:val="21"/>
        </w:rPr>
        <w:t>2</w:t>
      </w:r>
      <w:r>
        <w:rPr>
          <w:rFonts w:asciiTheme="minorEastAsia" w:hAnsiTheme="minorEastAsia" w:cs="宋体"/>
          <w:kern w:val="0"/>
          <w:szCs w:val="21"/>
        </w:rPr>
        <w:t>、投资者可以登陆</w:t>
      </w:r>
      <w:r>
        <w:rPr>
          <w:rFonts w:asciiTheme="minorEastAsia" w:hAnsiTheme="minorEastAsia" w:cs="宋体" w:hint="eastAsia"/>
          <w:kern w:val="0"/>
          <w:szCs w:val="21"/>
        </w:rPr>
        <w:t>上海国泰君安证券资产管理有限公司网站（</w:t>
      </w:r>
      <w:r>
        <w:rPr>
          <w:rFonts w:asciiTheme="minorEastAsia" w:hAnsiTheme="minorEastAsia" w:cs="宋体" w:hint="eastAsia"/>
          <w:kern w:val="0"/>
          <w:szCs w:val="21"/>
        </w:rPr>
        <w:t>www.gtjazg.com</w:t>
      </w:r>
      <w:r>
        <w:rPr>
          <w:rFonts w:asciiTheme="minorEastAsia" w:hAnsiTheme="minorEastAsia" w:cs="宋体" w:hint="eastAsia"/>
          <w:kern w:val="0"/>
          <w:szCs w:val="21"/>
        </w:rPr>
        <w:t>）或拨打上海国泰君安证券资产管理有限公司客户服务热线</w:t>
      </w:r>
      <w:r w:rsidRPr="006523EA">
        <w:rPr>
          <w:rFonts w:asciiTheme="minorEastAsia" w:hAnsiTheme="minorEastAsia" w:cs="宋体"/>
          <w:kern w:val="0"/>
          <w:szCs w:val="21"/>
        </w:rPr>
        <w:t>95521</w:t>
      </w:r>
      <w:r>
        <w:rPr>
          <w:rFonts w:asciiTheme="minorEastAsia" w:hAnsiTheme="minorEastAsia" w:cs="宋体" w:hint="eastAsia"/>
          <w:kern w:val="0"/>
          <w:szCs w:val="21"/>
        </w:rPr>
        <w:t>咨询。</w:t>
      </w:r>
    </w:p>
    <w:bookmarkEnd w:id="2"/>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p>
    <w:p w:rsidR="00C850FB"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kern w:val="0"/>
          <w:szCs w:val="21"/>
        </w:rPr>
        <w:t>特此公告。</w:t>
      </w: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p>
    <w:p w:rsidR="00C73120" w:rsidRDefault="00407057">
      <w:pPr>
        <w:autoSpaceDE w:val="0"/>
        <w:autoSpaceDN w:val="0"/>
        <w:adjustRightInd w:val="0"/>
        <w:spacing w:line="360" w:lineRule="auto"/>
        <w:ind w:firstLineChars="200" w:firstLine="420"/>
        <w:jc w:val="left"/>
        <w:rPr>
          <w:rFonts w:asciiTheme="minorEastAsia" w:hAnsiTheme="minorEastAsia" w:cs="宋体"/>
          <w:kern w:val="0"/>
          <w:szCs w:val="21"/>
        </w:rPr>
      </w:pPr>
    </w:p>
    <w:p w:rsidR="00C73120" w:rsidRDefault="00407057">
      <w:pPr>
        <w:autoSpaceDE w:val="0"/>
        <w:autoSpaceDN w:val="0"/>
        <w:adjustRightInd w:val="0"/>
        <w:spacing w:line="360" w:lineRule="auto"/>
        <w:ind w:firstLineChars="200" w:firstLine="420"/>
        <w:jc w:val="right"/>
        <w:rPr>
          <w:rFonts w:asciiTheme="minorEastAsia" w:hAnsiTheme="minorEastAsia" w:cs="宋体"/>
          <w:kern w:val="0"/>
          <w:szCs w:val="21"/>
        </w:rPr>
      </w:pPr>
      <w:r>
        <w:rPr>
          <w:rFonts w:asciiTheme="minorEastAsia" w:hAnsiTheme="minorEastAsia" w:cs="宋体" w:hint="eastAsia"/>
          <w:kern w:val="0"/>
          <w:szCs w:val="21"/>
        </w:rPr>
        <w:t>上海国泰君安证券资产管理有限公司</w:t>
      </w:r>
    </w:p>
    <w:p w:rsidR="00C73120" w:rsidRDefault="00407057">
      <w:pPr>
        <w:autoSpaceDE w:val="0"/>
        <w:autoSpaceDN w:val="0"/>
        <w:adjustRightInd w:val="0"/>
        <w:spacing w:line="360" w:lineRule="auto"/>
        <w:ind w:firstLineChars="200" w:firstLine="420"/>
        <w:jc w:val="right"/>
        <w:rPr>
          <w:rFonts w:asciiTheme="minorEastAsia" w:hAnsiTheme="minorEastAsia" w:cs="宋体"/>
          <w:kern w:val="0"/>
          <w:szCs w:val="21"/>
        </w:rPr>
      </w:pPr>
      <w:r>
        <w:rPr>
          <w:rFonts w:asciiTheme="minorEastAsia" w:hAnsiTheme="minorEastAsia" w:cs="宋体" w:hint="eastAsia"/>
          <w:kern w:val="0"/>
          <w:szCs w:val="21"/>
        </w:rPr>
        <w:t>2024</w:t>
      </w:r>
      <w:r>
        <w:rPr>
          <w:rFonts w:asciiTheme="minorEastAsia" w:hAnsiTheme="minorEastAsia" w:cs="宋体" w:hint="eastAsia"/>
          <w:kern w:val="0"/>
          <w:szCs w:val="21"/>
        </w:rPr>
        <w:t>年</w:t>
      </w:r>
      <w:r>
        <w:rPr>
          <w:rFonts w:asciiTheme="minorEastAsia" w:hAnsiTheme="minorEastAsia" w:cs="宋体" w:hint="eastAsia"/>
          <w:kern w:val="0"/>
          <w:szCs w:val="21"/>
        </w:rPr>
        <w:t>12</w:t>
      </w:r>
      <w:r>
        <w:rPr>
          <w:rFonts w:asciiTheme="minorEastAsia" w:hAnsiTheme="minorEastAsia" w:cs="宋体" w:hint="eastAsia"/>
          <w:kern w:val="0"/>
          <w:szCs w:val="21"/>
        </w:rPr>
        <w:t>月</w:t>
      </w:r>
      <w:r>
        <w:rPr>
          <w:rFonts w:asciiTheme="minorEastAsia" w:hAnsiTheme="minorEastAsia" w:cs="宋体" w:hint="eastAsia"/>
          <w:kern w:val="0"/>
          <w:szCs w:val="21"/>
        </w:rPr>
        <w:t>2</w:t>
      </w:r>
      <w:r>
        <w:rPr>
          <w:rFonts w:asciiTheme="minorEastAsia" w:hAnsiTheme="minorEastAsia" w:cs="宋体" w:hint="eastAsia"/>
          <w:kern w:val="0"/>
          <w:szCs w:val="21"/>
        </w:rPr>
        <w:t>5</w:t>
      </w:r>
      <w:r>
        <w:rPr>
          <w:rFonts w:asciiTheme="minorEastAsia" w:hAnsiTheme="minorEastAsia" w:cs="宋体" w:hint="eastAsia"/>
          <w:kern w:val="0"/>
          <w:szCs w:val="21"/>
        </w:rPr>
        <w:t>日</w:t>
      </w:r>
    </w:p>
    <w:sectPr w:rsidR="00C73120" w:rsidSect="007B35EB">
      <w:headerReference w:type="even" r:id="rId6"/>
      <w:headerReference w:type="default" r:id="rId7"/>
      <w:headerReference w:type="firs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5EB" w:rsidRDefault="007B35EB" w:rsidP="007B35EB">
      <w:r>
        <w:separator/>
      </w:r>
    </w:p>
  </w:endnote>
  <w:endnote w:type="continuationSeparator" w:id="0">
    <w:p w:rsidR="007B35EB" w:rsidRDefault="007B35EB" w:rsidP="007B35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5EB" w:rsidRDefault="007B35EB" w:rsidP="007B35EB">
      <w:r>
        <w:separator/>
      </w:r>
    </w:p>
  </w:footnote>
  <w:footnote w:type="continuationSeparator" w:id="0">
    <w:p w:rsidR="007B35EB" w:rsidRDefault="007B35EB" w:rsidP="007B35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5EB" w:rsidRDefault="007B35E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222.75pt;height:315.75pt;z-index:251660288;mso-position-horizontal:center;mso-position-horizontal-relative:page;mso-position-vertical:center;mso-position-vertical-relative:page">
          <v:imagedata r:id="rId1" o:title=""/>
          <o:lock v:ext="edit" aspectratio="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5EB" w:rsidRDefault="007B35E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0;width:222.75pt;height:315.75pt;z-index:251658240;mso-position-horizontal:center;mso-position-horizontal-relative:page;mso-position-vertical:center;mso-position-vertical-relative:page">
          <v:imagedata r:id="rId1" o:title=""/>
          <o:lock v:ext="edit" aspectratio="f"/>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5EB" w:rsidRDefault="007B35E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222.75pt;height:315.75pt;z-index:251659264;mso-position-horizontal:center;mso-position-horizontal-relative:page;mso-position-vertical:center;mso-position-vertical-relative:page">
          <v:imagedata r:id="rId1" o:title=""/>
          <o:lock v:ext="edit" aspectratio="f"/>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I3MjcxNWE3NmI5ZGYzNDU5ZTgxNDM1NGYxMzg5ZmYifQ=="/>
  </w:docVars>
  <w:rsids>
    <w:rsidRoot w:val="007B35EB"/>
    <w:rsid w:val="00407057"/>
    <w:rsid w:val="007B35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5E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7B35EB"/>
    <w:pPr>
      <w:jc w:val="left"/>
    </w:pPr>
  </w:style>
  <w:style w:type="paragraph" w:styleId="a4">
    <w:name w:val="Balloon Text"/>
    <w:basedOn w:val="a"/>
    <w:link w:val="Char0"/>
    <w:uiPriority w:val="99"/>
    <w:semiHidden/>
    <w:unhideWhenUsed/>
    <w:rsid w:val="007B35EB"/>
    <w:rPr>
      <w:sz w:val="18"/>
      <w:szCs w:val="18"/>
    </w:rPr>
  </w:style>
  <w:style w:type="paragraph" w:styleId="a5">
    <w:name w:val="footer"/>
    <w:basedOn w:val="a"/>
    <w:link w:val="Char1"/>
    <w:uiPriority w:val="99"/>
    <w:unhideWhenUsed/>
    <w:qFormat/>
    <w:rsid w:val="007B35EB"/>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B35EB"/>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7B35EB"/>
    <w:rPr>
      <w:b/>
      <w:bCs/>
    </w:rPr>
  </w:style>
  <w:style w:type="character" w:styleId="a8">
    <w:name w:val="annotation reference"/>
    <w:basedOn w:val="a0"/>
    <w:uiPriority w:val="99"/>
    <w:semiHidden/>
    <w:unhideWhenUsed/>
    <w:qFormat/>
    <w:rsid w:val="007B35EB"/>
    <w:rPr>
      <w:sz w:val="21"/>
      <w:szCs w:val="21"/>
    </w:rPr>
  </w:style>
  <w:style w:type="paragraph" w:customStyle="1" w:styleId="Default">
    <w:name w:val="Default"/>
    <w:rsid w:val="007B35EB"/>
    <w:pPr>
      <w:widowControl w:val="0"/>
      <w:autoSpaceDE w:val="0"/>
      <w:autoSpaceDN w:val="0"/>
      <w:adjustRightInd w:val="0"/>
    </w:pPr>
    <w:rPr>
      <w:rFonts w:ascii="宋体" w:hAnsi="宋体" w:cs="宋体"/>
      <w:color w:val="000000"/>
      <w:sz w:val="24"/>
      <w:szCs w:val="24"/>
    </w:rPr>
  </w:style>
  <w:style w:type="character" w:customStyle="1" w:styleId="Char2">
    <w:name w:val="页眉 Char"/>
    <w:basedOn w:val="a0"/>
    <w:link w:val="a6"/>
    <w:uiPriority w:val="99"/>
    <w:rsid w:val="007B35EB"/>
    <w:rPr>
      <w:sz w:val="18"/>
      <w:szCs w:val="18"/>
    </w:rPr>
  </w:style>
  <w:style w:type="character" w:customStyle="1" w:styleId="Char1">
    <w:name w:val="页脚 Char"/>
    <w:basedOn w:val="a0"/>
    <w:link w:val="a5"/>
    <w:uiPriority w:val="99"/>
    <w:qFormat/>
    <w:rsid w:val="007B35EB"/>
    <w:rPr>
      <w:sz w:val="18"/>
      <w:szCs w:val="18"/>
    </w:rPr>
  </w:style>
  <w:style w:type="character" w:customStyle="1" w:styleId="Char0">
    <w:name w:val="批注框文本 Char"/>
    <w:basedOn w:val="a0"/>
    <w:link w:val="a4"/>
    <w:uiPriority w:val="99"/>
    <w:semiHidden/>
    <w:qFormat/>
    <w:rsid w:val="007B35EB"/>
    <w:rPr>
      <w:sz w:val="18"/>
      <w:szCs w:val="18"/>
    </w:rPr>
  </w:style>
  <w:style w:type="character" w:customStyle="1" w:styleId="Char">
    <w:name w:val="批注文字 Char"/>
    <w:basedOn w:val="a0"/>
    <w:link w:val="a3"/>
    <w:uiPriority w:val="99"/>
    <w:semiHidden/>
    <w:qFormat/>
    <w:rsid w:val="007B35EB"/>
  </w:style>
  <w:style w:type="character" w:customStyle="1" w:styleId="Char3">
    <w:name w:val="批注主题 Char"/>
    <w:basedOn w:val="Char"/>
    <w:link w:val="a7"/>
    <w:uiPriority w:val="99"/>
    <w:semiHidden/>
    <w:qFormat/>
    <w:rsid w:val="007B35EB"/>
    <w:rPr>
      <w:b/>
      <w:bCs/>
    </w:rPr>
  </w:style>
  <w:style w:type="paragraph" w:styleId="a9">
    <w:name w:val="Revision"/>
    <w:hidden/>
    <w:uiPriority w:val="99"/>
    <w:unhideWhenUsed/>
    <w:rsid w:val="006523EA"/>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321</Words>
  <Characters>1834</Characters>
  <Application>Microsoft Office Word</Application>
  <DocSecurity>4</DocSecurity>
  <Lines>15</Lines>
  <Paragraphs>4</Paragraphs>
  <ScaleCrop>false</ScaleCrop>
  <Company/>
  <LinksUpToDate>false</LinksUpToDate>
  <CharactersWithSpaces>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霍苏娜日</dc:creator>
  <cp:lastModifiedBy>ZHONGM</cp:lastModifiedBy>
  <cp:revision>2</cp:revision>
  <dcterms:created xsi:type="dcterms:W3CDTF">2024-12-24T16:02:00Z</dcterms:created>
  <dcterms:modified xsi:type="dcterms:W3CDTF">2024-12-24T16:02:00Z</dcterms:modified>
  <cp:contentStatus>国泰君安证券股份有限公司*国泰君安证券资产管理公司：上海国泰君安证券资产管理有限公司关于国泰君安信息行业混合型发起式证券投资基金基金合同终止及基金财产清算的公告，烦请于明天（2024年12月25日）发布，谢谢*zhanghaowen024861@gtjas.com*lkl@ssnews.com.cn * *chengang023613@gtjas.com,liyan026022@gtjas.com *2024-12-24 18:35:37;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C450550CCC124C3FB7A827F6F3E021CD_12</vt:lpwstr>
  </property>
  <property fmtid="{D5CDD505-2E9C-101B-9397-08002B2CF9AE}" pid="3" name="KSOProductBuildVer">
    <vt:lpwstr>2052-12.1.0.18276</vt:lpwstr>
  </property>
</Properties>
</file>