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966A3" w:rsidP="00B541F3">
      <w:pPr>
        <w:ind w:leftChars="-100" w:left="-210" w:rightChars="-100" w:right="-210"/>
        <w:jc w:val="center"/>
        <w:rPr>
          <w:rFonts w:ascii="宋体" w:hAnsi="宋体"/>
          <w:b/>
          <w:sz w:val="48"/>
          <w:szCs w:val="48"/>
        </w:rPr>
      </w:pPr>
      <w:bookmarkStart w:id="0" w:name="t_2_0_table"/>
      <w:bookmarkEnd w:id="0"/>
      <w:r>
        <w:rPr>
          <w:rFonts w:ascii="宋体" w:hAnsi="宋体" w:hint="eastAsia"/>
          <w:b/>
          <w:sz w:val="48"/>
          <w:szCs w:val="48"/>
        </w:rPr>
        <w:t>南方中证A100交易型开放式指数证券投资基金</w:t>
      </w:r>
      <w:r w:rsidR="00657FD7">
        <w:rPr>
          <w:rFonts w:ascii="宋体" w:hAnsi="宋体"/>
          <w:b/>
          <w:sz w:val="48"/>
          <w:szCs w:val="48"/>
        </w:rPr>
        <w:t>开放日常申购与赎回业务的公告</w:t>
      </w:r>
    </w:p>
    <w:p w:rsidR="00657FD7" w:rsidRPr="00085552" w:rsidRDefault="00657FD7">
      <w:pPr>
        <w:jc w:val="center"/>
        <w:rPr>
          <w:rFonts w:ascii="宋体" w:hAnsi="宋体"/>
          <w:sz w:val="30"/>
          <w:szCs w:val="30"/>
        </w:rPr>
      </w:pPr>
    </w:p>
    <w:p w:rsidR="00657FD7" w:rsidRPr="00EA26A2" w:rsidRDefault="00657FD7">
      <w:pPr>
        <w:jc w:val="center"/>
        <w:rPr>
          <w:rFonts w:ascii="宋体" w:hAnsi="宋体"/>
          <w:sz w:val="30"/>
          <w:szCs w:val="30"/>
        </w:rPr>
      </w:pPr>
      <w:bookmarkStart w:id="1" w:name="t_2_0_0002_a2_fm1"/>
      <w:bookmarkEnd w:id="1"/>
    </w:p>
    <w:p w:rsidR="00657FD7" w:rsidRDefault="00657FD7">
      <w:pPr>
        <w:jc w:val="center"/>
        <w:rPr>
          <w:rFonts w:ascii="宋体" w:hAnsi="宋体"/>
          <w:sz w:val="30"/>
          <w:szCs w:val="30"/>
        </w:rPr>
      </w:pPr>
    </w:p>
    <w:p w:rsidR="00657FD7" w:rsidRDefault="00657FD7">
      <w:pPr>
        <w:jc w:val="center"/>
        <w:rPr>
          <w:rFonts w:ascii="宋体" w:hAnsi="宋体"/>
          <w:sz w:val="30"/>
          <w:szCs w:val="30"/>
        </w:rPr>
      </w:pPr>
    </w:p>
    <w:p w:rsidR="00657FD7" w:rsidRDefault="00657FD7">
      <w:pPr>
        <w:jc w:val="center"/>
        <w:rPr>
          <w:rFonts w:ascii="宋体" w:hAnsi="宋体"/>
          <w:sz w:val="30"/>
          <w:szCs w:val="30"/>
        </w:rPr>
      </w:pPr>
    </w:p>
    <w:p w:rsidR="00657FD7" w:rsidRDefault="00657FD7">
      <w:pPr>
        <w:jc w:val="center"/>
        <w:rPr>
          <w:rFonts w:ascii="宋体" w:hAnsi="宋体"/>
          <w:sz w:val="30"/>
          <w:szCs w:val="30"/>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pPr>
        <w:ind w:left="2100" w:firstLine="420"/>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2" w:name="t_2_0_0003_a1_fm1"/>
      <w:bookmarkEnd w:id="2"/>
      <w:r w:rsidR="000939D6">
        <w:rPr>
          <w:rFonts w:ascii="宋体" w:hAnsi="宋体"/>
          <w:b/>
          <w:sz w:val="28"/>
          <w:szCs w:val="28"/>
        </w:rPr>
        <w:t>2024年</w:t>
      </w:r>
      <w:r w:rsidR="00141EF7">
        <w:rPr>
          <w:rFonts w:ascii="宋体" w:hAnsi="宋体" w:hint="eastAsia"/>
          <w:b/>
          <w:sz w:val="28"/>
          <w:szCs w:val="28"/>
        </w:rPr>
        <w:t>12</w:t>
      </w:r>
      <w:r w:rsidR="000939D6">
        <w:rPr>
          <w:rFonts w:ascii="宋体" w:hAnsi="宋体"/>
          <w:b/>
          <w:sz w:val="28"/>
          <w:szCs w:val="28"/>
        </w:rPr>
        <w:t>月</w:t>
      </w:r>
      <w:r w:rsidR="00141EF7">
        <w:rPr>
          <w:rFonts w:ascii="宋体" w:hAnsi="宋体" w:hint="eastAsia"/>
          <w:b/>
          <w:sz w:val="28"/>
          <w:szCs w:val="28"/>
        </w:rPr>
        <w:t>24</w:t>
      </w:r>
      <w:r w:rsidR="000939D6">
        <w:rPr>
          <w:rFonts w:ascii="宋体" w:hAnsi="宋体"/>
          <w:b/>
          <w:sz w:val="28"/>
          <w:szCs w:val="28"/>
        </w:rPr>
        <w:t>日</w:t>
      </w:r>
    </w:p>
    <w:p w:rsidR="00657FD7" w:rsidRDefault="00657FD7">
      <w:pPr>
        <w:rPr>
          <w:sz w:val="24"/>
        </w:rPr>
      </w:pPr>
    </w:p>
    <w:p w:rsidR="00657FD7" w:rsidRDefault="00657FD7">
      <w:pPr>
        <w:rPr>
          <w:sz w:val="24"/>
        </w:rPr>
      </w:pPr>
    </w:p>
    <w:p w:rsidR="00657FD7" w:rsidRDefault="00657FD7">
      <w:pPr>
        <w:rPr>
          <w:sz w:val="24"/>
        </w:rPr>
      </w:pPr>
    </w:p>
    <w:p w:rsidR="00657FD7" w:rsidRDefault="00657FD7">
      <w:pPr>
        <w:rPr>
          <w:sz w:val="24"/>
        </w:rPr>
      </w:pPr>
    </w:p>
    <w:p w:rsidR="00657FD7" w:rsidRDefault="00657FD7" w:rsidP="00EA10F0">
      <w:pPr>
        <w:pStyle w:val="2"/>
        <w:spacing w:beforeLines="50" w:afterLines="50" w:line="240" w:lineRule="auto"/>
        <w:rPr>
          <w:rFonts w:ascii="宋体" w:eastAsia="宋体" w:hAnsi="宋体"/>
          <w:bCs/>
          <w:sz w:val="24"/>
          <w:szCs w:val="24"/>
        </w:rPr>
      </w:pPr>
      <w:r>
        <w:rPr>
          <w:rFonts w:ascii="宋体" w:eastAsia="宋体" w:hAnsi="宋体" w:hint="eastAsia"/>
          <w:bCs/>
          <w:sz w:val="24"/>
          <w:szCs w:val="24"/>
        </w:rPr>
        <w:lastRenderedPageBreak/>
        <w:t>1</w:t>
      </w:r>
      <w:bookmarkStart w:id="3" w:name="t_2_1_table"/>
      <w:bookmarkEnd w:id="3"/>
      <w:r>
        <w:rPr>
          <w:rFonts w:ascii="宋体" w:eastAsia="宋体" w:hAnsi="宋体"/>
          <w:bCs/>
          <w:sz w:val="24"/>
          <w:szCs w:val="24"/>
        </w:rPr>
        <w:t xml:space="preserve"> </w:t>
      </w:r>
      <w:r>
        <w:rPr>
          <w:rFonts w:ascii="宋体" w:eastAsia="宋体" w:hAnsi="宋体" w:hint="eastAsia"/>
          <w:bCs/>
          <w:sz w:val="24"/>
          <w:szCs w:val="24"/>
        </w:rPr>
        <w:t>公告基本信息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6804"/>
      </w:tblGrid>
      <w:tr w:rsidR="00657FD7" w:rsidTr="00134048">
        <w:tc>
          <w:tcPr>
            <w:tcW w:w="1985" w:type="dxa"/>
          </w:tcPr>
          <w:p w:rsidR="00657FD7" w:rsidRDefault="00657FD7">
            <w:pPr>
              <w:rPr>
                <w:rFonts w:ascii="宋体" w:hAnsi="宋体"/>
                <w:szCs w:val="21"/>
              </w:rPr>
            </w:pPr>
            <w:r>
              <w:rPr>
                <w:rFonts w:ascii="宋体" w:hAnsi="宋体" w:hint="eastAsia"/>
                <w:szCs w:val="21"/>
              </w:rPr>
              <w:t>基金名称</w:t>
            </w:r>
          </w:p>
        </w:tc>
        <w:tc>
          <w:tcPr>
            <w:tcW w:w="6804" w:type="dxa"/>
          </w:tcPr>
          <w:p w:rsidR="00657FD7" w:rsidRDefault="006966A3">
            <w:pPr>
              <w:rPr>
                <w:rFonts w:ascii="宋体" w:hAnsi="宋体"/>
                <w:szCs w:val="21"/>
              </w:rPr>
            </w:pPr>
            <w:bookmarkStart w:id="4" w:name="t_2_1_0009_a1_fm1"/>
            <w:bookmarkEnd w:id="4"/>
            <w:r>
              <w:rPr>
                <w:rFonts w:ascii="宋体" w:hAnsi="宋体" w:hint="eastAsia"/>
                <w:szCs w:val="21"/>
              </w:rPr>
              <w:t>南方中证A100交易型开放式指数证券投资基金</w:t>
            </w:r>
          </w:p>
        </w:tc>
      </w:tr>
      <w:tr w:rsidR="00657FD7" w:rsidTr="00134048">
        <w:tc>
          <w:tcPr>
            <w:tcW w:w="1985" w:type="dxa"/>
          </w:tcPr>
          <w:p w:rsidR="00657FD7" w:rsidRDefault="00657FD7">
            <w:pPr>
              <w:rPr>
                <w:rFonts w:ascii="宋体" w:hAnsi="宋体"/>
                <w:szCs w:val="21"/>
              </w:rPr>
            </w:pPr>
            <w:r>
              <w:rPr>
                <w:rFonts w:ascii="宋体" w:hAnsi="宋体" w:hint="eastAsia"/>
                <w:szCs w:val="21"/>
              </w:rPr>
              <w:t>基金简称</w:t>
            </w:r>
          </w:p>
        </w:tc>
        <w:tc>
          <w:tcPr>
            <w:tcW w:w="6804" w:type="dxa"/>
          </w:tcPr>
          <w:p w:rsidR="00657FD7" w:rsidRDefault="00E44FFC" w:rsidP="000A132C">
            <w:pPr>
              <w:rPr>
                <w:rFonts w:ascii="宋体" w:hAnsi="宋体"/>
                <w:szCs w:val="21"/>
              </w:rPr>
            </w:pPr>
            <w:bookmarkStart w:id="5" w:name="t_2_1_0011_a1_fm1"/>
            <w:bookmarkEnd w:id="5"/>
            <w:r>
              <w:rPr>
                <w:rFonts w:ascii="宋体" w:hAnsi="宋体" w:hint="eastAsia"/>
                <w:szCs w:val="21"/>
              </w:rPr>
              <w:t>南方中证A100ETF</w:t>
            </w:r>
            <w:r w:rsidR="00814820" w:rsidRPr="00814820">
              <w:rPr>
                <w:rFonts w:ascii="宋体" w:hAnsi="宋体" w:hint="eastAsia"/>
                <w:szCs w:val="21"/>
              </w:rPr>
              <w:t>（场内简称：</w:t>
            </w:r>
            <w:r w:rsidRPr="00E44FFC">
              <w:rPr>
                <w:rFonts w:ascii="宋体" w:hAnsi="宋体"/>
                <w:szCs w:val="21"/>
              </w:rPr>
              <w:t>A100</w:t>
            </w:r>
            <w:r w:rsidR="004B3108" w:rsidRPr="004B3108">
              <w:rPr>
                <w:rFonts w:ascii="宋体" w:hAnsi="宋体" w:hint="eastAsia"/>
                <w:szCs w:val="21"/>
              </w:rPr>
              <w:t>；</w:t>
            </w:r>
            <w:r w:rsidRPr="00E44FFC">
              <w:rPr>
                <w:rFonts w:ascii="宋体" w:hAnsi="宋体" w:hint="eastAsia"/>
                <w:szCs w:val="21"/>
              </w:rPr>
              <w:t>A100ETF南方</w:t>
            </w:r>
            <w:r w:rsidR="00814820" w:rsidRPr="00814820">
              <w:rPr>
                <w:rFonts w:ascii="宋体" w:hAnsi="宋体" w:hint="eastAsia"/>
                <w:szCs w:val="21"/>
              </w:rPr>
              <w:t>）</w:t>
            </w:r>
          </w:p>
        </w:tc>
      </w:tr>
      <w:tr w:rsidR="00657FD7" w:rsidTr="00134048">
        <w:tc>
          <w:tcPr>
            <w:tcW w:w="1985" w:type="dxa"/>
          </w:tcPr>
          <w:p w:rsidR="00657FD7" w:rsidRDefault="00657FD7" w:rsidP="0047407F">
            <w:pPr>
              <w:rPr>
                <w:rFonts w:ascii="宋体" w:hAnsi="宋体"/>
                <w:szCs w:val="21"/>
              </w:rPr>
            </w:pPr>
            <w:r>
              <w:rPr>
                <w:rFonts w:ascii="宋体" w:hAnsi="宋体" w:hint="eastAsia"/>
                <w:szCs w:val="21"/>
              </w:rPr>
              <w:t>基金主代码</w:t>
            </w:r>
          </w:p>
        </w:tc>
        <w:tc>
          <w:tcPr>
            <w:tcW w:w="6804" w:type="dxa"/>
          </w:tcPr>
          <w:p w:rsidR="00657FD7" w:rsidRDefault="00E44FFC" w:rsidP="00C34CE8">
            <w:pPr>
              <w:rPr>
                <w:rFonts w:ascii="宋体" w:hAnsi="宋体"/>
                <w:szCs w:val="21"/>
              </w:rPr>
            </w:pPr>
            <w:bookmarkStart w:id="6" w:name="t_2_1_0012_a1_fm1"/>
            <w:bookmarkEnd w:id="6"/>
            <w:r>
              <w:rPr>
                <w:rFonts w:ascii="宋体" w:hAnsi="宋体"/>
              </w:rPr>
              <w:t>560380</w:t>
            </w:r>
          </w:p>
        </w:tc>
      </w:tr>
      <w:tr w:rsidR="00657FD7" w:rsidTr="00134048">
        <w:tc>
          <w:tcPr>
            <w:tcW w:w="1985" w:type="dxa"/>
          </w:tcPr>
          <w:p w:rsidR="00657FD7" w:rsidRDefault="00657FD7">
            <w:pPr>
              <w:rPr>
                <w:rFonts w:ascii="宋体" w:hAnsi="宋体"/>
                <w:szCs w:val="21"/>
              </w:rPr>
            </w:pPr>
            <w:r>
              <w:rPr>
                <w:rFonts w:ascii="宋体" w:hAnsi="宋体" w:hint="eastAsia"/>
                <w:szCs w:val="21"/>
              </w:rPr>
              <w:t>基金运作方式</w:t>
            </w:r>
          </w:p>
        </w:tc>
        <w:tc>
          <w:tcPr>
            <w:tcW w:w="6804" w:type="dxa"/>
          </w:tcPr>
          <w:p w:rsidR="00657FD7" w:rsidRDefault="000A132C">
            <w:pPr>
              <w:rPr>
                <w:rFonts w:ascii="宋体" w:hAnsi="宋体"/>
                <w:szCs w:val="21"/>
              </w:rPr>
            </w:pPr>
            <w:bookmarkStart w:id="7" w:name="t_2_1_0017_a1_fm1"/>
            <w:bookmarkEnd w:id="7"/>
            <w:r w:rsidRPr="000A132C">
              <w:rPr>
                <w:rFonts w:ascii="宋体" w:hAnsi="宋体" w:hint="eastAsia"/>
                <w:szCs w:val="21"/>
              </w:rPr>
              <w:t>交易型开放式</w:t>
            </w:r>
          </w:p>
        </w:tc>
      </w:tr>
      <w:tr w:rsidR="00657FD7" w:rsidTr="00134048">
        <w:tc>
          <w:tcPr>
            <w:tcW w:w="1985" w:type="dxa"/>
          </w:tcPr>
          <w:p w:rsidR="00657FD7" w:rsidRDefault="00657FD7">
            <w:pPr>
              <w:rPr>
                <w:rFonts w:ascii="宋体" w:hAnsi="宋体"/>
                <w:szCs w:val="21"/>
              </w:rPr>
            </w:pPr>
            <w:r>
              <w:rPr>
                <w:rFonts w:ascii="宋体" w:hAnsi="宋体" w:hint="eastAsia"/>
                <w:szCs w:val="21"/>
              </w:rPr>
              <w:t>基金合同生效日</w:t>
            </w:r>
          </w:p>
        </w:tc>
        <w:tc>
          <w:tcPr>
            <w:tcW w:w="6804" w:type="dxa"/>
          </w:tcPr>
          <w:p w:rsidR="00657FD7" w:rsidRDefault="00814820" w:rsidP="00141EF7">
            <w:pPr>
              <w:rPr>
                <w:rFonts w:ascii="宋体" w:hAnsi="宋体"/>
                <w:szCs w:val="21"/>
              </w:rPr>
            </w:pPr>
            <w:bookmarkStart w:id="8" w:name="t_2_1_0018_a1_fm1"/>
            <w:bookmarkEnd w:id="8"/>
            <w:r>
              <w:rPr>
                <w:rFonts w:ascii="宋体" w:hAnsi="宋体" w:hint="eastAsia"/>
                <w:szCs w:val="21"/>
              </w:rPr>
              <w:t>202</w:t>
            </w:r>
            <w:r w:rsidR="00AC10C1">
              <w:rPr>
                <w:rFonts w:ascii="宋体" w:hAnsi="宋体"/>
                <w:szCs w:val="21"/>
              </w:rPr>
              <w:t>4</w:t>
            </w:r>
            <w:r w:rsidR="00FA35DF" w:rsidRPr="00FA35DF">
              <w:rPr>
                <w:rFonts w:ascii="宋体" w:hAnsi="宋体" w:hint="eastAsia"/>
                <w:szCs w:val="21"/>
              </w:rPr>
              <w:t>年</w:t>
            </w:r>
            <w:r w:rsidR="00141EF7">
              <w:rPr>
                <w:rFonts w:ascii="宋体" w:hAnsi="宋体"/>
                <w:szCs w:val="21"/>
              </w:rPr>
              <w:t>12</w:t>
            </w:r>
            <w:r w:rsidR="00FA35DF" w:rsidRPr="00FA35DF">
              <w:rPr>
                <w:rFonts w:ascii="宋体" w:hAnsi="宋体" w:hint="eastAsia"/>
                <w:szCs w:val="21"/>
              </w:rPr>
              <w:t>月</w:t>
            </w:r>
            <w:r w:rsidR="00141EF7">
              <w:rPr>
                <w:rFonts w:ascii="宋体" w:hAnsi="宋体"/>
                <w:szCs w:val="21"/>
              </w:rPr>
              <w:t>19</w:t>
            </w:r>
            <w:r w:rsidR="00FA35DF" w:rsidRPr="00FA35DF">
              <w:rPr>
                <w:rFonts w:ascii="宋体" w:hAnsi="宋体" w:hint="eastAsia"/>
                <w:szCs w:val="21"/>
              </w:rPr>
              <w:t>日</w:t>
            </w:r>
          </w:p>
        </w:tc>
      </w:tr>
      <w:tr w:rsidR="00657FD7" w:rsidTr="00134048">
        <w:tc>
          <w:tcPr>
            <w:tcW w:w="1985" w:type="dxa"/>
          </w:tcPr>
          <w:p w:rsidR="00657FD7" w:rsidRDefault="00657FD7">
            <w:pPr>
              <w:rPr>
                <w:rFonts w:ascii="宋体" w:hAnsi="宋体"/>
                <w:szCs w:val="21"/>
              </w:rPr>
            </w:pPr>
            <w:r>
              <w:rPr>
                <w:rFonts w:ascii="宋体" w:hAnsi="宋体" w:hint="eastAsia"/>
                <w:szCs w:val="21"/>
              </w:rPr>
              <w:t>基金管理人名称</w:t>
            </w:r>
          </w:p>
        </w:tc>
        <w:tc>
          <w:tcPr>
            <w:tcW w:w="6804" w:type="dxa"/>
          </w:tcPr>
          <w:p w:rsidR="00657FD7" w:rsidRDefault="00657FD7">
            <w:pPr>
              <w:rPr>
                <w:rFonts w:ascii="宋体" w:hAnsi="宋体"/>
                <w:szCs w:val="21"/>
              </w:rPr>
            </w:pPr>
            <w:bookmarkStart w:id="9" w:name="t_2_1_0186_a1_fm1"/>
            <w:bookmarkEnd w:id="9"/>
            <w:r>
              <w:rPr>
                <w:rFonts w:ascii="宋体" w:hAnsi="宋体"/>
                <w:szCs w:val="21"/>
              </w:rPr>
              <w:t>南方基金管理</w:t>
            </w:r>
            <w:r>
              <w:rPr>
                <w:rFonts w:ascii="宋体" w:hAnsi="宋体" w:hint="eastAsia"/>
                <w:szCs w:val="21"/>
              </w:rPr>
              <w:t>股份</w:t>
            </w:r>
            <w:r>
              <w:rPr>
                <w:rFonts w:ascii="宋体" w:hAnsi="宋体"/>
                <w:szCs w:val="21"/>
              </w:rPr>
              <w:t>有限公司</w:t>
            </w:r>
          </w:p>
        </w:tc>
      </w:tr>
      <w:tr w:rsidR="00657FD7" w:rsidTr="00134048">
        <w:tc>
          <w:tcPr>
            <w:tcW w:w="1985" w:type="dxa"/>
          </w:tcPr>
          <w:p w:rsidR="00657FD7" w:rsidRDefault="00657FD7">
            <w:pPr>
              <w:rPr>
                <w:rFonts w:ascii="宋体" w:hAnsi="宋体"/>
                <w:szCs w:val="21"/>
              </w:rPr>
            </w:pPr>
            <w:bookmarkStart w:id="10" w:name="OLE_LINK49" w:colFirst="1" w:colLast="1"/>
            <w:bookmarkStart w:id="11" w:name="OLE_LINK50" w:colFirst="1" w:colLast="1"/>
            <w:bookmarkStart w:id="12" w:name="_Hlk486008728"/>
            <w:r>
              <w:rPr>
                <w:rFonts w:ascii="宋体" w:hAnsi="宋体" w:hint="eastAsia"/>
                <w:szCs w:val="21"/>
              </w:rPr>
              <w:t>基金托管人名称</w:t>
            </w:r>
          </w:p>
        </w:tc>
        <w:tc>
          <w:tcPr>
            <w:tcW w:w="6804" w:type="dxa"/>
          </w:tcPr>
          <w:p w:rsidR="00657FD7" w:rsidRDefault="00AF29E5">
            <w:pPr>
              <w:rPr>
                <w:rFonts w:ascii="宋体" w:hAnsi="宋体"/>
                <w:szCs w:val="21"/>
              </w:rPr>
            </w:pPr>
            <w:bookmarkStart w:id="13" w:name="t_2_1_0213_a1_fm1"/>
            <w:bookmarkEnd w:id="13"/>
            <w:r>
              <w:rPr>
                <w:rFonts w:ascii="宋体" w:hAnsi="宋体" w:hint="eastAsia"/>
                <w:szCs w:val="21"/>
              </w:rPr>
              <w:t>中国工商银行股份有限公司</w:t>
            </w:r>
          </w:p>
        </w:tc>
      </w:tr>
      <w:bookmarkEnd w:id="10"/>
      <w:bookmarkEnd w:id="11"/>
      <w:bookmarkEnd w:id="12"/>
      <w:tr w:rsidR="00657FD7" w:rsidTr="00134048">
        <w:tc>
          <w:tcPr>
            <w:tcW w:w="1985" w:type="dxa"/>
          </w:tcPr>
          <w:p w:rsidR="00657FD7" w:rsidRDefault="00657FD7">
            <w:pPr>
              <w:rPr>
                <w:rFonts w:ascii="宋体" w:hAnsi="宋体"/>
                <w:szCs w:val="21"/>
              </w:rPr>
            </w:pPr>
            <w:r>
              <w:rPr>
                <w:rFonts w:ascii="宋体" w:hAnsi="宋体" w:hint="eastAsia"/>
                <w:szCs w:val="21"/>
              </w:rPr>
              <w:t>基金登记机构名称</w:t>
            </w:r>
          </w:p>
        </w:tc>
        <w:tc>
          <w:tcPr>
            <w:tcW w:w="6804" w:type="dxa"/>
          </w:tcPr>
          <w:p w:rsidR="00657FD7" w:rsidRDefault="00657FD7">
            <w:pPr>
              <w:rPr>
                <w:rFonts w:ascii="宋体" w:hAnsi="宋体"/>
                <w:szCs w:val="21"/>
              </w:rPr>
            </w:pPr>
            <w:bookmarkStart w:id="14" w:name="t_2_1_0310_a1_fm1"/>
            <w:bookmarkEnd w:id="14"/>
            <w:r>
              <w:rPr>
                <w:rFonts w:ascii="宋体" w:hAnsi="宋体"/>
                <w:szCs w:val="21"/>
              </w:rPr>
              <w:t>中国证券登记结算有限责任公司</w:t>
            </w:r>
          </w:p>
        </w:tc>
      </w:tr>
      <w:tr w:rsidR="00657FD7" w:rsidTr="00421385">
        <w:tc>
          <w:tcPr>
            <w:tcW w:w="1985" w:type="dxa"/>
            <w:vAlign w:val="center"/>
          </w:tcPr>
          <w:p w:rsidR="00657FD7" w:rsidRDefault="00657FD7" w:rsidP="00421385">
            <w:pPr>
              <w:rPr>
                <w:rFonts w:ascii="宋体" w:hAnsi="宋体"/>
                <w:szCs w:val="21"/>
              </w:rPr>
            </w:pPr>
            <w:r>
              <w:rPr>
                <w:rFonts w:ascii="宋体" w:hAnsi="宋体" w:hint="eastAsia"/>
                <w:szCs w:val="21"/>
              </w:rPr>
              <w:t>公告依据</w:t>
            </w:r>
          </w:p>
        </w:tc>
        <w:tc>
          <w:tcPr>
            <w:tcW w:w="6804" w:type="dxa"/>
          </w:tcPr>
          <w:p w:rsidR="00657FD7" w:rsidRDefault="00657FD7" w:rsidP="006B3E92">
            <w:pPr>
              <w:rPr>
                <w:rFonts w:ascii="宋体" w:hAnsi="宋体"/>
                <w:szCs w:val="21"/>
              </w:rPr>
            </w:pPr>
            <w:bookmarkStart w:id="15" w:name="t_2_1_2631_a1_fm1"/>
            <w:bookmarkEnd w:id="15"/>
            <w:r>
              <w:rPr>
                <w:rFonts w:ascii="宋体" w:hAnsi="宋体" w:hint="eastAsia"/>
                <w:szCs w:val="21"/>
              </w:rPr>
              <w:t>《</w:t>
            </w:r>
            <w:r w:rsidR="006966A3">
              <w:rPr>
                <w:rFonts w:ascii="宋体" w:hAnsi="宋体" w:hint="eastAsia"/>
                <w:szCs w:val="21"/>
              </w:rPr>
              <w:t>南方中证A100交易型开放式指数证券投资基金</w:t>
            </w:r>
            <w:r>
              <w:rPr>
                <w:rFonts w:ascii="宋体" w:hAnsi="宋体" w:hint="eastAsia"/>
                <w:szCs w:val="21"/>
              </w:rPr>
              <w:t>基金</w:t>
            </w:r>
            <w:r>
              <w:rPr>
                <w:rFonts w:ascii="宋体" w:hAnsi="宋体"/>
                <w:szCs w:val="21"/>
              </w:rPr>
              <w:t>合同》</w:t>
            </w:r>
            <w:r w:rsidR="006B3E92">
              <w:rPr>
                <w:rFonts w:ascii="宋体" w:hAnsi="宋体" w:hint="eastAsia"/>
                <w:szCs w:val="21"/>
              </w:rPr>
              <w:t>、</w:t>
            </w:r>
            <w:r>
              <w:rPr>
                <w:rFonts w:ascii="宋体" w:hAnsi="宋体"/>
                <w:szCs w:val="21"/>
              </w:rPr>
              <w:t>《</w:t>
            </w:r>
            <w:r w:rsidR="006966A3">
              <w:rPr>
                <w:rFonts w:ascii="宋体" w:hAnsi="宋体" w:hint="eastAsia"/>
                <w:szCs w:val="21"/>
              </w:rPr>
              <w:t>南方中证A100交易型开放式指数证券投资基金</w:t>
            </w:r>
            <w:r>
              <w:rPr>
                <w:rFonts w:ascii="宋体" w:hAnsi="宋体"/>
                <w:szCs w:val="21"/>
              </w:rPr>
              <w:t>招募说明书》</w:t>
            </w:r>
          </w:p>
        </w:tc>
      </w:tr>
      <w:tr w:rsidR="00FA35DF" w:rsidTr="00134048">
        <w:tc>
          <w:tcPr>
            <w:tcW w:w="1985" w:type="dxa"/>
          </w:tcPr>
          <w:p w:rsidR="00FA35DF" w:rsidRDefault="00FA35DF" w:rsidP="00FA35DF">
            <w:pPr>
              <w:rPr>
                <w:rFonts w:ascii="宋体" w:hAnsi="宋体"/>
                <w:szCs w:val="21"/>
              </w:rPr>
            </w:pPr>
            <w:r>
              <w:rPr>
                <w:rFonts w:ascii="宋体" w:hAnsi="宋体" w:hint="eastAsia"/>
                <w:szCs w:val="21"/>
              </w:rPr>
              <w:t>申购起始日</w:t>
            </w:r>
          </w:p>
        </w:tc>
        <w:tc>
          <w:tcPr>
            <w:tcW w:w="6804" w:type="dxa"/>
          </w:tcPr>
          <w:p w:rsidR="00FA35DF" w:rsidRDefault="00FE6021" w:rsidP="00141EF7">
            <w:bookmarkStart w:id="16" w:name="t_2_1_2660_a1_fm1"/>
            <w:bookmarkEnd w:id="16"/>
            <w:r>
              <w:rPr>
                <w:rFonts w:ascii="宋体" w:hAnsi="宋体" w:hint="eastAsia"/>
                <w:szCs w:val="21"/>
              </w:rPr>
              <w:t>2024年</w:t>
            </w:r>
            <w:r w:rsidR="00141EF7">
              <w:rPr>
                <w:rFonts w:ascii="宋体" w:hAnsi="宋体"/>
                <w:szCs w:val="21"/>
              </w:rPr>
              <w:t>12</w:t>
            </w:r>
            <w:r>
              <w:rPr>
                <w:rFonts w:ascii="宋体" w:hAnsi="宋体" w:hint="eastAsia"/>
                <w:szCs w:val="21"/>
              </w:rPr>
              <w:t>月</w:t>
            </w:r>
            <w:r w:rsidR="00141EF7">
              <w:rPr>
                <w:rFonts w:ascii="宋体" w:hAnsi="宋体"/>
                <w:szCs w:val="21"/>
              </w:rPr>
              <w:t>27</w:t>
            </w:r>
            <w:r>
              <w:rPr>
                <w:rFonts w:ascii="宋体" w:hAnsi="宋体" w:hint="eastAsia"/>
                <w:szCs w:val="21"/>
              </w:rPr>
              <w:t>日</w:t>
            </w:r>
          </w:p>
        </w:tc>
      </w:tr>
      <w:tr w:rsidR="00FA35DF" w:rsidTr="00134048">
        <w:tc>
          <w:tcPr>
            <w:tcW w:w="1985" w:type="dxa"/>
          </w:tcPr>
          <w:p w:rsidR="00FA35DF" w:rsidRDefault="00FA35DF" w:rsidP="00FA35DF">
            <w:pPr>
              <w:rPr>
                <w:rFonts w:ascii="宋体" w:hAnsi="宋体"/>
                <w:szCs w:val="21"/>
              </w:rPr>
            </w:pPr>
            <w:r>
              <w:rPr>
                <w:rFonts w:ascii="宋体" w:hAnsi="宋体" w:hint="eastAsia"/>
                <w:szCs w:val="21"/>
              </w:rPr>
              <w:t>赎回起始日</w:t>
            </w:r>
          </w:p>
        </w:tc>
        <w:tc>
          <w:tcPr>
            <w:tcW w:w="6804" w:type="dxa"/>
          </w:tcPr>
          <w:p w:rsidR="00FA35DF" w:rsidRDefault="00FE6021" w:rsidP="00141EF7">
            <w:bookmarkStart w:id="17" w:name="t_2_1_2661_a1_fm1"/>
            <w:bookmarkEnd w:id="17"/>
            <w:r>
              <w:rPr>
                <w:rFonts w:ascii="宋体" w:hAnsi="宋体" w:hint="eastAsia"/>
                <w:szCs w:val="21"/>
              </w:rPr>
              <w:t>2024年</w:t>
            </w:r>
            <w:r w:rsidR="00141EF7">
              <w:rPr>
                <w:rFonts w:ascii="宋体" w:hAnsi="宋体"/>
                <w:szCs w:val="21"/>
              </w:rPr>
              <w:t>12</w:t>
            </w:r>
            <w:r>
              <w:rPr>
                <w:rFonts w:ascii="宋体" w:hAnsi="宋体" w:hint="eastAsia"/>
                <w:szCs w:val="21"/>
              </w:rPr>
              <w:t>月</w:t>
            </w:r>
            <w:r w:rsidR="00141EF7">
              <w:rPr>
                <w:rFonts w:ascii="宋体" w:hAnsi="宋体"/>
                <w:szCs w:val="21"/>
              </w:rPr>
              <w:t>27</w:t>
            </w:r>
            <w:r>
              <w:rPr>
                <w:rFonts w:ascii="宋体" w:hAnsi="宋体" w:hint="eastAsia"/>
                <w:szCs w:val="21"/>
              </w:rPr>
              <w:t>日</w:t>
            </w:r>
          </w:p>
        </w:tc>
      </w:tr>
    </w:tbl>
    <w:p w:rsidR="00657FD7" w:rsidRDefault="00657FD7">
      <w:pPr>
        <w:rPr>
          <w:rFonts w:ascii="宋体" w:hAnsi="宋体"/>
          <w:color w:val="0000FF"/>
          <w:kern w:val="0"/>
          <w:sz w:val="18"/>
        </w:rPr>
      </w:pPr>
    </w:p>
    <w:p w:rsidR="00657FD7" w:rsidRDefault="00657FD7" w:rsidP="00EA10F0">
      <w:pPr>
        <w:pStyle w:val="2"/>
        <w:spacing w:beforeLines="50" w:afterLines="50" w:line="240" w:lineRule="auto"/>
        <w:jc w:val="left"/>
        <w:rPr>
          <w:rFonts w:ascii="宋体" w:eastAsia="宋体" w:hAnsi="宋体"/>
          <w:bCs/>
          <w:sz w:val="24"/>
          <w:szCs w:val="24"/>
        </w:rPr>
      </w:pPr>
      <w:r>
        <w:rPr>
          <w:rFonts w:ascii="宋体" w:eastAsia="宋体" w:hAnsi="宋体" w:hint="eastAsia"/>
          <w:bCs/>
          <w:sz w:val="24"/>
          <w:szCs w:val="24"/>
        </w:rPr>
        <w:t xml:space="preserve">2 </w:t>
      </w:r>
      <w:bookmarkStart w:id="18" w:name="t_2_2_table"/>
      <w:bookmarkEnd w:id="18"/>
      <w:r>
        <w:rPr>
          <w:rFonts w:ascii="宋体" w:eastAsia="宋体" w:hAnsi="宋体" w:hint="eastAsia"/>
          <w:bCs/>
          <w:sz w:val="24"/>
          <w:szCs w:val="24"/>
        </w:rPr>
        <w:t>日常申购、赎回业务的办理时间</w:t>
      </w:r>
    </w:p>
    <w:p w:rsidR="006103CD" w:rsidRPr="006103CD" w:rsidRDefault="006103CD" w:rsidP="006103CD">
      <w:pPr>
        <w:pStyle w:val="HD"/>
        <w:rPr>
          <w:rFonts w:ascii="宋体" w:hAnsi="宋体"/>
          <w:bCs/>
        </w:rPr>
      </w:pPr>
      <w:bookmarkStart w:id="19" w:name="t_2_2_2819_a1_fm1"/>
      <w:bookmarkEnd w:id="19"/>
      <w:r w:rsidRPr="006103CD">
        <w:rPr>
          <w:rFonts w:ascii="宋体" w:hAnsi="宋体" w:hint="eastAsia"/>
          <w:bCs/>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6103CD" w:rsidRDefault="006103CD" w:rsidP="006103CD">
      <w:pPr>
        <w:pStyle w:val="HD"/>
        <w:rPr>
          <w:rFonts w:ascii="宋体" w:hAnsi="宋体"/>
          <w:bCs/>
        </w:rPr>
      </w:pPr>
      <w:r w:rsidRPr="006103CD">
        <w:rPr>
          <w:rFonts w:ascii="宋体" w:hAnsi="宋体" w:hint="eastAsia"/>
          <w:bCs/>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657FD7" w:rsidRDefault="00657FD7">
      <w:pPr>
        <w:pStyle w:val="HD"/>
        <w:ind w:firstLineChars="0" w:firstLine="0"/>
      </w:pPr>
    </w:p>
    <w:p w:rsidR="00657FD7" w:rsidRDefault="00657FD7" w:rsidP="00EA10F0">
      <w:pPr>
        <w:pStyle w:val="2"/>
        <w:spacing w:beforeLines="50" w:afterLines="50" w:line="240" w:lineRule="auto"/>
        <w:rPr>
          <w:rFonts w:ascii="宋体" w:eastAsia="宋体" w:hAnsi="宋体"/>
          <w:bCs/>
          <w:sz w:val="24"/>
          <w:szCs w:val="24"/>
        </w:rPr>
      </w:pPr>
      <w:r>
        <w:rPr>
          <w:rFonts w:ascii="宋体" w:eastAsia="宋体" w:hAnsi="宋体" w:hint="eastAsia"/>
          <w:bCs/>
          <w:sz w:val="24"/>
          <w:szCs w:val="24"/>
        </w:rPr>
        <w:t>3 日常申购和赎回业务</w:t>
      </w:r>
    </w:p>
    <w:p w:rsidR="00657FD7" w:rsidRDefault="00657FD7" w:rsidP="00EA10F0">
      <w:pPr>
        <w:spacing w:beforeLines="50" w:afterLines="50"/>
        <w:rPr>
          <w:rFonts w:ascii="宋体" w:hAnsi="宋体"/>
          <w:szCs w:val="21"/>
        </w:rPr>
        <w:pPrChange w:id="20" w:author="ZHONGM" w:date="2024-12-24T00:04:00Z">
          <w:pPr>
            <w:spacing w:beforeLines="50" w:afterLines="50"/>
          </w:pPr>
        </w:pPrChange>
      </w:pPr>
      <w:r>
        <w:rPr>
          <w:rFonts w:ascii="宋体" w:hAnsi="宋体" w:hint="eastAsia"/>
          <w:b/>
          <w:sz w:val="24"/>
          <w:szCs w:val="20"/>
        </w:rPr>
        <w:t xml:space="preserve">3.1 </w:t>
      </w:r>
      <w:bookmarkStart w:id="21" w:name="t_2_3_1_table"/>
      <w:bookmarkStart w:id="22" w:name="t_2_3_1_2820_a1_fm1"/>
      <w:bookmarkEnd w:id="21"/>
      <w:bookmarkEnd w:id="22"/>
      <w:r>
        <w:rPr>
          <w:rFonts w:ascii="宋体" w:hAnsi="宋体" w:hint="eastAsia"/>
          <w:b/>
          <w:sz w:val="24"/>
          <w:szCs w:val="20"/>
        </w:rPr>
        <w:t>申购和赎回的数额限制</w:t>
      </w:r>
    </w:p>
    <w:p w:rsidR="006B305C" w:rsidRPr="006B305C" w:rsidRDefault="006B305C" w:rsidP="006B305C">
      <w:pPr>
        <w:pStyle w:val="HD"/>
        <w:rPr>
          <w:rFonts w:ascii="宋体" w:hAnsi="宋体"/>
          <w:bCs/>
        </w:rPr>
      </w:pPr>
      <w:r w:rsidRPr="006B305C">
        <w:rPr>
          <w:rFonts w:ascii="宋体" w:hAnsi="宋体" w:hint="eastAsia"/>
          <w:bCs/>
        </w:rPr>
        <w:t>投资人申购、赎回的基金份额需为最小申购赎回单位的整数倍。目前，本基金最小申购赎回单位为</w:t>
      </w:r>
      <w:r w:rsidR="006103CD">
        <w:rPr>
          <w:rFonts w:ascii="宋体" w:hAnsi="宋体"/>
          <w:bCs/>
        </w:rPr>
        <w:t>200</w:t>
      </w:r>
      <w:r w:rsidRPr="006B305C">
        <w:rPr>
          <w:rFonts w:ascii="宋体" w:hAnsi="宋体" w:hint="eastAsia"/>
          <w:bCs/>
        </w:rPr>
        <w:t>万份，基金管理人有权对其进行调整，并在调整实施前依照《信息披露办法》的有关规定在规定媒介上公告。</w:t>
      </w:r>
    </w:p>
    <w:p w:rsidR="006B305C" w:rsidRPr="006B305C" w:rsidRDefault="006B305C" w:rsidP="006B305C">
      <w:pPr>
        <w:pStyle w:val="HD"/>
        <w:rPr>
          <w:rFonts w:ascii="宋体" w:hAnsi="宋体"/>
          <w:bCs/>
        </w:rPr>
      </w:pPr>
      <w:r w:rsidRPr="006B305C">
        <w:rPr>
          <w:rFonts w:ascii="宋体" w:hAnsi="宋体" w:hint="eastAsia"/>
          <w:bCs/>
        </w:rPr>
        <w:t>基金管理人可以规定本基金当日申购份额及当日赎回份额上限，具体规定请参见申购赎回清单或相关公告。</w:t>
      </w:r>
    </w:p>
    <w:p w:rsidR="006B305C" w:rsidRPr="006B305C" w:rsidRDefault="006B305C" w:rsidP="006B305C">
      <w:pPr>
        <w:pStyle w:val="HD"/>
        <w:rPr>
          <w:rFonts w:ascii="宋体" w:hAnsi="宋体"/>
          <w:bCs/>
        </w:rPr>
      </w:pPr>
      <w:r w:rsidRPr="006B305C">
        <w:rPr>
          <w:rFonts w:ascii="宋体" w:hAnsi="宋体" w:hint="eastAsia"/>
          <w:bCs/>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BB67E4" w:rsidRDefault="006B305C" w:rsidP="006B305C">
      <w:pPr>
        <w:pStyle w:val="HD"/>
        <w:rPr>
          <w:rFonts w:ascii="宋体" w:hAnsi="宋体"/>
          <w:bCs/>
        </w:rPr>
      </w:pPr>
      <w:r w:rsidRPr="006B305C">
        <w:rPr>
          <w:rFonts w:ascii="宋体" w:hAnsi="宋体" w:hint="eastAsia"/>
          <w:bCs/>
        </w:rPr>
        <w:t>基金管理人可根据市场情况，在法律法规允许的情况下，合理调整上述申购和赎回的数量或比例限制，或者新增基金规模控制措施。基金管理人必须在调整前依照《信息披露办法》的有关规定在规定媒介上公告。</w:t>
      </w:r>
    </w:p>
    <w:p w:rsidR="00657FD7" w:rsidRDefault="00657FD7">
      <w:pPr>
        <w:pStyle w:val="HD"/>
        <w:rPr>
          <w:rFonts w:ascii="宋体" w:hAnsi="宋体"/>
          <w:bCs/>
        </w:rPr>
      </w:pPr>
    </w:p>
    <w:p w:rsidR="00657FD7" w:rsidRDefault="00657FD7" w:rsidP="00EA10F0">
      <w:pPr>
        <w:spacing w:beforeLines="50" w:afterLines="50"/>
        <w:rPr>
          <w:rFonts w:ascii="宋体" w:hAnsi="宋体"/>
          <w:b/>
          <w:sz w:val="24"/>
          <w:szCs w:val="20"/>
        </w:rPr>
        <w:pPrChange w:id="23" w:author="ZHONGM" w:date="2024-12-24T00:04:00Z">
          <w:pPr>
            <w:spacing w:beforeLines="50" w:afterLines="50"/>
          </w:pPr>
        </w:pPrChange>
      </w:pPr>
      <w:r>
        <w:rPr>
          <w:rFonts w:ascii="宋体" w:hAnsi="宋体" w:hint="eastAsia"/>
          <w:b/>
          <w:sz w:val="24"/>
          <w:szCs w:val="20"/>
        </w:rPr>
        <w:t xml:space="preserve">3.2 </w:t>
      </w:r>
      <w:bookmarkStart w:id="24" w:name="t_2_3_2_table"/>
      <w:bookmarkEnd w:id="24"/>
      <w:r>
        <w:rPr>
          <w:rFonts w:ascii="宋体" w:hAnsi="宋体" w:hint="eastAsia"/>
          <w:b/>
          <w:sz w:val="24"/>
          <w:szCs w:val="20"/>
        </w:rPr>
        <w:t>申购和赎回费率</w:t>
      </w:r>
    </w:p>
    <w:p w:rsidR="00657FD7" w:rsidRDefault="006B305C" w:rsidP="00004844">
      <w:pPr>
        <w:pStyle w:val="HD"/>
        <w:snapToGrid/>
        <w:rPr>
          <w:rFonts w:ascii="宋体" w:hAnsi="宋体"/>
          <w:bCs/>
        </w:rPr>
      </w:pPr>
      <w:bookmarkStart w:id="25" w:name="t_2_3_2_2842_a1_fm1"/>
      <w:bookmarkEnd w:id="25"/>
      <w:r w:rsidRPr="006B305C">
        <w:rPr>
          <w:rFonts w:ascii="宋体" w:hAnsi="宋体" w:hint="eastAsia"/>
          <w:bCs/>
        </w:rPr>
        <w:t>投资人在申购或赎回基金份额时，申购赎回代理券商可按照不超过0.2%的标准收取佣金，其中包含证券交易所、登记机构等收取的相关费用。</w:t>
      </w:r>
    </w:p>
    <w:p w:rsidR="00BB67E4" w:rsidRPr="00390E2D" w:rsidRDefault="00BB67E4" w:rsidP="00004844">
      <w:pPr>
        <w:pStyle w:val="HD"/>
        <w:snapToGrid/>
        <w:rPr>
          <w:rFonts w:ascii="宋体" w:hAnsi="宋体"/>
          <w:bCs/>
        </w:rPr>
      </w:pPr>
    </w:p>
    <w:p w:rsidR="00657FD7" w:rsidRDefault="00657FD7" w:rsidP="00EA10F0">
      <w:pPr>
        <w:spacing w:beforeLines="50" w:afterLines="50"/>
        <w:jc w:val="left"/>
        <w:rPr>
          <w:rFonts w:ascii="宋体" w:hAnsi="宋体"/>
          <w:b/>
          <w:sz w:val="24"/>
          <w:szCs w:val="20"/>
        </w:rPr>
        <w:pPrChange w:id="26" w:author="ZHONGM" w:date="2024-12-24T00:04:00Z">
          <w:pPr>
            <w:spacing w:beforeLines="50" w:afterLines="50"/>
            <w:jc w:val="left"/>
          </w:pPr>
        </w:pPrChange>
      </w:pPr>
      <w:r>
        <w:rPr>
          <w:rFonts w:ascii="宋体" w:hAnsi="宋体" w:hint="eastAsia"/>
          <w:b/>
          <w:sz w:val="24"/>
          <w:szCs w:val="20"/>
        </w:rPr>
        <w:t xml:space="preserve">3.3 </w:t>
      </w:r>
      <w:bookmarkStart w:id="27" w:name="t_2_3_3_table"/>
      <w:bookmarkEnd w:id="27"/>
      <w:r>
        <w:rPr>
          <w:rFonts w:ascii="宋体" w:hAnsi="宋体" w:hint="eastAsia"/>
          <w:b/>
          <w:sz w:val="24"/>
          <w:szCs w:val="20"/>
        </w:rPr>
        <w:t>其他与申购和赎回相关的事项</w:t>
      </w:r>
    </w:p>
    <w:p w:rsidR="00755195" w:rsidRPr="00755195" w:rsidRDefault="00657FD7" w:rsidP="00755195">
      <w:pPr>
        <w:pStyle w:val="HD"/>
        <w:rPr>
          <w:rFonts w:ascii="宋体" w:hAnsi="宋体"/>
          <w:bCs/>
        </w:rPr>
      </w:pPr>
      <w:bookmarkStart w:id="28" w:name="t_2_3_3_2821_a1_fm1"/>
      <w:bookmarkEnd w:id="28"/>
      <w:r>
        <w:rPr>
          <w:rFonts w:ascii="宋体" w:hAnsi="宋体" w:hint="eastAsia"/>
          <w:bCs/>
        </w:rPr>
        <w:t>（一）</w:t>
      </w:r>
      <w:r w:rsidR="00755195" w:rsidRPr="00755195">
        <w:rPr>
          <w:rFonts w:ascii="宋体" w:hAnsi="宋体" w:hint="eastAsia"/>
          <w:bCs/>
        </w:rPr>
        <w:t>申购和赎回场所</w:t>
      </w:r>
    </w:p>
    <w:p w:rsidR="006B305C" w:rsidRPr="006B305C" w:rsidRDefault="006B305C" w:rsidP="006B305C">
      <w:pPr>
        <w:pStyle w:val="HD"/>
        <w:rPr>
          <w:rFonts w:ascii="宋体" w:hAnsi="宋体"/>
          <w:bCs/>
        </w:rPr>
      </w:pPr>
      <w:r w:rsidRPr="006B305C">
        <w:rPr>
          <w:rFonts w:ascii="宋体" w:hAnsi="宋体" w:hint="eastAsia"/>
          <w:bCs/>
        </w:rPr>
        <w:t>投资人应当在申购赎回代理券商办理基金申购、赎回业务的营业场所或按申购赎回代理券商提供的其他方式办理本基金的申购和赎回。</w:t>
      </w:r>
    </w:p>
    <w:p w:rsidR="006B305C" w:rsidRPr="006B305C" w:rsidRDefault="006B305C" w:rsidP="006B305C">
      <w:pPr>
        <w:pStyle w:val="HD"/>
        <w:rPr>
          <w:rFonts w:ascii="宋体" w:hAnsi="宋体"/>
          <w:bCs/>
        </w:rPr>
      </w:pPr>
      <w:r w:rsidRPr="006B305C">
        <w:rPr>
          <w:rFonts w:ascii="宋体" w:hAnsi="宋体" w:hint="eastAsia"/>
          <w:bCs/>
        </w:rPr>
        <w:t>具体的申购赎回代理券商将由基金管理人在基金管理人网站或相关文件列示，基金管理人可依据实际情况增加或减少申购赎回代理券商。</w:t>
      </w:r>
    </w:p>
    <w:p w:rsidR="00657FD7" w:rsidRDefault="006B305C" w:rsidP="00C045C8">
      <w:pPr>
        <w:pStyle w:val="HD"/>
        <w:rPr>
          <w:rFonts w:ascii="宋体" w:hAnsi="宋体"/>
          <w:bCs/>
        </w:rPr>
      </w:pPr>
      <w:r w:rsidRPr="006B305C">
        <w:rPr>
          <w:rFonts w:ascii="宋体" w:hAnsi="宋体" w:hint="eastAsia"/>
          <w:bCs/>
        </w:rPr>
        <w:t>在未来条件允许的情况下，基金管理人直销机构可以开通申购赎回业务，具体业务的办理时间及办理方式基金管理人将另行公告。</w:t>
      </w:r>
    </w:p>
    <w:p w:rsidR="00755195" w:rsidRPr="00755195" w:rsidRDefault="00657FD7" w:rsidP="00755195">
      <w:pPr>
        <w:pStyle w:val="HD"/>
        <w:rPr>
          <w:rFonts w:ascii="宋体" w:hAnsi="宋体"/>
          <w:bCs/>
        </w:rPr>
      </w:pPr>
      <w:r>
        <w:rPr>
          <w:rFonts w:ascii="宋体" w:hAnsi="宋体" w:hint="eastAsia"/>
          <w:bCs/>
        </w:rPr>
        <w:t>（二）</w:t>
      </w:r>
      <w:r w:rsidR="00755195" w:rsidRPr="00755195">
        <w:rPr>
          <w:rFonts w:ascii="宋体" w:hAnsi="宋体" w:hint="eastAsia"/>
          <w:bCs/>
        </w:rPr>
        <w:t>申购和赎回的原则</w:t>
      </w:r>
    </w:p>
    <w:p w:rsidR="00A214FF" w:rsidRPr="00A214FF" w:rsidRDefault="00A214FF" w:rsidP="00A214FF">
      <w:pPr>
        <w:pStyle w:val="HD"/>
        <w:rPr>
          <w:rFonts w:ascii="宋体" w:hAnsi="宋体"/>
          <w:bCs/>
        </w:rPr>
      </w:pPr>
      <w:r w:rsidRPr="00A214FF">
        <w:rPr>
          <w:rFonts w:ascii="宋体" w:hAnsi="宋体" w:hint="eastAsia"/>
          <w:bCs/>
        </w:rPr>
        <w:t>1、本基金采用份额申购和份额赎回的方式，即申购和赎回均以份额申请。</w:t>
      </w:r>
    </w:p>
    <w:p w:rsidR="00A214FF" w:rsidRPr="00A214FF" w:rsidRDefault="00A214FF" w:rsidP="00A214FF">
      <w:pPr>
        <w:pStyle w:val="HD"/>
        <w:rPr>
          <w:rFonts w:ascii="宋体" w:hAnsi="宋体"/>
          <w:bCs/>
        </w:rPr>
      </w:pPr>
      <w:r w:rsidRPr="00A214FF">
        <w:rPr>
          <w:rFonts w:ascii="宋体" w:hAnsi="宋体" w:hint="eastAsia"/>
          <w:bCs/>
        </w:rPr>
        <w:t>2、本基金的申购对价、赎回对价包括组合证券、现金替代、现金差额和/或其他对价。</w:t>
      </w:r>
    </w:p>
    <w:p w:rsidR="00A214FF" w:rsidRPr="00A214FF" w:rsidRDefault="00A214FF" w:rsidP="00A214FF">
      <w:pPr>
        <w:pStyle w:val="HD"/>
        <w:rPr>
          <w:rFonts w:ascii="宋体" w:hAnsi="宋体"/>
          <w:bCs/>
        </w:rPr>
      </w:pPr>
      <w:r w:rsidRPr="00A214FF">
        <w:rPr>
          <w:rFonts w:ascii="宋体" w:hAnsi="宋体" w:hint="eastAsia"/>
          <w:bCs/>
        </w:rPr>
        <w:t>3、申购、赎回申请提交后不得撤销。</w:t>
      </w:r>
    </w:p>
    <w:p w:rsidR="00A214FF" w:rsidRPr="00A214FF" w:rsidRDefault="00A214FF" w:rsidP="00A214FF">
      <w:pPr>
        <w:pStyle w:val="HD"/>
        <w:rPr>
          <w:rFonts w:ascii="宋体" w:hAnsi="宋体"/>
          <w:bCs/>
        </w:rPr>
      </w:pPr>
      <w:r w:rsidRPr="00A214FF">
        <w:rPr>
          <w:rFonts w:ascii="宋体" w:hAnsi="宋体" w:hint="eastAsia"/>
          <w:bCs/>
        </w:rPr>
        <w:t>4、申购、赎回应遵守《业务规则》的规定。</w:t>
      </w:r>
    </w:p>
    <w:p w:rsidR="00A214FF" w:rsidRPr="00A214FF" w:rsidRDefault="00A214FF" w:rsidP="00A214FF">
      <w:pPr>
        <w:pStyle w:val="HD"/>
        <w:rPr>
          <w:rFonts w:ascii="宋体" w:hAnsi="宋体"/>
          <w:bCs/>
        </w:rPr>
      </w:pPr>
      <w:r w:rsidRPr="00A214FF">
        <w:rPr>
          <w:rFonts w:ascii="宋体" w:hAnsi="宋体" w:hint="eastAsia"/>
          <w:bCs/>
        </w:rPr>
        <w:t>5、办理申购、赎回业务时，应当遵循基金份额持有人利益优先原则，确保投资者的合法权益不受损害并得到公平对待。</w:t>
      </w:r>
    </w:p>
    <w:p w:rsidR="00A214FF" w:rsidRDefault="00A214FF" w:rsidP="00A214FF">
      <w:pPr>
        <w:pStyle w:val="HD"/>
        <w:rPr>
          <w:rFonts w:ascii="宋体" w:hAnsi="宋体"/>
          <w:bCs/>
        </w:rPr>
      </w:pPr>
      <w:r w:rsidRPr="00A214FF">
        <w:rPr>
          <w:rFonts w:ascii="宋体" w:hAnsi="宋体" w:hint="eastAsia"/>
          <w:bCs/>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规定媒介上公告。</w:t>
      </w:r>
    </w:p>
    <w:p w:rsidR="00755195" w:rsidRPr="00755195" w:rsidRDefault="00657FD7" w:rsidP="00755195">
      <w:pPr>
        <w:pStyle w:val="HD"/>
        <w:rPr>
          <w:rFonts w:ascii="宋体" w:hAnsi="宋体"/>
          <w:bCs/>
        </w:rPr>
      </w:pPr>
      <w:r>
        <w:rPr>
          <w:rFonts w:ascii="宋体" w:hAnsi="宋体" w:hint="eastAsia"/>
          <w:bCs/>
        </w:rPr>
        <w:t>（三）</w:t>
      </w:r>
      <w:r w:rsidR="00755195" w:rsidRPr="00755195">
        <w:rPr>
          <w:rFonts w:ascii="宋体" w:hAnsi="宋体" w:hint="eastAsia"/>
          <w:bCs/>
        </w:rPr>
        <w:t>申购和赎回的程序</w:t>
      </w:r>
    </w:p>
    <w:p w:rsidR="00A214FF" w:rsidRPr="00A214FF" w:rsidRDefault="00A214FF" w:rsidP="00A214FF">
      <w:pPr>
        <w:pStyle w:val="HD"/>
        <w:rPr>
          <w:rFonts w:ascii="宋体" w:hAnsi="宋体"/>
          <w:bCs/>
        </w:rPr>
      </w:pPr>
      <w:r w:rsidRPr="00A214FF">
        <w:rPr>
          <w:rFonts w:ascii="宋体" w:hAnsi="宋体" w:hint="eastAsia"/>
          <w:bCs/>
        </w:rPr>
        <w:t>1、申购和赎回的申请方式</w:t>
      </w:r>
    </w:p>
    <w:p w:rsidR="00A214FF" w:rsidRPr="00A214FF" w:rsidRDefault="00A214FF" w:rsidP="00A214FF">
      <w:pPr>
        <w:pStyle w:val="HD"/>
        <w:rPr>
          <w:rFonts w:ascii="宋体" w:hAnsi="宋体"/>
          <w:bCs/>
        </w:rPr>
      </w:pPr>
      <w:r w:rsidRPr="00A214FF">
        <w:rPr>
          <w:rFonts w:ascii="宋体" w:hAnsi="宋体" w:hint="eastAsia"/>
          <w:bCs/>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rsidR="00A214FF" w:rsidRPr="00A214FF" w:rsidRDefault="00A214FF" w:rsidP="00A214FF">
      <w:pPr>
        <w:pStyle w:val="HD"/>
        <w:rPr>
          <w:rFonts w:ascii="宋体" w:hAnsi="宋体"/>
          <w:bCs/>
        </w:rPr>
      </w:pPr>
      <w:r w:rsidRPr="00A214FF">
        <w:rPr>
          <w:rFonts w:ascii="宋体" w:hAnsi="宋体" w:hint="eastAsia"/>
          <w:bCs/>
        </w:rPr>
        <w:t>2、申购和赎回申请的确认</w:t>
      </w:r>
    </w:p>
    <w:p w:rsidR="00A214FF" w:rsidRPr="00A214FF" w:rsidRDefault="00A214FF" w:rsidP="00A214FF">
      <w:pPr>
        <w:pStyle w:val="HD"/>
        <w:rPr>
          <w:rFonts w:ascii="宋体" w:hAnsi="宋体"/>
          <w:bCs/>
        </w:rPr>
      </w:pPr>
      <w:r w:rsidRPr="00A214FF">
        <w:rPr>
          <w:rFonts w:ascii="宋体" w:hAnsi="宋体" w:hint="eastAsia"/>
          <w:bCs/>
        </w:rPr>
        <w:t>正常情况下，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或投资人提交的赎回申请超过基金管理人设定的当日净赎回份额上限、当日累计赎回份额上限、单个账户当日净赎回份额上限或单个账户当日累计赎回份额上限，则赎回申请失败。</w:t>
      </w:r>
    </w:p>
    <w:p w:rsidR="00A214FF" w:rsidRPr="00A214FF" w:rsidRDefault="00A214FF" w:rsidP="00A214FF">
      <w:pPr>
        <w:pStyle w:val="HD"/>
        <w:rPr>
          <w:rFonts w:ascii="宋体" w:hAnsi="宋体"/>
          <w:bCs/>
        </w:rPr>
      </w:pPr>
      <w:r w:rsidRPr="00A214FF">
        <w:rPr>
          <w:rFonts w:ascii="宋体" w:hAnsi="宋体" w:hint="eastAsia"/>
          <w:bCs/>
        </w:rPr>
        <w:t>申购赎回代理券商对申购、赎回申请的受理并不代表该申请一定成功，而仅代表申购赎回代理券商确实接收到该申请。申购、赎回的确认以登记机构的确认结果为准。对于申购、赎回申请的确认情况，投资人应及时查询并妥善行使合法权利。</w:t>
      </w:r>
    </w:p>
    <w:p w:rsidR="00A214FF" w:rsidRPr="00A214FF" w:rsidRDefault="00A214FF" w:rsidP="00A214FF">
      <w:pPr>
        <w:pStyle w:val="HD"/>
        <w:rPr>
          <w:rFonts w:ascii="宋体" w:hAnsi="宋体"/>
          <w:bCs/>
        </w:rPr>
      </w:pPr>
      <w:r w:rsidRPr="00A214FF">
        <w:rPr>
          <w:rFonts w:ascii="宋体" w:hAnsi="宋体" w:hint="eastAsia"/>
          <w:bCs/>
        </w:rPr>
        <w:t>投资人可在申请当日通过其办理申购、赎回的申购赎回代理券商查询确认情况。</w:t>
      </w:r>
    </w:p>
    <w:p w:rsidR="00A214FF" w:rsidRPr="00A214FF" w:rsidRDefault="00A214FF" w:rsidP="00A214FF">
      <w:pPr>
        <w:pStyle w:val="HD"/>
        <w:rPr>
          <w:rFonts w:ascii="宋体" w:hAnsi="宋体"/>
          <w:bCs/>
        </w:rPr>
      </w:pPr>
      <w:r w:rsidRPr="00A214FF">
        <w:rPr>
          <w:rFonts w:ascii="宋体" w:hAnsi="宋体" w:hint="eastAsia"/>
          <w:bCs/>
        </w:rPr>
        <w:t>投资人申购的基金份额当日起可卖出，投资人赎回获得的股票当日起可卖出。</w:t>
      </w:r>
    </w:p>
    <w:p w:rsidR="00A214FF" w:rsidRPr="00A214FF" w:rsidRDefault="00A214FF" w:rsidP="00A214FF">
      <w:pPr>
        <w:pStyle w:val="HD"/>
        <w:rPr>
          <w:rFonts w:ascii="宋体" w:hAnsi="宋体"/>
          <w:bCs/>
        </w:rPr>
      </w:pPr>
      <w:r w:rsidRPr="00A214FF">
        <w:rPr>
          <w:rFonts w:ascii="宋体" w:hAnsi="宋体" w:hint="eastAsia"/>
          <w:bCs/>
        </w:rPr>
        <w:t>3、申购和赎回的清算交收与登记</w:t>
      </w:r>
    </w:p>
    <w:p w:rsidR="00A214FF" w:rsidRPr="00A214FF" w:rsidRDefault="00A214FF" w:rsidP="00A214FF">
      <w:pPr>
        <w:pStyle w:val="HD"/>
        <w:rPr>
          <w:rFonts w:ascii="宋体" w:hAnsi="宋体"/>
          <w:bCs/>
        </w:rPr>
      </w:pPr>
      <w:r w:rsidRPr="00A214FF">
        <w:rPr>
          <w:rFonts w:ascii="宋体" w:hAnsi="宋体" w:hint="eastAsia"/>
          <w:bCs/>
        </w:rPr>
        <w:t>本基金申购赎回过程中涉及的基金份额、组合证券、现金替代、现金差额及其他对价的清算交收适用《业务规则》和参与各方相关协议及其不时修订的有关规定。</w:t>
      </w:r>
    </w:p>
    <w:p w:rsidR="00A214FF" w:rsidRPr="00A214FF" w:rsidRDefault="00A214FF" w:rsidP="00A214FF">
      <w:pPr>
        <w:pStyle w:val="HD"/>
        <w:rPr>
          <w:rFonts w:ascii="宋体" w:hAnsi="宋体"/>
          <w:bCs/>
        </w:rPr>
      </w:pPr>
      <w:r w:rsidRPr="00A214FF">
        <w:rPr>
          <w:rFonts w:ascii="宋体" w:hAnsi="宋体" w:hint="eastAsia"/>
          <w:bCs/>
        </w:rPr>
        <w:t>对于本基金申购赎回业务涉及的基金份额、上海证券交易所上市的成份股及其现金替代、深圳证券交易所上市的成份股的现金替代采用净额结算；对于本基金申购赎回业务涉及的现金差额和现金替代退补款采用代收代付。</w:t>
      </w:r>
    </w:p>
    <w:p w:rsidR="00A214FF" w:rsidRPr="00A214FF" w:rsidRDefault="00A214FF" w:rsidP="00A214FF">
      <w:pPr>
        <w:pStyle w:val="HD"/>
        <w:rPr>
          <w:rFonts w:ascii="宋体" w:hAnsi="宋体"/>
          <w:bCs/>
        </w:rPr>
      </w:pPr>
      <w:r w:rsidRPr="00A214FF">
        <w:rPr>
          <w:rFonts w:ascii="宋体" w:hAnsi="宋体" w:hint="eastAsia"/>
          <w:bCs/>
        </w:rPr>
        <w:t>投资者T日申购成功后，登记机构在T日收市后为投资者办理基金份额与上海证券交易所上市的成份股的交收以及现金替代的清算；在T+1日办理现金替代的交收以及现金差额的清算，在T+2日办理现金差额的交收，并将结果发送给申购赎回代理券商、基金管理人和基金托管人。</w:t>
      </w:r>
    </w:p>
    <w:p w:rsidR="00A214FF" w:rsidRPr="00A214FF" w:rsidRDefault="00A214FF" w:rsidP="00A214FF">
      <w:pPr>
        <w:pStyle w:val="HD"/>
        <w:rPr>
          <w:rFonts w:ascii="宋体" w:hAnsi="宋体"/>
          <w:bCs/>
        </w:rPr>
      </w:pPr>
      <w:r w:rsidRPr="00A214FF">
        <w:rPr>
          <w:rFonts w:ascii="宋体" w:hAnsi="宋体" w:hint="eastAsia"/>
          <w:bCs/>
        </w:rPr>
        <w:t>投资者T日赎回成功后，登记机构在T日收市后为投资者办理基金份额的注销与上海证券交易所上市的成份股的交收以及现金替代的清算；在T+1日办理现金替代的交收以及现金差额的清算，在T+2日办理现金差额的交收，并将结果发送给申购赎回代理券商、基金管理人和基金托管人。</w:t>
      </w:r>
    </w:p>
    <w:p w:rsidR="00A214FF" w:rsidRPr="00A214FF" w:rsidRDefault="00A214FF" w:rsidP="00A214FF">
      <w:pPr>
        <w:pStyle w:val="HD"/>
        <w:rPr>
          <w:rFonts w:ascii="宋体" w:hAnsi="宋体"/>
          <w:bCs/>
        </w:rPr>
      </w:pPr>
      <w:r w:rsidRPr="00A214FF">
        <w:rPr>
          <w:rFonts w:ascii="宋体" w:hAnsi="宋体" w:hint="eastAsia"/>
          <w:bCs/>
        </w:rPr>
        <w:t>如果登记机构和基金管理人在清算交收时发现不能正常履约的情形，则依据《业务规则》和参与各方相关协议及其不时修订的有关规定进行处理。</w:t>
      </w:r>
    </w:p>
    <w:p w:rsidR="00A214FF" w:rsidRPr="00A214FF" w:rsidRDefault="00A214FF" w:rsidP="00A214FF">
      <w:pPr>
        <w:pStyle w:val="HD"/>
        <w:rPr>
          <w:rFonts w:ascii="宋体" w:hAnsi="宋体"/>
          <w:bCs/>
        </w:rPr>
      </w:pPr>
      <w:r w:rsidRPr="00A214FF">
        <w:rPr>
          <w:rFonts w:ascii="宋体" w:hAnsi="宋体" w:hint="eastAsia"/>
          <w:bCs/>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rsidR="00A214FF" w:rsidRPr="00A214FF" w:rsidRDefault="00A214FF" w:rsidP="00A214FF">
      <w:pPr>
        <w:pStyle w:val="HD"/>
        <w:rPr>
          <w:rFonts w:ascii="宋体" w:hAnsi="宋体"/>
          <w:bCs/>
        </w:rPr>
      </w:pPr>
      <w:r w:rsidRPr="00A214FF">
        <w:rPr>
          <w:rFonts w:ascii="宋体" w:hAnsi="宋体" w:hint="eastAsia"/>
          <w:bCs/>
        </w:rPr>
        <w:t>如上海证券交易所、中国证券登记结算有限责任公司修改或更新上述规则并适用于本基金的，则按照新的规则执行，并在招募说明书中进行更新。</w:t>
      </w:r>
    </w:p>
    <w:p w:rsidR="00A214FF" w:rsidRDefault="00A214FF" w:rsidP="00A214FF">
      <w:pPr>
        <w:pStyle w:val="HD"/>
        <w:rPr>
          <w:rFonts w:ascii="宋体" w:hAnsi="宋体"/>
          <w:bCs/>
        </w:rPr>
      </w:pPr>
      <w:r w:rsidRPr="00A214FF">
        <w:rPr>
          <w:rFonts w:ascii="宋体" w:hAnsi="宋体" w:hint="eastAsia"/>
          <w:bCs/>
        </w:rPr>
        <w:t>4、基金管理人、上海证券交易所和登记机构可在法律法规允许的范围内，对基金份额持有人利益不存在实质不利影响的前提下，对上述规则进行调整，并在开始实施前按照《信息披露办法》的有关规定在规定媒介上予以公告。</w:t>
      </w:r>
    </w:p>
    <w:p w:rsidR="00657FD7" w:rsidRDefault="00657FD7">
      <w:pPr>
        <w:pStyle w:val="HD"/>
        <w:rPr>
          <w:rFonts w:ascii="宋体" w:hAnsi="宋体"/>
          <w:bCs/>
        </w:rPr>
      </w:pPr>
      <w:r>
        <w:rPr>
          <w:rFonts w:ascii="宋体" w:hAnsi="宋体" w:hint="eastAsia"/>
          <w:bCs/>
        </w:rPr>
        <w:t>（四）申购、赎回的对价</w:t>
      </w:r>
    </w:p>
    <w:p w:rsidR="00D50955" w:rsidRPr="00D50955" w:rsidRDefault="00D50955" w:rsidP="00D50955">
      <w:pPr>
        <w:pStyle w:val="HD"/>
        <w:rPr>
          <w:rFonts w:ascii="宋体" w:hAnsi="宋体"/>
          <w:bCs/>
        </w:rPr>
      </w:pPr>
      <w:r w:rsidRPr="00D50955">
        <w:rPr>
          <w:rFonts w:ascii="宋体" w:hAnsi="宋体" w:hint="eastAsia"/>
          <w:bCs/>
        </w:rPr>
        <w:t>1、本基金份额净值的计算，保留到小数点后4位，小数点后第5位四舍五入，由此产生的收益或损失由基金财产承担。T日的基金份额净值在当天收市后计算，并在T+1日内公告，计算公式为计算日基金资产净值除以计算日发售在外的基金份额总数。遇特殊情况，经履行适当程序，可以适当延迟计算或公告。</w:t>
      </w:r>
    </w:p>
    <w:p w:rsidR="00D50955" w:rsidRPr="00D50955" w:rsidRDefault="00D50955" w:rsidP="00D50955">
      <w:pPr>
        <w:pStyle w:val="HD"/>
        <w:rPr>
          <w:rFonts w:ascii="宋体" w:hAnsi="宋体"/>
          <w:bCs/>
        </w:rPr>
      </w:pPr>
      <w:r w:rsidRPr="00D50955">
        <w:rPr>
          <w:rFonts w:ascii="宋体" w:hAnsi="宋体" w:hint="eastAsia"/>
          <w:bCs/>
        </w:rPr>
        <w:t>2、申购对价是指投资人申购基金份额时应交付的组合证券、现金替代、现金差额和/或其他对价。赎回对价是指基金份额持有人赎回基金份额时，基金管理人应交付的组合证券、现金替代、现金差额和/或其他对价。申购对价、赎回对价根据申购赎回清单和投资人申购、赎回的基金份额数额确定。</w:t>
      </w:r>
    </w:p>
    <w:p w:rsidR="00D50955" w:rsidRPr="00D50955" w:rsidRDefault="00D50955" w:rsidP="00D50955">
      <w:pPr>
        <w:pStyle w:val="HD"/>
        <w:rPr>
          <w:rFonts w:ascii="宋体" w:hAnsi="宋体"/>
          <w:bCs/>
        </w:rPr>
      </w:pPr>
      <w:r w:rsidRPr="00D50955">
        <w:rPr>
          <w:rFonts w:ascii="宋体" w:hAnsi="宋体" w:hint="eastAsia"/>
          <w:bCs/>
        </w:rPr>
        <w:t>3、申购赎回清单由基金管理人编制。T日的申购赎回清单在当日上海证券交易所开市前公告。</w:t>
      </w:r>
    </w:p>
    <w:p w:rsidR="00657FD7" w:rsidRDefault="00657FD7">
      <w:pPr>
        <w:spacing w:line="360" w:lineRule="auto"/>
        <w:rPr>
          <w:rFonts w:ascii="宋体" w:hAnsi="宋体"/>
          <w:szCs w:val="21"/>
        </w:rPr>
      </w:pPr>
      <w:bookmarkStart w:id="29" w:name="t_2_4_1_2822_a1_fm1"/>
      <w:bookmarkStart w:id="30" w:name="t_2_4_2_table"/>
      <w:bookmarkStart w:id="31" w:name="t_2_4_2_2843_a1_fm1"/>
      <w:bookmarkStart w:id="32" w:name="t_2_4_3_table"/>
      <w:bookmarkStart w:id="33" w:name="t_2_4_3_2823_a1_fm1"/>
      <w:bookmarkStart w:id="34" w:name="t_2_5_table"/>
      <w:bookmarkStart w:id="35" w:name="t_2_5_0179_a1_fm1"/>
      <w:bookmarkStart w:id="36" w:name="t_2_5_2824_a1_fm1"/>
      <w:bookmarkStart w:id="37" w:name="t_2_6_table"/>
      <w:bookmarkStart w:id="38" w:name="t_2_6_2825_a1_fm1"/>
      <w:bookmarkEnd w:id="29"/>
      <w:bookmarkEnd w:id="30"/>
      <w:bookmarkEnd w:id="31"/>
      <w:bookmarkEnd w:id="32"/>
      <w:bookmarkEnd w:id="33"/>
      <w:bookmarkEnd w:id="34"/>
      <w:bookmarkEnd w:id="35"/>
      <w:bookmarkEnd w:id="36"/>
      <w:bookmarkEnd w:id="37"/>
      <w:bookmarkEnd w:id="38"/>
    </w:p>
    <w:p w:rsidR="00657FD7" w:rsidRDefault="00657FD7" w:rsidP="00EA10F0">
      <w:pPr>
        <w:pStyle w:val="2"/>
        <w:spacing w:beforeLines="50" w:afterLines="50" w:line="240" w:lineRule="auto"/>
        <w:rPr>
          <w:rFonts w:ascii="宋体" w:eastAsia="宋体" w:hAnsi="宋体"/>
          <w:bCs/>
          <w:sz w:val="24"/>
          <w:szCs w:val="24"/>
        </w:rPr>
        <w:pPrChange w:id="39" w:author="ZHONGM" w:date="2024-12-24T00:04:00Z">
          <w:pPr>
            <w:pStyle w:val="2"/>
            <w:spacing w:beforeLines="50" w:afterLines="50" w:line="240" w:lineRule="auto"/>
          </w:pPr>
        </w:pPrChange>
      </w:pPr>
      <w:r>
        <w:rPr>
          <w:rFonts w:ascii="宋体" w:eastAsia="宋体" w:hAnsi="宋体" w:hint="eastAsia"/>
          <w:bCs/>
          <w:sz w:val="24"/>
          <w:szCs w:val="24"/>
        </w:rPr>
        <w:t>4</w:t>
      </w:r>
      <w:r>
        <w:rPr>
          <w:rFonts w:ascii="宋体" w:eastAsia="宋体" w:hAnsi="宋体"/>
          <w:bCs/>
          <w:sz w:val="24"/>
          <w:szCs w:val="24"/>
        </w:rPr>
        <w:t xml:space="preserve"> </w:t>
      </w:r>
      <w:r>
        <w:rPr>
          <w:rFonts w:ascii="宋体" w:eastAsia="宋体" w:hAnsi="宋体" w:hint="eastAsia"/>
          <w:bCs/>
          <w:sz w:val="24"/>
          <w:szCs w:val="24"/>
        </w:rPr>
        <w:t>基金销售机构</w:t>
      </w:r>
    </w:p>
    <w:p w:rsidR="00657FD7" w:rsidRDefault="00657FD7" w:rsidP="00C66CC1">
      <w:pPr>
        <w:pStyle w:val="HD"/>
        <w:rPr>
          <w:rFonts w:ascii="宋体" w:hAnsi="宋体"/>
          <w:bCs/>
        </w:rPr>
      </w:pPr>
      <w:bookmarkStart w:id="40" w:name="t_2_7_2833_a1_fm1"/>
      <w:bookmarkStart w:id="41" w:name="t_2_7_2834_a1_fm1"/>
      <w:bookmarkStart w:id="42" w:name="t_2_7_2835_a1_fm1"/>
      <w:bookmarkEnd w:id="40"/>
      <w:bookmarkEnd w:id="41"/>
      <w:bookmarkEnd w:id="42"/>
      <w:r>
        <w:rPr>
          <w:rFonts w:ascii="宋体" w:hAnsi="宋体" w:hint="eastAsia"/>
          <w:bCs/>
        </w:rPr>
        <w:t>本基金的申购赎回代理券商（一级交易商）包括：</w:t>
      </w:r>
      <w:r w:rsidR="00141EF7" w:rsidRPr="00141EF7">
        <w:rPr>
          <w:rFonts w:ascii="宋体" w:hAnsi="宋体" w:hint="eastAsia"/>
          <w:bCs/>
        </w:rPr>
        <w:t>渤海证券股份有限公司、财达证券股份有限公司、财通证券股份有限公司、大同证券有限责任公司、德邦证券股份有限公司、东北证券股份有限公司、东方财富证券股份有限公司、东莞证券</w:t>
      </w:r>
      <w:bookmarkStart w:id="43" w:name="_GoBack"/>
      <w:bookmarkEnd w:id="43"/>
      <w:r w:rsidR="00141EF7" w:rsidRPr="00141EF7">
        <w:rPr>
          <w:rFonts w:ascii="宋体" w:hAnsi="宋体" w:hint="eastAsia"/>
          <w:bCs/>
        </w:rPr>
        <w:t>股份有限公司、东海证券股份有限公司、东吴证券股份有限公司、东兴证券股份有限公司、方正证券股份有限公司、光大证券股份有限公司、广发证券股份有限公司、国海证券股份有限公司、国金证券股份有限公司、国联证券股份有限公司、国盛证券有限责任公司、国泰君安证券股份有限公司、国投证券股份有限公司、国新证券股份有限公司、国信证券股份有限公司、海通证券股份有限公司、恒泰证券股份有限公司、红塔证券股份有限公司、华安证券股份有限公司、华宝证券股份有限公司、华创证券有限责任公司、华福证券有限责任公司、华龙证券股份有限公司、华泰证券股份有限公司、华西证券股份有限公司、江海证券有限公司、开源证券股份有限公司、联储证券股份有限公司、民生证券股份有限公司、南京证券股份有限公司、平安证券股份有限公司、山西证券股份有限公司、上海证券有限责任公司、申万宏源证券有限公司、申万宏源西部证券有限公司、天风证券股份有限公司、万和证券股份有限公司、万联证券股份有限公司、西部证券股份有限公司、西南证券股份有限公司、湘财证券股份有限公司、兴业证券股份有限公司、中国银河证券股份有限公司、长城证券股份有限公司、长江证券股份有限公司、招商证券股份有限公司、浙商证券股份有限公司、中航证券有限公司、中国中金财富证券有限公司、中国国际金融股份有限公司、中泰证券股份有限公司、中信建投证券股份有限公司、中信证券股份有限公司、中信证券（山东）有限责任公司、中信证券华南股份有限公司、中银国际证券股份有限公司、中原证券股份有限公司</w:t>
      </w:r>
      <w:r w:rsidR="00CE26ED" w:rsidRPr="00CE26ED">
        <w:rPr>
          <w:rFonts w:ascii="宋体" w:hAnsi="宋体" w:hint="eastAsia"/>
          <w:bCs/>
        </w:rPr>
        <w:t>（排名不分先后）。</w:t>
      </w:r>
    </w:p>
    <w:p w:rsidR="00657FD7" w:rsidRDefault="00657FD7">
      <w:pPr>
        <w:pStyle w:val="HD"/>
        <w:rPr>
          <w:rFonts w:ascii="宋体" w:hAnsi="宋体"/>
          <w:bCs/>
        </w:rPr>
      </w:pPr>
      <w:r>
        <w:rPr>
          <w:rFonts w:ascii="宋体" w:hAnsi="宋体" w:hint="eastAsia"/>
          <w:bCs/>
        </w:rPr>
        <w:t>基金管理人可依据实际情况增加或减少申购赎回代理券商。</w:t>
      </w:r>
    </w:p>
    <w:p w:rsidR="00657FD7" w:rsidRDefault="00657FD7">
      <w:pPr>
        <w:spacing w:line="360" w:lineRule="auto"/>
        <w:ind w:firstLineChars="200" w:firstLine="420"/>
        <w:jc w:val="left"/>
        <w:rPr>
          <w:rFonts w:ascii="宋体" w:hAnsi="宋体"/>
          <w:szCs w:val="21"/>
        </w:rPr>
      </w:pPr>
    </w:p>
    <w:p w:rsidR="00657FD7" w:rsidRDefault="00657FD7" w:rsidP="00EA10F0">
      <w:pPr>
        <w:pStyle w:val="2"/>
        <w:spacing w:beforeLines="50" w:afterLines="50" w:line="240" w:lineRule="auto"/>
        <w:jc w:val="left"/>
        <w:rPr>
          <w:rFonts w:ascii="宋体" w:eastAsia="宋体" w:hAnsi="宋体"/>
          <w:bCs/>
          <w:sz w:val="24"/>
          <w:szCs w:val="24"/>
        </w:rPr>
        <w:pPrChange w:id="44" w:author="ZHONGM" w:date="2024-12-24T00:04:00Z">
          <w:pPr>
            <w:pStyle w:val="2"/>
            <w:spacing w:beforeLines="50" w:afterLines="50" w:line="240" w:lineRule="auto"/>
            <w:jc w:val="left"/>
          </w:pPr>
        </w:pPrChange>
      </w:pPr>
      <w:r>
        <w:rPr>
          <w:rFonts w:ascii="宋体" w:eastAsia="宋体" w:hAnsi="宋体" w:hint="eastAsia"/>
          <w:bCs/>
          <w:sz w:val="24"/>
          <w:szCs w:val="24"/>
        </w:rPr>
        <w:t>5</w:t>
      </w:r>
      <w:bookmarkStart w:id="45" w:name="t_2_8_table"/>
      <w:bookmarkEnd w:id="45"/>
      <w:r>
        <w:rPr>
          <w:rFonts w:ascii="宋体" w:eastAsia="宋体" w:hAnsi="宋体"/>
          <w:bCs/>
          <w:sz w:val="24"/>
          <w:szCs w:val="24"/>
        </w:rPr>
        <w:t xml:space="preserve"> </w:t>
      </w:r>
      <w:r>
        <w:rPr>
          <w:rFonts w:ascii="宋体" w:eastAsia="宋体" w:hAnsi="宋体" w:hint="eastAsia"/>
          <w:bCs/>
          <w:sz w:val="24"/>
          <w:szCs w:val="24"/>
        </w:rPr>
        <w:t>基金份额净值公告/基金收益公告的披露安排</w:t>
      </w:r>
    </w:p>
    <w:p w:rsidR="00D50955" w:rsidRDefault="00D50955" w:rsidP="00D50955">
      <w:pPr>
        <w:pStyle w:val="HD"/>
      </w:pPr>
      <w:bookmarkStart w:id="46" w:name="t_2_8_2756_a1_fm1"/>
      <w:bookmarkEnd w:id="46"/>
      <w:r>
        <w:rPr>
          <w:rFonts w:hint="eastAsia"/>
        </w:rPr>
        <w:t>在开始办理基金份额申购或者赎回后，基金管理人应当在不晚于每个开放日的次日，通过规定网站、基金销售机构网站或者营业网点披露开放日的基金份额净值和基金份额累计净值。</w:t>
      </w:r>
    </w:p>
    <w:p w:rsidR="00D50955" w:rsidRDefault="00D50955" w:rsidP="00D50955">
      <w:pPr>
        <w:pStyle w:val="HD"/>
      </w:pPr>
      <w:r>
        <w:rPr>
          <w:rFonts w:hint="eastAsia"/>
        </w:rPr>
        <w:t>基金管理人应当在不晚于半年度和年度最后一日的次日，在规定网站披露半年度和年度最后一日的基金份额净值和基金份额累计净值。</w:t>
      </w:r>
    </w:p>
    <w:p w:rsidR="00844415" w:rsidRDefault="00844415" w:rsidP="00E35359">
      <w:pPr>
        <w:pStyle w:val="HD"/>
      </w:pPr>
    </w:p>
    <w:p w:rsidR="00657FD7" w:rsidRDefault="00657FD7" w:rsidP="00EA10F0">
      <w:pPr>
        <w:pStyle w:val="2"/>
        <w:spacing w:beforeLines="50" w:afterLines="50" w:line="240" w:lineRule="auto"/>
        <w:rPr>
          <w:rFonts w:ascii="宋体" w:eastAsia="宋体" w:hAnsi="宋体"/>
          <w:bCs/>
          <w:sz w:val="24"/>
          <w:szCs w:val="24"/>
        </w:rPr>
        <w:pPrChange w:id="47" w:author="ZHONGM" w:date="2024-12-24T00:04:00Z">
          <w:pPr>
            <w:pStyle w:val="2"/>
            <w:spacing w:beforeLines="50" w:afterLines="50" w:line="240" w:lineRule="auto"/>
          </w:pPr>
        </w:pPrChange>
      </w:pPr>
      <w:r>
        <w:rPr>
          <w:rFonts w:ascii="宋体" w:eastAsia="宋体" w:hAnsi="宋体" w:hint="eastAsia"/>
          <w:bCs/>
          <w:sz w:val="24"/>
          <w:szCs w:val="24"/>
        </w:rPr>
        <w:t>6</w:t>
      </w:r>
      <w:bookmarkStart w:id="48" w:name="t_2_9_table"/>
      <w:bookmarkEnd w:id="48"/>
      <w:r>
        <w:rPr>
          <w:rFonts w:ascii="宋体" w:eastAsia="宋体" w:hAnsi="宋体"/>
          <w:bCs/>
          <w:sz w:val="24"/>
          <w:szCs w:val="24"/>
        </w:rPr>
        <w:t xml:space="preserve"> </w:t>
      </w:r>
      <w:r>
        <w:rPr>
          <w:rFonts w:ascii="宋体" w:eastAsia="宋体" w:hAnsi="宋体" w:hint="eastAsia"/>
          <w:bCs/>
          <w:sz w:val="24"/>
          <w:szCs w:val="24"/>
        </w:rPr>
        <w:t>其他需要提示的事项</w:t>
      </w:r>
    </w:p>
    <w:p w:rsidR="00657FD7" w:rsidRDefault="00657FD7" w:rsidP="00004844">
      <w:pPr>
        <w:pStyle w:val="HD"/>
        <w:snapToGrid/>
        <w:rPr>
          <w:rFonts w:ascii="宋体" w:hAnsi="宋体"/>
          <w:bCs/>
        </w:rPr>
      </w:pPr>
      <w:bookmarkStart w:id="49" w:name="t_2_9_2646_a1_fm1"/>
      <w:bookmarkEnd w:id="49"/>
      <w:r>
        <w:rPr>
          <w:rFonts w:ascii="宋体" w:hAnsi="宋体" w:hint="eastAsia"/>
          <w:bCs/>
        </w:rPr>
        <w:t>（一）本公告仅对本基金开放日常申购与赎回业务的有关事项和规定予以说明。投资人欲了解本基金的详细情况，请详细阅读本基金《</w:t>
      </w:r>
      <w:r w:rsidR="006966A3">
        <w:rPr>
          <w:rFonts w:ascii="宋体" w:hAnsi="宋体" w:hint="eastAsia"/>
          <w:bCs/>
        </w:rPr>
        <w:t>南方中证A100交易型开放式指数证券投资基金</w:t>
      </w:r>
      <w:r>
        <w:rPr>
          <w:rFonts w:ascii="宋体" w:hAnsi="宋体" w:hint="eastAsia"/>
          <w:bCs/>
        </w:rPr>
        <w:t>基金合同</w:t>
      </w:r>
      <w:r>
        <w:rPr>
          <w:rFonts w:ascii="宋体" w:hAnsi="宋体"/>
          <w:bCs/>
        </w:rPr>
        <w:t>》、《</w:t>
      </w:r>
      <w:r w:rsidR="006966A3">
        <w:rPr>
          <w:rFonts w:ascii="宋体" w:hAnsi="宋体" w:hint="eastAsia"/>
          <w:bCs/>
        </w:rPr>
        <w:t>南方中证A100交易型开放式指数证券投资基金</w:t>
      </w:r>
      <w:r>
        <w:rPr>
          <w:rFonts w:ascii="宋体" w:hAnsi="宋体"/>
          <w:bCs/>
        </w:rPr>
        <w:t>招募说明书》。</w:t>
      </w:r>
    </w:p>
    <w:p w:rsidR="00657FD7" w:rsidRDefault="00657FD7" w:rsidP="008F2FE3">
      <w:pPr>
        <w:pStyle w:val="HD"/>
        <w:snapToGrid/>
        <w:rPr>
          <w:rFonts w:ascii="宋体" w:hAnsi="宋体"/>
          <w:bCs/>
        </w:rPr>
      </w:pPr>
      <w:r>
        <w:rPr>
          <w:rFonts w:ascii="宋体" w:hAnsi="宋体" w:hint="eastAsia"/>
          <w:bCs/>
        </w:rPr>
        <w:t>（二）未开设销售网点地区的投资人，及希望了解其它有关信息和本基金的详细情况的投资人，可以登录本基金管理人网站（</w:t>
      </w:r>
      <w:r>
        <w:rPr>
          <w:rFonts w:ascii="宋体" w:hAnsi="宋体"/>
          <w:bCs/>
        </w:rPr>
        <w:t>www.nffund.com）或拨打本基金管理人的客服热线（400－889－8899）。</w:t>
      </w:r>
    </w:p>
    <w:p w:rsidR="00657FD7" w:rsidRDefault="00657FD7" w:rsidP="00FB1AE3">
      <w:pPr>
        <w:pStyle w:val="HD"/>
        <w:snapToGrid/>
        <w:rPr>
          <w:rFonts w:ascii="宋体" w:hAnsi="宋体"/>
          <w:bCs/>
        </w:rPr>
      </w:pPr>
      <w:r>
        <w:rPr>
          <w:rFonts w:ascii="宋体" w:hAnsi="宋体" w:hint="eastAsia"/>
          <w:bCs/>
        </w:rPr>
        <w:t>（</w:t>
      </w:r>
      <w:r w:rsidR="006B3E92">
        <w:rPr>
          <w:rFonts w:ascii="宋体" w:hAnsi="宋体" w:hint="eastAsia"/>
          <w:bCs/>
        </w:rPr>
        <w:t>三</w:t>
      </w:r>
      <w:r>
        <w:rPr>
          <w:rFonts w:ascii="宋体" w:hAnsi="宋体" w:hint="eastAsia"/>
          <w:bCs/>
        </w:rPr>
        <w:t>）由于各销售机构系统及业务安排等原因，可能开展上述业务的时间有所不同，投资人应以各销售机构具体规定的时间为准。</w:t>
      </w:r>
    </w:p>
    <w:p w:rsidR="00657FD7" w:rsidRDefault="00657FD7" w:rsidP="00702A62">
      <w:pPr>
        <w:pStyle w:val="HD"/>
        <w:snapToGrid/>
        <w:rPr>
          <w:rFonts w:ascii="宋体" w:hAnsi="宋体"/>
          <w:bCs/>
        </w:rPr>
      </w:pPr>
      <w:r>
        <w:rPr>
          <w:rFonts w:ascii="宋体" w:hAnsi="宋体" w:hint="eastAsia"/>
          <w:bCs/>
        </w:rPr>
        <w:t>（</w:t>
      </w:r>
      <w:r w:rsidR="006B3E92">
        <w:rPr>
          <w:rFonts w:ascii="宋体" w:hAnsi="宋体" w:hint="eastAsia"/>
          <w:bCs/>
        </w:rPr>
        <w:t>四</w:t>
      </w:r>
      <w:r>
        <w:rPr>
          <w:rFonts w:ascii="宋体" w:hAnsi="宋体" w:hint="eastAsia"/>
          <w:bCs/>
        </w:rPr>
        <w:t>）风险提示：基金管理人承诺以诚实信用、勤勉尽责的原则管理和运用基金资产，但不保证基金一定盈利，也不保证最低收益。基金的过往业绩并不代表其未来表现。投资有风险，敬请投资人认真阅读基金的相关法律文件，并选择适合自身风险承受能力的投资品种进行投资。</w:t>
      </w:r>
    </w:p>
    <w:p w:rsidR="00657FD7" w:rsidRDefault="00657FD7">
      <w:pPr>
        <w:pStyle w:val="HD"/>
        <w:rPr>
          <w:rFonts w:ascii="宋体" w:hAnsi="宋体"/>
          <w:bCs/>
        </w:rPr>
      </w:pPr>
    </w:p>
    <w:p w:rsidR="00657FD7" w:rsidRDefault="00657FD7" w:rsidP="00BA5827">
      <w:pPr>
        <w:pStyle w:val="HD"/>
        <w:rPr>
          <w:rFonts w:ascii="宋体" w:hAnsi="宋体"/>
        </w:rPr>
      </w:pPr>
      <w:r>
        <w:rPr>
          <w:rFonts w:ascii="宋体" w:hAnsi="宋体"/>
          <w:bCs/>
        </w:rPr>
        <w:t>特此公告。</w:t>
      </w:r>
    </w:p>
    <w:p w:rsidR="00657FD7" w:rsidRDefault="00657FD7">
      <w:pPr>
        <w:spacing w:line="360" w:lineRule="auto"/>
        <w:ind w:firstLineChars="200" w:firstLine="420"/>
        <w:jc w:val="left"/>
        <w:rPr>
          <w:rFonts w:ascii="宋体" w:hAnsi="宋体"/>
          <w:szCs w:val="21"/>
        </w:rPr>
      </w:pPr>
    </w:p>
    <w:p w:rsidR="00657FD7" w:rsidRDefault="00657FD7">
      <w:pPr>
        <w:spacing w:line="360" w:lineRule="auto"/>
        <w:jc w:val="right"/>
        <w:rPr>
          <w:rFonts w:ascii="宋体" w:hAnsi="宋体"/>
          <w:szCs w:val="21"/>
        </w:rPr>
      </w:pPr>
      <w:r>
        <w:rPr>
          <w:rFonts w:ascii="宋体" w:hAnsi="宋体" w:hint="eastAsia"/>
          <w:sz w:val="24"/>
          <w:szCs w:val="30"/>
        </w:rPr>
        <w:t>南方基金管理股份有限公司</w:t>
      </w:r>
      <w:r>
        <w:rPr>
          <w:rFonts w:ascii="宋体" w:hAnsi="宋体" w:hint="eastAsia"/>
          <w:sz w:val="24"/>
          <w:szCs w:val="30"/>
        </w:rPr>
        <w:cr/>
      </w:r>
      <w:r w:rsidR="00814820">
        <w:rPr>
          <w:rFonts w:ascii="宋体" w:hAnsi="宋体" w:hint="eastAsia"/>
          <w:sz w:val="24"/>
          <w:szCs w:val="30"/>
        </w:rPr>
        <w:t>202</w:t>
      </w:r>
      <w:r w:rsidR="00272124">
        <w:rPr>
          <w:rFonts w:ascii="宋体" w:hAnsi="宋体"/>
          <w:sz w:val="24"/>
          <w:szCs w:val="30"/>
        </w:rPr>
        <w:t>4</w:t>
      </w:r>
      <w:r w:rsidR="006B4E18">
        <w:rPr>
          <w:rFonts w:ascii="宋体" w:hAnsi="宋体" w:hint="eastAsia"/>
          <w:sz w:val="24"/>
          <w:szCs w:val="30"/>
        </w:rPr>
        <w:t>年</w:t>
      </w:r>
      <w:r w:rsidR="00141EF7">
        <w:rPr>
          <w:rFonts w:ascii="宋体" w:hAnsi="宋体" w:hint="eastAsia"/>
          <w:sz w:val="24"/>
          <w:szCs w:val="30"/>
        </w:rPr>
        <w:t>12</w:t>
      </w:r>
      <w:r w:rsidR="006B4E18">
        <w:rPr>
          <w:rFonts w:ascii="宋体" w:hAnsi="宋体" w:hint="eastAsia"/>
          <w:sz w:val="24"/>
          <w:szCs w:val="30"/>
        </w:rPr>
        <w:t>月</w:t>
      </w:r>
      <w:r w:rsidR="00141EF7">
        <w:rPr>
          <w:rFonts w:ascii="宋体" w:hAnsi="宋体" w:hint="eastAsia"/>
          <w:sz w:val="24"/>
          <w:szCs w:val="30"/>
        </w:rPr>
        <w:t>24</w:t>
      </w:r>
      <w:r w:rsidR="006B4E18">
        <w:rPr>
          <w:rFonts w:ascii="宋体" w:hAnsi="宋体" w:hint="eastAsia"/>
          <w:sz w:val="24"/>
          <w:szCs w:val="30"/>
        </w:rPr>
        <w:t>日</w:t>
      </w:r>
    </w:p>
    <w:sectPr w:rsidR="00657FD7" w:rsidSect="003D104B">
      <w:headerReference w:type="default" r:id="rId6"/>
      <w:footerReference w:type="default" r:id="rId7"/>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ECC" w:rsidRDefault="00276ECC">
      <w:r>
        <w:separator/>
      </w:r>
    </w:p>
  </w:endnote>
  <w:endnote w:type="continuationSeparator" w:id="0">
    <w:p w:rsidR="00276ECC" w:rsidRDefault="00276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D7" w:rsidRDefault="00657FD7">
    <w:pPr>
      <w:pStyle w:val="a6"/>
      <w:jc w:val="center"/>
    </w:pPr>
    <w:r>
      <w:rPr>
        <w:rFonts w:hint="eastAsia"/>
      </w:rPr>
      <w:t>第</w:t>
    </w:r>
    <w:r>
      <w:rPr>
        <w:rFonts w:hint="eastAsia"/>
      </w:rPr>
      <w:t xml:space="preserve"> </w:t>
    </w:r>
    <w:r w:rsidR="003D104B">
      <w:fldChar w:fldCharType="begin"/>
    </w:r>
    <w:r>
      <w:instrText xml:space="preserve"> </w:instrText>
    </w:r>
    <w:r>
      <w:rPr>
        <w:rFonts w:hint="eastAsia"/>
      </w:rPr>
      <w:instrText>PAGE   \* MERGEFORMAT</w:instrText>
    </w:r>
    <w:r>
      <w:instrText xml:space="preserve"> </w:instrText>
    </w:r>
    <w:r w:rsidR="003D104B">
      <w:fldChar w:fldCharType="separate"/>
    </w:r>
    <w:r w:rsidR="00EA10F0">
      <w:rPr>
        <w:noProof/>
      </w:rPr>
      <w:t>1</w:t>
    </w:r>
    <w:r w:rsidR="003D104B">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EA10F0">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ECC" w:rsidRDefault="00276ECC">
      <w:r>
        <w:separator/>
      </w:r>
    </w:p>
  </w:footnote>
  <w:footnote w:type="continuationSeparator" w:id="0">
    <w:p w:rsidR="00276ECC" w:rsidRDefault="00276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D7" w:rsidRDefault="00657FD7">
    <w:pPr>
      <w:pStyle w:val="a8"/>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844"/>
    <w:rsid w:val="00005855"/>
    <w:rsid w:val="00016BF9"/>
    <w:rsid w:val="000230BA"/>
    <w:rsid w:val="00031013"/>
    <w:rsid w:val="000374D1"/>
    <w:rsid w:val="000422DA"/>
    <w:rsid w:val="00043EF1"/>
    <w:rsid w:val="000573A2"/>
    <w:rsid w:val="00071A8D"/>
    <w:rsid w:val="00085552"/>
    <w:rsid w:val="00093894"/>
    <w:rsid w:val="000939D6"/>
    <w:rsid w:val="000A132C"/>
    <w:rsid w:val="000B02BA"/>
    <w:rsid w:val="000B5A12"/>
    <w:rsid w:val="000D5F78"/>
    <w:rsid w:val="000F540F"/>
    <w:rsid w:val="000F60D4"/>
    <w:rsid w:val="0010307C"/>
    <w:rsid w:val="00112602"/>
    <w:rsid w:val="00114725"/>
    <w:rsid w:val="0012174F"/>
    <w:rsid w:val="00124091"/>
    <w:rsid w:val="00132AE5"/>
    <w:rsid w:val="00134048"/>
    <w:rsid w:val="0013442B"/>
    <w:rsid w:val="001351FF"/>
    <w:rsid w:val="00140D03"/>
    <w:rsid w:val="00141070"/>
    <w:rsid w:val="00141EF7"/>
    <w:rsid w:val="00142BB3"/>
    <w:rsid w:val="0014558A"/>
    <w:rsid w:val="00146449"/>
    <w:rsid w:val="001467EC"/>
    <w:rsid w:val="00152647"/>
    <w:rsid w:val="00157557"/>
    <w:rsid w:val="00167883"/>
    <w:rsid w:val="00172A27"/>
    <w:rsid w:val="00183B3C"/>
    <w:rsid w:val="001919A9"/>
    <w:rsid w:val="001965AA"/>
    <w:rsid w:val="001A10AC"/>
    <w:rsid w:val="001A5602"/>
    <w:rsid w:val="001B2257"/>
    <w:rsid w:val="001B6BBE"/>
    <w:rsid w:val="001E1A94"/>
    <w:rsid w:val="001E44D1"/>
    <w:rsid w:val="001F5B53"/>
    <w:rsid w:val="00206828"/>
    <w:rsid w:val="002224EF"/>
    <w:rsid w:val="00245E08"/>
    <w:rsid w:val="00272124"/>
    <w:rsid w:val="00276ECC"/>
    <w:rsid w:val="002824E2"/>
    <w:rsid w:val="00282FF4"/>
    <w:rsid w:val="00286537"/>
    <w:rsid w:val="00296E09"/>
    <w:rsid w:val="002A6BFF"/>
    <w:rsid w:val="002D679F"/>
    <w:rsid w:val="002F185B"/>
    <w:rsid w:val="002F3E93"/>
    <w:rsid w:val="00303467"/>
    <w:rsid w:val="00306E91"/>
    <w:rsid w:val="00321072"/>
    <w:rsid w:val="0033725C"/>
    <w:rsid w:val="003725E3"/>
    <w:rsid w:val="00380D38"/>
    <w:rsid w:val="0038307F"/>
    <w:rsid w:val="00390D2F"/>
    <w:rsid w:val="00390E2D"/>
    <w:rsid w:val="00391BFA"/>
    <w:rsid w:val="003929FA"/>
    <w:rsid w:val="0039345F"/>
    <w:rsid w:val="003A3C34"/>
    <w:rsid w:val="003B3C85"/>
    <w:rsid w:val="003B4DB7"/>
    <w:rsid w:val="003B7230"/>
    <w:rsid w:val="003D03D6"/>
    <w:rsid w:val="003D0EF7"/>
    <w:rsid w:val="003D104B"/>
    <w:rsid w:val="003D31DF"/>
    <w:rsid w:val="003E20BA"/>
    <w:rsid w:val="003E288A"/>
    <w:rsid w:val="003F3A9D"/>
    <w:rsid w:val="003F4BCD"/>
    <w:rsid w:val="00410802"/>
    <w:rsid w:val="00411942"/>
    <w:rsid w:val="004176C8"/>
    <w:rsid w:val="00421385"/>
    <w:rsid w:val="004226DE"/>
    <w:rsid w:val="0042311A"/>
    <w:rsid w:val="00430CDB"/>
    <w:rsid w:val="00430F4A"/>
    <w:rsid w:val="00447511"/>
    <w:rsid w:val="00447A14"/>
    <w:rsid w:val="004546A6"/>
    <w:rsid w:val="00471416"/>
    <w:rsid w:val="0047407F"/>
    <w:rsid w:val="00490C83"/>
    <w:rsid w:val="004B047B"/>
    <w:rsid w:val="004B3108"/>
    <w:rsid w:val="004D3A03"/>
    <w:rsid w:val="004D4D43"/>
    <w:rsid w:val="004D518F"/>
    <w:rsid w:val="004E0511"/>
    <w:rsid w:val="004F631D"/>
    <w:rsid w:val="004F6813"/>
    <w:rsid w:val="004F6C46"/>
    <w:rsid w:val="005122EC"/>
    <w:rsid w:val="00512FBF"/>
    <w:rsid w:val="00525507"/>
    <w:rsid w:val="005346A3"/>
    <w:rsid w:val="00535F70"/>
    <w:rsid w:val="00546C01"/>
    <w:rsid w:val="00547D5E"/>
    <w:rsid w:val="00552FEF"/>
    <w:rsid w:val="00572F78"/>
    <w:rsid w:val="0058045C"/>
    <w:rsid w:val="00597B91"/>
    <w:rsid w:val="005A6D2F"/>
    <w:rsid w:val="005B07A7"/>
    <w:rsid w:val="005B69A8"/>
    <w:rsid w:val="005C1749"/>
    <w:rsid w:val="005D696E"/>
    <w:rsid w:val="005D699D"/>
    <w:rsid w:val="00601B20"/>
    <w:rsid w:val="00603656"/>
    <w:rsid w:val="006103CD"/>
    <w:rsid w:val="006105FA"/>
    <w:rsid w:val="00610A38"/>
    <w:rsid w:val="00614CF6"/>
    <w:rsid w:val="00621BD8"/>
    <w:rsid w:val="00626FCC"/>
    <w:rsid w:val="00652F05"/>
    <w:rsid w:val="0065499E"/>
    <w:rsid w:val="00654F7B"/>
    <w:rsid w:val="00654FFE"/>
    <w:rsid w:val="00657FD7"/>
    <w:rsid w:val="0066206E"/>
    <w:rsid w:val="006774AE"/>
    <w:rsid w:val="00682E27"/>
    <w:rsid w:val="006966A3"/>
    <w:rsid w:val="006A2F66"/>
    <w:rsid w:val="006B305C"/>
    <w:rsid w:val="006B3E92"/>
    <w:rsid w:val="006B4E18"/>
    <w:rsid w:val="006C3A27"/>
    <w:rsid w:val="006D61E4"/>
    <w:rsid w:val="006E0164"/>
    <w:rsid w:val="006E1887"/>
    <w:rsid w:val="006F7679"/>
    <w:rsid w:val="00702A62"/>
    <w:rsid w:val="007125F9"/>
    <w:rsid w:val="007206D1"/>
    <w:rsid w:val="00755195"/>
    <w:rsid w:val="00771164"/>
    <w:rsid w:val="00771CFD"/>
    <w:rsid w:val="00777598"/>
    <w:rsid w:val="00782D1C"/>
    <w:rsid w:val="0078439C"/>
    <w:rsid w:val="00790DCA"/>
    <w:rsid w:val="00790F4D"/>
    <w:rsid w:val="00792142"/>
    <w:rsid w:val="007947C3"/>
    <w:rsid w:val="007B159C"/>
    <w:rsid w:val="007C1717"/>
    <w:rsid w:val="007D3773"/>
    <w:rsid w:val="007E0498"/>
    <w:rsid w:val="007F2E43"/>
    <w:rsid w:val="00802764"/>
    <w:rsid w:val="00805A86"/>
    <w:rsid w:val="00813578"/>
    <w:rsid w:val="00813E8B"/>
    <w:rsid w:val="00814820"/>
    <w:rsid w:val="00820DA3"/>
    <w:rsid w:val="00830365"/>
    <w:rsid w:val="0083749B"/>
    <w:rsid w:val="00844415"/>
    <w:rsid w:val="0084676B"/>
    <w:rsid w:val="00864EEB"/>
    <w:rsid w:val="008678BE"/>
    <w:rsid w:val="00877367"/>
    <w:rsid w:val="008820C6"/>
    <w:rsid w:val="008941D3"/>
    <w:rsid w:val="008A39FF"/>
    <w:rsid w:val="008A5675"/>
    <w:rsid w:val="008A581A"/>
    <w:rsid w:val="008B5D18"/>
    <w:rsid w:val="008B750A"/>
    <w:rsid w:val="008B7D46"/>
    <w:rsid w:val="008C1568"/>
    <w:rsid w:val="008D08A2"/>
    <w:rsid w:val="008D455A"/>
    <w:rsid w:val="008E49A0"/>
    <w:rsid w:val="008F2FE3"/>
    <w:rsid w:val="008F6EEF"/>
    <w:rsid w:val="008F7030"/>
    <w:rsid w:val="009041CE"/>
    <w:rsid w:val="00905C56"/>
    <w:rsid w:val="00907DB1"/>
    <w:rsid w:val="00910A54"/>
    <w:rsid w:val="00914D09"/>
    <w:rsid w:val="009159F4"/>
    <w:rsid w:val="009216E9"/>
    <w:rsid w:val="0093476B"/>
    <w:rsid w:val="00936051"/>
    <w:rsid w:val="00955621"/>
    <w:rsid w:val="0096253D"/>
    <w:rsid w:val="0097134F"/>
    <w:rsid w:val="00973E02"/>
    <w:rsid w:val="0097687B"/>
    <w:rsid w:val="00977862"/>
    <w:rsid w:val="00992B58"/>
    <w:rsid w:val="00997D32"/>
    <w:rsid w:val="009B6AE9"/>
    <w:rsid w:val="009C4157"/>
    <w:rsid w:val="009E651D"/>
    <w:rsid w:val="009F279A"/>
    <w:rsid w:val="00A02464"/>
    <w:rsid w:val="00A02AA1"/>
    <w:rsid w:val="00A0322B"/>
    <w:rsid w:val="00A16D86"/>
    <w:rsid w:val="00A214FC"/>
    <w:rsid w:val="00A214FF"/>
    <w:rsid w:val="00A22756"/>
    <w:rsid w:val="00A3685D"/>
    <w:rsid w:val="00A37D1D"/>
    <w:rsid w:val="00A41745"/>
    <w:rsid w:val="00A55ADD"/>
    <w:rsid w:val="00A77090"/>
    <w:rsid w:val="00A77EFE"/>
    <w:rsid w:val="00A93CC5"/>
    <w:rsid w:val="00AA0064"/>
    <w:rsid w:val="00AA05B8"/>
    <w:rsid w:val="00AA3323"/>
    <w:rsid w:val="00AA4FC3"/>
    <w:rsid w:val="00AA7060"/>
    <w:rsid w:val="00AC10C1"/>
    <w:rsid w:val="00AD1072"/>
    <w:rsid w:val="00AE7FD8"/>
    <w:rsid w:val="00AF29E5"/>
    <w:rsid w:val="00B00ABA"/>
    <w:rsid w:val="00B15CCF"/>
    <w:rsid w:val="00B33B3B"/>
    <w:rsid w:val="00B36A28"/>
    <w:rsid w:val="00B462AD"/>
    <w:rsid w:val="00B47194"/>
    <w:rsid w:val="00B53C2A"/>
    <w:rsid w:val="00B541F3"/>
    <w:rsid w:val="00B77B8B"/>
    <w:rsid w:val="00B843FE"/>
    <w:rsid w:val="00B91DEB"/>
    <w:rsid w:val="00BA0C68"/>
    <w:rsid w:val="00BA1B90"/>
    <w:rsid w:val="00BA5827"/>
    <w:rsid w:val="00BB24A9"/>
    <w:rsid w:val="00BB59AE"/>
    <w:rsid w:val="00BB67E4"/>
    <w:rsid w:val="00BB680C"/>
    <w:rsid w:val="00BB7A3E"/>
    <w:rsid w:val="00BD2E9D"/>
    <w:rsid w:val="00BE737F"/>
    <w:rsid w:val="00BF3EBC"/>
    <w:rsid w:val="00BF4730"/>
    <w:rsid w:val="00C03CAC"/>
    <w:rsid w:val="00C045C8"/>
    <w:rsid w:val="00C12244"/>
    <w:rsid w:val="00C1552A"/>
    <w:rsid w:val="00C168AB"/>
    <w:rsid w:val="00C21A99"/>
    <w:rsid w:val="00C21BED"/>
    <w:rsid w:val="00C21CC7"/>
    <w:rsid w:val="00C23F46"/>
    <w:rsid w:val="00C254BA"/>
    <w:rsid w:val="00C34CE8"/>
    <w:rsid w:val="00C518D7"/>
    <w:rsid w:val="00C5478C"/>
    <w:rsid w:val="00C57F07"/>
    <w:rsid w:val="00C66CC1"/>
    <w:rsid w:val="00CA0783"/>
    <w:rsid w:val="00CA084F"/>
    <w:rsid w:val="00CA16FC"/>
    <w:rsid w:val="00CB634C"/>
    <w:rsid w:val="00CC197B"/>
    <w:rsid w:val="00CD432D"/>
    <w:rsid w:val="00CD57F2"/>
    <w:rsid w:val="00CE26ED"/>
    <w:rsid w:val="00CF066F"/>
    <w:rsid w:val="00D0755A"/>
    <w:rsid w:val="00D07B5F"/>
    <w:rsid w:val="00D37C89"/>
    <w:rsid w:val="00D411FE"/>
    <w:rsid w:val="00D45449"/>
    <w:rsid w:val="00D45D3B"/>
    <w:rsid w:val="00D50955"/>
    <w:rsid w:val="00D50C73"/>
    <w:rsid w:val="00D54FDE"/>
    <w:rsid w:val="00D55D28"/>
    <w:rsid w:val="00D56DA7"/>
    <w:rsid w:val="00D60D1A"/>
    <w:rsid w:val="00D63A25"/>
    <w:rsid w:val="00D643EA"/>
    <w:rsid w:val="00D834A9"/>
    <w:rsid w:val="00D8644B"/>
    <w:rsid w:val="00D87397"/>
    <w:rsid w:val="00DA74C2"/>
    <w:rsid w:val="00DB2942"/>
    <w:rsid w:val="00DC19E3"/>
    <w:rsid w:val="00DD566D"/>
    <w:rsid w:val="00DE3B0D"/>
    <w:rsid w:val="00DE5D39"/>
    <w:rsid w:val="00E013A4"/>
    <w:rsid w:val="00E03358"/>
    <w:rsid w:val="00E04FBF"/>
    <w:rsid w:val="00E06188"/>
    <w:rsid w:val="00E1121E"/>
    <w:rsid w:val="00E1618E"/>
    <w:rsid w:val="00E20910"/>
    <w:rsid w:val="00E31F41"/>
    <w:rsid w:val="00E34C20"/>
    <w:rsid w:val="00E35359"/>
    <w:rsid w:val="00E372B0"/>
    <w:rsid w:val="00E410D1"/>
    <w:rsid w:val="00E44FFC"/>
    <w:rsid w:val="00E625F1"/>
    <w:rsid w:val="00E823EE"/>
    <w:rsid w:val="00E848B4"/>
    <w:rsid w:val="00E95AE1"/>
    <w:rsid w:val="00EA10F0"/>
    <w:rsid w:val="00EA26A2"/>
    <w:rsid w:val="00EB3C0A"/>
    <w:rsid w:val="00EC116E"/>
    <w:rsid w:val="00EC24DA"/>
    <w:rsid w:val="00EC4B71"/>
    <w:rsid w:val="00ED775D"/>
    <w:rsid w:val="00EF7117"/>
    <w:rsid w:val="00F05B5B"/>
    <w:rsid w:val="00F07BE7"/>
    <w:rsid w:val="00F45A06"/>
    <w:rsid w:val="00F50118"/>
    <w:rsid w:val="00F53BC4"/>
    <w:rsid w:val="00F54D54"/>
    <w:rsid w:val="00F6331F"/>
    <w:rsid w:val="00F81CC6"/>
    <w:rsid w:val="00FA0E0F"/>
    <w:rsid w:val="00FA35DF"/>
    <w:rsid w:val="00FB172F"/>
    <w:rsid w:val="00FB1AE3"/>
    <w:rsid w:val="00FB6F1A"/>
    <w:rsid w:val="00FD0EA7"/>
    <w:rsid w:val="00FE6021"/>
    <w:rsid w:val="00FF44AD"/>
    <w:rsid w:val="07062BA7"/>
    <w:rsid w:val="23252661"/>
    <w:rsid w:val="23FC26A7"/>
    <w:rsid w:val="2F776885"/>
    <w:rsid w:val="49460FB5"/>
    <w:rsid w:val="4FE1785C"/>
    <w:rsid w:val="50D47184"/>
    <w:rsid w:val="643F589A"/>
    <w:rsid w:val="785E3A52"/>
    <w:rsid w:val="79FC5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4B"/>
    <w:pPr>
      <w:widowControl w:val="0"/>
      <w:jc w:val="both"/>
    </w:pPr>
    <w:rPr>
      <w:kern w:val="2"/>
      <w:sz w:val="21"/>
      <w:szCs w:val="22"/>
    </w:rPr>
  </w:style>
  <w:style w:type="paragraph" w:styleId="2">
    <w:name w:val="heading 2"/>
    <w:basedOn w:val="a"/>
    <w:next w:val="a"/>
    <w:link w:val="2Char"/>
    <w:qFormat/>
    <w:rsid w:val="003D104B"/>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3D104B"/>
    <w:rPr>
      <w:vertAlign w:val="superscript"/>
    </w:rPr>
  </w:style>
  <w:style w:type="character" w:styleId="a4">
    <w:name w:val="annotation reference"/>
    <w:uiPriority w:val="99"/>
    <w:unhideWhenUsed/>
    <w:rsid w:val="003D104B"/>
    <w:rPr>
      <w:sz w:val="21"/>
      <w:szCs w:val="21"/>
    </w:rPr>
  </w:style>
  <w:style w:type="character" w:customStyle="1" w:styleId="Char">
    <w:name w:val="批注主题 Char"/>
    <w:link w:val="a5"/>
    <w:uiPriority w:val="99"/>
    <w:semiHidden/>
    <w:rsid w:val="003D104B"/>
    <w:rPr>
      <w:b/>
      <w:bCs/>
      <w:kern w:val="2"/>
      <w:sz w:val="21"/>
      <w:szCs w:val="22"/>
    </w:rPr>
  </w:style>
  <w:style w:type="character" w:customStyle="1" w:styleId="Char0">
    <w:name w:val="页脚 Char"/>
    <w:link w:val="a6"/>
    <w:rsid w:val="003D104B"/>
    <w:rPr>
      <w:kern w:val="2"/>
      <w:sz w:val="18"/>
      <w:szCs w:val="18"/>
    </w:rPr>
  </w:style>
  <w:style w:type="character" w:customStyle="1" w:styleId="Char1">
    <w:name w:val="批注框文本 Char"/>
    <w:link w:val="a7"/>
    <w:uiPriority w:val="99"/>
    <w:semiHidden/>
    <w:rsid w:val="003D104B"/>
    <w:rPr>
      <w:kern w:val="2"/>
      <w:sz w:val="18"/>
      <w:szCs w:val="18"/>
    </w:rPr>
  </w:style>
  <w:style w:type="character" w:customStyle="1" w:styleId="2Char">
    <w:name w:val="标题 2 Char"/>
    <w:link w:val="2"/>
    <w:rsid w:val="003D104B"/>
    <w:rPr>
      <w:rFonts w:ascii="Arial" w:eastAsia="黑体" w:hAnsi="Arial"/>
      <w:b/>
      <w:kern w:val="2"/>
      <w:sz w:val="32"/>
    </w:rPr>
  </w:style>
  <w:style w:type="character" w:customStyle="1" w:styleId="Char2">
    <w:name w:val="页眉 Char"/>
    <w:link w:val="a8"/>
    <w:rsid w:val="003D104B"/>
    <w:rPr>
      <w:kern w:val="2"/>
      <w:sz w:val="18"/>
      <w:szCs w:val="18"/>
    </w:rPr>
  </w:style>
  <w:style w:type="character" w:customStyle="1" w:styleId="Char3">
    <w:name w:val="脚注文本 Char"/>
    <w:link w:val="a9"/>
    <w:rsid w:val="003D104B"/>
    <w:rPr>
      <w:rFonts w:ascii="Times New Roman" w:hAnsi="Times New Roman"/>
      <w:kern w:val="2"/>
      <w:sz w:val="18"/>
    </w:rPr>
  </w:style>
  <w:style w:type="character" w:customStyle="1" w:styleId="Char4">
    <w:name w:val="批注文字 Char"/>
    <w:link w:val="aa"/>
    <w:uiPriority w:val="99"/>
    <w:semiHidden/>
    <w:rsid w:val="003D104B"/>
    <w:rPr>
      <w:kern w:val="2"/>
      <w:sz w:val="21"/>
      <w:szCs w:val="22"/>
    </w:rPr>
  </w:style>
  <w:style w:type="paragraph" w:styleId="a6">
    <w:name w:val="footer"/>
    <w:basedOn w:val="a"/>
    <w:link w:val="Char0"/>
    <w:rsid w:val="003D104B"/>
    <w:pPr>
      <w:tabs>
        <w:tab w:val="center" w:pos="4153"/>
        <w:tab w:val="right" w:pos="8306"/>
      </w:tabs>
      <w:snapToGrid w:val="0"/>
      <w:jc w:val="left"/>
    </w:pPr>
    <w:rPr>
      <w:sz w:val="18"/>
      <w:szCs w:val="18"/>
    </w:rPr>
  </w:style>
  <w:style w:type="paragraph" w:styleId="a9">
    <w:name w:val="footnote text"/>
    <w:basedOn w:val="a"/>
    <w:link w:val="Char3"/>
    <w:rsid w:val="003D104B"/>
    <w:pPr>
      <w:snapToGrid w:val="0"/>
      <w:jc w:val="left"/>
    </w:pPr>
    <w:rPr>
      <w:rFonts w:ascii="Times New Roman" w:hAnsi="Times New Roman"/>
      <w:sz w:val="18"/>
      <w:szCs w:val="20"/>
    </w:rPr>
  </w:style>
  <w:style w:type="paragraph" w:styleId="aa">
    <w:name w:val="annotation text"/>
    <w:basedOn w:val="a"/>
    <w:link w:val="Char4"/>
    <w:uiPriority w:val="99"/>
    <w:unhideWhenUsed/>
    <w:rsid w:val="003D104B"/>
    <w:pPr>
      <w:jc w:val="left"/>
    </w:pPr>
  </w:style>
  <w:style w:type="paragraph" w:styleId="a7">
    <w:name w:val="Balloon Text"/>
    <w:basedOn w:val="a"/>
    <w:link w:val="Char1"/>
    <w:uiPriority w:val="99"/>
    <w:unhideWhenUsed/>
    <w:rsid w:val="003D104B"/>
    <w:rPr>
      <w:sz w:val="18"/>
      <w:szCs w:val="18"/>
    </w:rPr>
  </w:style>
  <w:style w:type="paragraph" w:styleId="a8">
    <w:name w:val="header"/>
    <w:basedOn w:val="a"/>
    <w:link w:val="Char2"/>
    <w:rsid w:val="003D104B"/>
    <w:pPr>
      <w:pBdr>
        <w:bottom w:val="single" w:sz="6" w:space="1" w:color="auto"/>
      </w:pBdr>
      <w:tabs>
        <w:tab w:val="center" w:pos="4153"/>
        <w:tab w:val="right" w:pos="8306"/>
      </w:tabs>
      <w:snapToGrid w:val="0"/>
      <w:jc w:val="center"/>
    </w:pPr>
    <w:rPr>
      <w:sz w:val="18"/>
      <w:szCs w:val="18"/>
    </w:rPr>
  </w:style>
  <w:style w:type="paragraph" w:styleId="ab">
    <w:name w:val="Document Map"/>
    <w:basedOn w:val="a"/>
    <w:rsid w:val="003D104B"/>
    <w:pPr>
      <w:shd w:val="clear" w:color="auto" w:fill="000080"/>
    </w:pPr>
  </w:style>
  <w:style w:type="paragraph" w:styleId="a5">
    <w:name w:val="annotation subject"/>
    <w:basedOn w:val="aa"/>
    <w:next w:val="aa"/>
    <w:link w:val="Char"/>
    <w:uiPriority w:val="99"/>
    <w:unhideWhenUsed/>
    <w:rsid w:val="003D104B"/>
    <w:rPr>
      <w:b/>
      <w:bCs/>
    </w:rPr>
  </w:style>
  <w:style w:type="paragraph" w:customStyle="1" w:styleId="Char5">
    <w:name w:val="Char"/>
    <w:basedOn w:val="a"/>
    <w:rsid w:val="003D104B"/>
    <w:rPr>
      <w:rFonts w:ascii="Times New Roman" w:hAnsi="Times New Roman"/>
      <w:szCs w:val="24"/>
    </w:rPr>
  </w:style>
  <w:style w:type="paragraph" w:styleId="ac">
    <w:name w:val="Revision"/>
    <w:uiPriority w:val="99"/>
    <w:semiHidden/>
    <w:rsid w:val="003D104B"/>
    <w:rPr>
      <w:kern w:val="2"/>
      <w:sz w:val="21"/>
      <w:szCs w:val="22"/>
    </w:rPr>
  </w:style>
  <w:style w:type="paragraph" w:customStyle="1" w:styleId="HD">
    <w:name w:val="HD正文"/>
    <w:basedOn w:val="a"/>
    <w:qFormat/>
    <w:rsid w:val="003D104B"/>
    <w:pPr>
      <w:snapToGrid w:val="0"/>
      <w:spacing w:line="360" w:lineRule="auto"/>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3960</Characters>
  <Application>Microsoft Office Word</Application>
  <DocSecurity>4</DocSecurity>
  <PresentationFormat/>
  <Lines>33</Lines>
  <Paragraphs>9</Paragraphs>
  <Slides>0</Slides>
  <Notes>0</Notes>
  <HiddenSlides>0</HiddenSlides>
  <MMClips>0</MMClips>
  <ScaleCrop>false</ScaleCrop>
  <Manager/>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ZHONGM</dc:creator>
  <cp:keywords/>
  <dc:description/>
  <cp:lastModifiedBy>ZHONGM</cp:lastModifiedBy>
  <cp:revision>2</cp:revision>
  <cp:lastPrinted>2017-07-07T02:03:00Z</cp:lastPrinted>
  <dcterms:created xsi:type="dcterms:W3CDTF">2024-12-23T16:04:00Z</dcterms:created>
  <dcterms:modified xsi:type="dcterms:W3CDTF">2024-12-23T16:04:00Z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