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FA8" w:rsidRDefault="000557A3">
      <w:pPr>
        <w:pStyle w:val="XBRL2"/>
        <w:spacing w:before="156"/>
        <w:rPr>
          <w:lang w:eastAsia="zh-CN"/>
        </w:rPr>
      </w:pPr>
      <w:bookmarkStart w:id="0" w:name="_Toc348410291"/>
      <w:bookmarkEnd w:id="0"/>
      <w:r>
        <w:rPr>
          <w:lang w:eastAsia="zh-CN"/>
        </w:rPr>
        <w:t xml:space="preserve">　</w:t>
      </w:r>
      <w:r>
        <w:rPr>
          <w:lang w:eastAsia="zh-CN"/>
        </w:rPr>
        <w:t xml:space="preserve"> </w:t>
      </w:r>
    </w:p>
    <w:p w:rsidR="00AD0FA8" w:rsidRDefault="0087786C">
      <w:pPr>
        <w:jc w:val="center"/>
      </w:pPr>
      <w:r w:rsidRPr="0087786C">
        <w:rPr>
          <w:rFonts w:cs="Times New Roman" w:hint="eastAsia"/>
          <w:b/>
          <w:sz w:val="48"/>
          <w:szCs w:val="48"/>
        </w:rPr>
        <w:t>华泰柏瑞恒生创新药交易型开放式指数证券投资基金（</w:t>
      </w:r>
      <w:r w:rsidRPr="0087786C">
        <w:rPr>
          <w:rFonts w:cs="Times New Roman"/>
          <w:b/>
          <w:sz w:val="48"/>
          <w:szCs w:val="48"/>
        </w:rPr>
        <w:t>QDII）</w:t>
      </w:r>
      <w:r w:rsidR="000557A3">
        <w:rPr>
          <w:rFonts w:cs="Times New Roman" w:hint="eastAsia"/>
          <w:b/>
          <w:sz w:val="48"/>
          <w:szCs w:val="48"/>
        </w:rPr>
        <w:t>开放日常申购、赎回业务的公告</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rPr>
          <w:sz w:val="24"/>
          <w:szCs w:val="30"/>
        </w:rPr>
      </w:pPr>
      <w:r>
        <w:rPr>
          <w:rFonts w:hint="eastAsia"/>
          <w:sz w:val="24"/>
          <w:szCs w:val="30"/>
        </w:rPr>
        <w:t xml:space="preserve">　 </w:t>
      </w:r>
    </w:p>
    <w:p w:rsidR="00AD0FA8" w:rsidRDefault="000557A3">
      <w:pPr>
        <w:spacing w:line="360" w:lineRule="auto"/>
        <w:jc w:val="center"/>
      </w:pPr>
      <w:r>
        <w:rPr>
          <w:rFonts w:hint="eastAsia"/>
          <w:b/>
          <w:bCs/>
          <w:sz w:val="24"/>
          <w:szCs w:val="30"/>
        </w:rPr>
        <w:t>公告送出日期：</w:t>
      </w:r>
      <w:r w:rsidR="00B576EE" w:rsidRPr="00B576EE">
        <w:rPr>
          <w:b/>
          <w:bCs/>
          <w:sz w:val="24"/>
          <w:szCs w:val="30"/>
        </w:rPr>
        <w:t>2024年1</w:t>
      </w:r>
      <w:r w:rsidR="00ED1A38">
        <w:rPr>
          <w:b/>
          <w:bCs/>
          <w:sz w:val="24"/>
          <w:szCs w:val="30"/>
        </w:rPr>
        <w:t>2</w:t>
      </w:r>
      <w:r w:rsidR="00B576EE" w:rsidRPr="00B576EE">
        <w:rPr>
          <w:b/>
          <w:bCs/>
          <w:sz w:val="24"/>
          <w:szCs w:val="30"/>
        </w:rPr>
        <w:t>月</w:t>
      </w:r>
      <w:r w:rsidR="0087786C">
        <w:rPr>
          <w:b/>
          <w:bCs/>
          <w:sz w:val="24"/>
          <w:szCs w:val="30"/>
        </w:rPr>
        <w:t>24</w:t>
      </w:r>
      <w:r w:rsidR="00B576EE" w:rsidRPr="00B576EE">
        <w:rPr>
          <w:b/>
          <w:bCs/>
          <w:sz w:val="24"/>
          <w:szCs w:val="30"/>
        </w:rPr>
        <w:t>日</w:t>
      </w:r>
    </w:p>
    <w:p w:rsidR="00AD0FA8" w:rsidRDefault="000557A3">
      <w:pPr>
        <w:pStyle w:val="11"/>
        <w:rPr>
          <w:vanish/>
        </w:rPr>
      </w:pPr>
      <w:r>
        <w:rPr>
          <w:rFonts w:hint="eastAsia"/>
          <w:color w:val="404040"/>
          <w:kern w:val="0"/>
        </w:rPr>
        <w:br w:type="page"/>
      </w:r>
      <w:hyperlink w:anchor="_Toc348410291" w:history="1">
        <w:r>
          <w:rPr>
            <w:rStyle w:val="a3"/>
            <w:rFonts w:hint="eastAsia"/>
            <w:vanish/>
          </w:rPr>
          <w:t>0、公告标题</w:t>
        </w:r>
      </w:hyperlink>
      <w:r>
        <w:rPr>
          <w:rFonts w:asciiTheme="minorHAnsi" w:eastAsiaTheme="minorEastAsia" w:hAnsiTheme="minorHAnsi" w:cstheme="minorBidi"/>
          <w:vanish/>
          <w:szCs w:val="22"/>
        </w:rPr>
        <w:t xml:space="preserve"> </w:t>
      </w:r>
    </w:p>
    <w:bookmarkStart w:id="1" w:name="m01_01"/>
    <w:bookmarkStart w:id="2" w:name="_Toc194311890"/>
    <w:p w:rsidR="00AD0FA8" w:rsidRDefault="00322D2E">
      <w:pPr>
        <w:pStyle w:val="11"/>
        <w:rPr>
          <w:vanish/>
        </w:rPr>
      </w:pPr>
      <w:r>
        <w:rPr>
          <w:vanish/>
        </w:rPr>
        <w:fldChar w:fldCharType="begin"/>
      </w:r>
      <w:r w:rsidR="000557A3">
        <w:rPr>
          <w:vanish/>
        </w:rPr>
        <w:instrText xml:space="preserve"> HYPERLINK "" \l "_Toc34841028" </w:instrText>
      </w:r>
      <w:r>
        <w:rPr>
          <w:vanish/>
        </w:rPr>
        <w:fldChar w:fldCharType="separate"/>
      </w:r>
      <w:r w:rsidR="000557A3">
        <w:rPr>
          <w:rStyle w:val="a3"/>
          <w:rFonts w:hint="eastAsia"/>
          <w:vanish/>
        </w:rPr>
        <w:t>1 公告基本信息</w:t>
      </w:r>
      <w:r>
        <w:rPr>
          <w:vanish/>
        </w:rPr>
        <w:fldChar w:fldCharType="end"/>
      </w:r>
      <w:r w:rsidR="000557A3">
        <w:rPr>
          <w:rFonts w:asciiTheme="minorHAnsi" w:eastAsiaTheme="minorEastAsia" w:hAnsiTheme="minorHAnsi" w:cstheme="minorBidi"/>
          <w:vanish/>
          <w:szCs w:val="22"/>
        </w:rPr>
        <w:t xml:space="preserve"> </w:t>
      </w:r>
    </w:p>
    <w:p w:rsidR="00AD0FA8" w:rsidRDefault="00322D2E">
      <w:pPr>
        <w:pStyle w:val="11"/>
        <w:rPr>
          <w:vanish/>
        </w:rPr>
      </w:pPr>
      <w:hyperlink w:anchor="_Toc34841029" w:history="1">
        <w:r w:rsidR="000557A3">
          <w:rPr>
            <w:rStyle w:val="a3"/>
            <w:rFonts w:hint="eastAsia"/>
            <w:vanish/>
          </w:rPr>
          <w:t>2 日常申购、赎回(转换、定期定额投资)业务的办理时间</w:t>
        </w:r>
      </w:hyperlink>
      <w:r w:rsidR="000557A3">
        <w:rPr>
          <w:rFonts w:asciiTheme="minorHAnsi" w:eastAsiaTheme="minorEastAsia" w:hAnsiTheme="minorHAnsi" w:cstheme="minorBidi"/>
          <w:vanish/>
          <w:szCs w:val="22"/>
        </w:rPr>
        <w:t xml:space="preserve"> </w:t>
      </w:r>
    </w:p>
    <w:p w:rsidR="00AD0FA8" w:rsidRDefault="00322D2E">
      <w:pPr>
        <w:pStyle w:val="11"/>
        <w:rPr>
          <w:vanish/>
        </w:rPr>
      </w:pPr>
      <w:hyperlink w:anchor="_Toc34841030" w:history="1">
        <w:r w:rsidR="000557A3">
          <w:rPr>
            <w:rStyle w:val="a3"/>
            <w:rFonts w:hint="eastAsia"/>
            <w:vanish/>
          </w:rPr>
          <w:t>3 日常申购业务</w:t>
        </w:r>
      </w:hyperlink>
      <w:r w:rsidR="000557A3">
        <w:rPr>
          <w:rFonts w:asciiTheme="minorHAnsi" w:eastAsiaTheme="minorEastAsia" w:hAnsiTheme="minorHAnsi" w:cstheme="minorBidi"/>
          <w:vanish/>
          <w:szCs w:val="22"/>
        </w:rPr>
        <w:t xml:space="preserve"> </w:t>
      </w:r>
    </w:p>
    <w:p w:rsidR="00AD0FA8" w:rsidRDefault="00322D2E">
      <w:pPr>
        <w:pStyle w:val="31"/>
        <w:tabs>
          <w:tab w:val="right" w:leader="dot" w:pos="8835"/>
        </w:tabs>
        <w:rPr>
          <w:vanish/>
        </w:rPr>
      </w:pPr>
      <w:hyperlink w:anchor="_Toc34841031" w:history="1">
        <w:r w:rsidR="000557A3">
          <w:rPr>
            <w:rStyle w:val="a3"/>
            <w:rFonts w:hint="eastAsia"/>
            <w:noProof/>
            <w:vanish/>
          </w:rPr>
          <w:t>3.1 申购金额限制</w:t>
        </w:r>
      </w:hyperlink>
      <w:r w:rsidR="000557A3">
        <w:rPr>
          <w:rFonts w:asciiTheme="minorHAnsi" w:eastAsiaTheme="minorEastAsia" w:hAnsiTheme="minorHAnsi" w:cstheme="minorBidi"/>
          <w:noProof/>
          <w:vanish/>
          <w:szCs w:val="22"/>
        </w:rPr>
        <w:t xml:space="preserve"> </w:t>
      </w:r>
    </w:p>
    <w:p w:rsidR="00AD0FA8" w:rsidRDefault="00322D2E">
      <w:pPr>
        <w:pStyle w:val="31"/>
        <w:tabs>
          <w:tab w:val="right" w:leader="dot" w:pos="8835"/>
        </w:tabs>
        <w:rPr>
          <w:vanish/>
        </w:rPr>
      </w:pPr>
      <w:hyperlink w:anchor="_Toc513465658" w:history="1">
        <w:r w:rsidR="000557A3">
          <w:rPr>
            <w:rStyle w:val="a3"/>
            <w:rFonts w:hint="eastAsia"/>
            <w:noProof/>
            <w:vanish/>
          </w:rPr>
          <w:t>3.2 申购费率</w:t>
        </w:r>
      </w:hyperlink>
      <w:r w:rsidR="000557A3">
        <w:rPr>
          <w:rFonts w:asciiTheme="minorHAnsi" w:eastAsiaTheme="minorEastAsia" w:hAnsiTheme="minorHAnsi" w:cstheme="minorBidi"/>
          <w:noProof/>
          <w:vanish/>
          <w:szCs w:val="22"/>
        </w:rPr>
        <w:t xml:space="preserve"> </w:t>
      </w:r>
    </w:p>
    <w:p w:rsidR="00AD0FA8" w:rsidRDefault="00322D2E">
      <w:pPr>
        <w:pStyle w:val="31"/>
        <w:tabs>
          <w:tab w:val="right" w:leader="dot" w:pos="8835"/>
        </w:tabs>
        <w:rPr>
          <w:vanish/>
        </w:rPr>
      </w:pPr>
      <w:hyperlink w:anchor="_Toc513465659" w:history="1">
        <w:r w:rsidR="000557A3">
          <w:rPr>
            <w:rStyle w:val="a3"/>
            <w:rFonts w:hint="eastAsia"/>
            <w:noProof/>
            <w:vanish/>
          </w:rPr>
          <w:t>3.2.1 前端收费</w:t>
        </w:r>
      </w:hyperlink>
      <w:r w:rsidR="000557A3">
        <w:rPr>
          <w:rFonts w:asciiTheme="minorHAnsi" w:eastAsiaTheme="minorEastAsia" w:hAnsiTheme="minorHAnsi" w:cstheme="minorBidi"/>
          <w:noProof/>
          <w:vanish/>
          <w:szCs w:val="22"/>
        </w:rPr>
        <w:t xml:space="preserve"> </w:t>
      </w:r>
    </w:p>
    <w:p w:rsidR="00AD0FA8" w:rsidRDefault="00322D2E">
      <w:pPr>
        <w:pStyle w:val="31"/>
        <w:tabs>
          <w:tab w:val="right" w:leader="dot" w:pos="8835"/>
        </w:tabs>
        <w:rPr>
          <w:vanish/>
        </w:rPr>
      </w:pPr>
      <w:hyperlink w:anchor="_Toc513465660" w:history="1">
        <w:r w:rsidR="000557A3">
          <w:rPr>
            <w:rStyle w:val="a3"/>
            <w:rFonts w:hint="eastAsia"/>
            <w:noProof/>
            <w:vanish/>
          </w:rPr>
          <w:t>3.2.2 后端收费</w:t>
        </w:r>
      </w:hyperlink>
      <w:r w:rsidR="000557A3">
        <w:rPr>
          <w:rFonts w:asciiTheme="minorHAnsi" w:eastAsiaTheme="minorEastAsia" w:hAnsiTheme="minorHAnsi" w:cstheme="minorBidi"/>
          <w:noProof/>
          <w:vanish/>
          <w:szCs w:val="22"/>
        </w:rPr>
        <w:t xml:space="preserve"> </w:t>
      </w:r>
    </w:p>
    <w:p w:rsidR="00AD0FA8" w:rsidRDefault="00322D2E">
      <w:pPr>
        <w:pStyle w:val="31"/>
        <w:tabs>
          <w:tab w:val="right" w:leader="dot" w:pos="8835"/>
        </w:tabs>
        <w:rPr>
          <w:vanish/>
        </w:rPr>
      </w:pPr>
      <w:hyperlink w:anchor="_Toc34841033" w:history="1">
        <w:r w:rsidR="000557A3">
          <w:rPr>
            <w:rStyle w:val="a3"/>
            <w:rFonts w:hint="eastAsia"/>
            <w:noProof/>
            <w:vanish/>
          </w:rPr>
          <w:t>3.3 其他与申购相关的事项</w:t>
        </w:r>
      </w:hyperlink>
      <w:r w:rsidR="000557A3">
        <w:rPr>
          <w:rFonts w:asciiTheme="minorHAnsi" w:eastAsiaTheme="minorEastAsia" w:hAnsiTheme="minorHAnsi" w:cstheme="minorBidi"/>
          <w:noProof/>
          <w:vanish/>
          <w:szCs w:val="22"/>
        </w:rPr>
        <w:t xml:space="preserve"> </w:t>
      </w:r>
    </w:p>
    <w:p w:rsidR="00AD0FA8" w:rsidRDefault="00322D2E">
      <w:pPr>
        <w:pStyle w:val="11"/>
        <w:rPr>
          <w:vanish/>
        </w:rPr>
      </w:pPr>
      <w:hyperlink w:anchor="_Toc34841034" w:history="1">
        <w:r w:rsidR="000557A3">
          <w:rPr>
            <w:rStyle w:val="a3"/>
            <w:rFonts w:hint="eastAsia"/>
            <w:vanish/>
          </w:rPr>
          <w:t>4 日常赎回业务</w:t>
        </w:r>
      </w:hyperlink>
      <w:r w:rsidR="000557A3">
        <w:rPr>
          <w:rFonts w:asciiTheme="minorHAnsi" w:eastAsiaTheme="minorEastAsia" w:hAnsiTheme="minorHAnsi" w:cstheme="minorBidi"/>
          <w:vanish/>
          <w:szCs w:val="22"/>
        </w:rPr>
        <w:t xml:space="preserve"> </w:t>
      </w:r>
    </w:p>
    <w:p w:rsidR="00AD0FA8" w:rsidRDefault="00322D2E">
      <w:pPr>
        <w:pStyle w:val="21"/>
        <w:tabs>
          <w:tab w:val="right" w:leader="dot" w:pos="8835"/>
        </w:tabs>
        <w:rPr>
          <w:vanish/>
        </w:rPr>
      </w:pPr>
      <w:hyperlink w:anchor="_Toc34841035" w:history="1">
        <w:r w:rsidR="000557A3">
          <w:rPr>
            <w:rStyle w:val="a3"/>
            <w:rFonts w:hint="eastAsia"/>
            <w:noProof/>
            <w:vanish/>
          </w:rPr>
          <w:t>4.1 赎回份额限制</w:t>
        </w:r>
      </w:hyperlink>
      <w:r w:rsidR="000557A3">
        <w:rPr>
          <w:rFonts w:asciiTheme="minorHAnsi" w:eastAsiaTheme="minorEastAsia" w:hAnsiTheme="minorHAnsi" w:cstheme="minorBidi"/>
          <w:noProof/>
          <w:vanish/>
          <w:szCs w:val="22"/>
        </w:rPr>
        <w:t xml:space="preserve"> </w:t>
      </w:r>
    </w:p>
    <w:p w:rsidR="00AD0FA8" w:rsidRDefault="00322D2E">
      <w:pPr>
        <w:pStyle w:val="21"/>
        <w:tabs>
          <w:tab w:val="right" w:leader="dot" w:pos="8835"/>
        </w:tabs>
        <w:rPr>
          <w:vanish/>
        </w:rPr>
      </w:pPr>
      <w:hyperlink w:anchor="_Toc34841036" w:history="1">
        <w:r w:rsidR="000557A3">
          <w:rPr>
            <w:rStyle w:val="a3"/>
            <w:rFonts w:hint="eastAsia"/>
            <w:noProof/>
            <w:vanish/>
          </w:rPr>
          <w:t>4.2 赎回费率</w:t>
        </w:r>
      </w:hyperlink>
      <w:r w:rsidR="000557A3">
        <w:rPr>
          <w:rFonts w:asciiTheme="minorHAnsi" w:eastAsiaTheme="minorEastAsia" w:hAnsiTheme="minorHAnsi" w:cstheme="minorBidi"/>
          <w:noProof/>
          <w:vanish/>
          <w:szCs w:val="22"/>
        </w:rPr>
        <w:t xml:space="preserve"> </w:t>
      </w:r>
    </w:p>
    <w:p w:rsidR="00AD0FA8" w:rsidRDefault="00322D2E">
      <w:pPr>
        <w:pStyle w:val="21"/>
        <w:tabs>
          <w:tab w:val="right" w:leader="dot" w:pos="8835"/>
        </w:tabs>
        <w:rPr>
          <w:vanish/>
        </w:rPr>
      </w:pPr>
      <w:hyperlink w:anchor="_Toc34841037" w:history="1">
        <w:r w:rsidR="000557A3">
          <w:rPr>
            <w:rStyle w:val="a3"/>
            <w:rFonts w:hint="eastAsia"/>
            <w:noProof/>
            <w:vanish/>
          </w:rPr>
          <w:t>4.3 其他与赎回相关的事项</w:t>
        </w:r>
      </w:hyperlink>
      <w:r w:rsidR="000557A3">
        <w:rPr>
          <w:rFonts w:asciiTheme="minorHAnsi" w:eastAsiaTheme="minorEastAsia" w:hAnsiTheme="minorHAnsi" w:cstheme="minorBidi"/>
          <w:noProof/>
          <w:vanish/>
          <w:szCs w:val="22"/>
        </w:rPr>
        <w:t xml:space="preserve"> </w:t>
      </w:r>
    </w:p>
    <w:p w:rsidR="00AD0FA8" w:rsidRDefault="00322D2E">
      <w:pPr>
        <w:pStyle w:val="11"/>
        <w:rPr>
          <w:vanish/>
        </w:rPr>
      </w:pPr>
      <w:hyperlink w:anchor="_Toc34841038" w:history="1">
        <w:r w:rsidR="000557A3">
          <w:rPr>
            <w:rStyle w:val="a3"/>
            <w:rFonts w:hint="eastAsia"/>
            <w:vanish/>
          </w:rPr>
          <w:t>5 日常转换业务</w:t>
        </w:r>
      </w:hyperlink>
      <w:r w:rsidR="000557A3">
        <w:rPr>
          <w:rFonts w:asciiTheme="minorHAnsi" w:eastAsiaTheme="minorEastAsia" w:hAnsiTheme="minorHAnsi" w:cstheme="minorBidi"/>
          <w:vanish/>
          <w:szCs w:val="22"/>
        </w:rPr>
        <w:t xml:space="preserve"> </w:t>
      </w:r>
    </w:p>
    <w:p w:rsidR="00AD0FA8" w:rsidRDefault="00322D2E">
      <w:pPr>
        <w:pStyle w:val="21"/>
        <w:tabs>
          <w:tab w:val="right" w:leader="dot" w:pos="8835"/>
        </w:tabs>
        <w:rPr>
          <w:vanish/>
        </w:rPr>
      </w:pPr>
      <w:hyperlink w:anchor="_Toc34841039" w:history="1">
        <w:r w:rsidR="000557A3">
          <w:rPr>
            <w:rStyle w:val="a3"/>
            <w:rFonts w:hint="eastAsia"/>
            <w:noProof/>
            <w:vanish/>
          </w:rPr>
          <w:t>5.1 转换费率</w:t>
        </w:r>
      </w:hyperlink>
      <w:r w:rsidR="000557A3">
        <w:rPr>
          <w:rFonts w:asciiTheme="minorHAnsi" w:eastAsiaTheme="minorEastAsia" w:hAnsiTheme="minorHAnsi" w:cstheme="minorBidi"/>
          <w:noProof/>
          <w:vanish/>
          <w:szCs w:val="22"/>
        </w:rPr>
        <w:t xml:space="preserve"> </w:t>
      </w:r>
    </w:p>
    <w:p w:rsidR="00AD0FA8" w:rsidRDefault="00322D2E">
      <w:pPr>
        <w:pStyle w:val="21"/>
        <w:tabs>
          <w:tab w:val="right" w:leader="dot" w:pos="8835"/>
        </w:tabs>
        <w:rPr>
          <w:vanish/>
        </w:rPr>
      </w:pPr>
      <w:hyperlink w:anchor="_Toc34841040" w:history="1">
        <w:r w:rsidR="000557A3">
          <w:rPr>
            <w:rStyle w:val="a3"/>
            <w:rFonts w:hint="eastAsia"/>
            <w:noProof/>
            <w:vanish/>
          </w:rPr>
          <w:t>5.2 其他与转换相关的事项</w:t>
        </w:r>
      </w:hyperlink>
      <w:r w:rsidR="000557A3">
        <w:rPr>
          <w:rFonts w:asciiTheme="minorHAnsi" w:eastAsiaTheme="minorEastAsia" w:hAnsiTheme="minorHAnsi" w:cstheme="minorBidi"/>
          <w:noProof/>
          <w:vanish/>
          <w:szCs w:val="22"/>
        </w:rPr>
        <w:t xml:space="preserve"> </w:t>
      </w:r>
    </w:p>
    <w:p w:rsidR="00AD0FA8" w:rsidRDefault="00322D2E">
      <w:pPr>
        <w:pStyle w:val="11"/>
        <w:rPr>
          <w:vanish/>
        </w:rPr>
      </w:pPr>
      <w:hyperlink w:anchor="_Toc34841041" w:history="1">
        <w:r w:rsidR="000557A3">
          <w:rPr>
            <w:rStyle w:val="a3"/>
            <w:rFonts w:hint="eastAsia"/>
            <w:vanish/>
          </w:rPr>
          <w:t>6 定期定额投资业务</w:t>
        </w:r>
      </w:hyperlink>
      <w:r w:rsidR="000557A3">
        <w:rPr>
          <w:rFonts w:asciiTheme="minorHAnsi" w:eastAsiaTheme="minorEastAsia" w:hAnsiTheme="minorHAnsi" w:cstheme="minorBidi"/>
          <w:vanish/>
          <w:szCs w:val="22"/>
        </w:rPr>
        <w:t xml:space="preserve"> </w:t>
      </w:r>
    </w:p>
    <w:p w:rsidR="00AD0FA8" w:rsidRDefault="00322D2E">
      <w:pPr>
        <w:pStyle w:val="11"/>
        <w:rPr>
          <w:vanish/>
        </w:rPr>
      </w:pPr>
      <w:hyperlink w:anchor="_Toc34841042" w:history="1">
        <w:r w:rsidR="000557A3">
          <w:rPr>
            <w:rStyle w:val="a3"/>
            <w:rFonts w:hint="eastAsia"/>
            <w:vanish/>
          </w:rPr>
          <w:t>7 基金销售机构</w:t>
        </w:r>
      </w:hyperlink>
      <w:r w:rsidR="000557A3">
        <w:rPr>
          <w:rFonts w:asciiTheme="minorHAnsi" w:eastAsiaTheme="minorEastAsia" w:hAnsiTheme="minorHAnsi" w:cstheme="minorBidi"/>
          <w:vanish/>
          <w:szCs w:val="22"/>
        </w:rPr>
        <w:t xml:space="preserve"> </w:t>
      </w:r>
    </w:p>
    <w:p w:rsidR="00AD0FA8" w:rsidRDefault="00322D2E">
      <w:pPr>
        <w:pStyle w:val="21"/>
        <w:tabs>
          <w:tab w:val="right" w:leader="dot" w:pos="8835"/>
        </w:tabs>
        <w:rPr>
          <w:vanish/>
        </w:rPr>
      </w:pPr>
      <w:hyperlink w:anchor="_Toc51346565811" w:history="1">
        <w:r w:rsidR="000557A3">
          <w:rPr>
            <w:rStyle w:val="a3"/>
            <w:rFonts w:hint="eastAsia"/>
            <w:noProof/>
            <w:vanish/>
          </w:rPr>
          <w:t>7.1 场外销售机构</w:t>
        </w:r>
      </w:hyperlink>
      <w:r w:rsidR="000557A3">
        <w:rPr>
          <w:rFonts w:asciiTheme="minorHAnsi" w:eastAsiaTheme="minorEastAsia" w:hAnsiTheme="minorHAnsi" w:cstheme="minorBidi"/>
          <w:noProof/>
          <w:vanish/>
          <w:szCs w:val="22"/>
        </w:rPr>
        <w:t xml:space="preserve"> </w:t>
      </w:r>
    </w:p>
    <w:p w:rsidR="00AD0FA8" w:rsidRDefault="00322D2E">
      <w:pPr>
        <w:pStyle w:val="31"/>
        <w:tabs>
          <w:tab w:val="right" w:leader="dot" w:pos="8835"/>
        </w:tabs>
        <w:rPr>
          <w:vanish/>
        </w:rPr>
      </w:pPr>
      <w:hyperlink w:anchor="_Toc51346565911" w:history="1">
        <w:r w:rsidR="000557A3">
          <w:rPr>
            <w:rStyle w:val="a3"/>
            <w:rFonts w:hint="eastAsia"/>
            <w:noProof/>
            <w:vanish/>
          </w:rPr>
          <w:t>7.1.1 直销机构</w:t>
        </w:r>
      </w:hyperlink>
      <w:r w:rsidR="000557A3">
        <w:rPr>
          <w:rFonts w:asciiTheme="minorHAnsi" w:eastAsiaTheme="minorEastAsia" w:hAnsiTheme="minorHAnsi" w:cstheme="minorBidi"/>
          <w:noProof/>
          <w:vanish/>
          <w:szCs w:val="22"/>
        </w:rPr>
        <w:t xml:space="preserve"> </w:t>
      </w:r>
    </w:p>
    <w:p w:rsidR="00AD0FA8" w:rsidRDefault="00322D2E">
      <w:pPr>
        <w:pStyle w:val="31"/>
        <w:tabs>
          <w:tab w:val="right" w:leader="dot" w:pos="8835"/>
        </w:tabs>
        <w:rPr>
          <w:vanish/>
        </w:rPr>
      </w:pPr>
      <w:hyperlink w:anchor="_Toc51346566011" w:history="1">
        <w:r w:rsidR="000557A3">
          <w:rPr>
            <w:rStyle w:val="a3"/>
            <w:rFonts w:hint="eastAsia"/>
            <w:noProof/>
            <w:vanish/>
          </w:rPr>
          <w:t>7.1.2 场外非直销机构</w:t>
        </w:r>
      </w:hyperlink>
      <w:r w:rsidR="000557A3">
        <w:rPr>
          <w:rFonts w:asciiTheme="minorHAnsi" w:eastAsiaTheme="minorEastAsia" w:hAnsiTheme="minorHAnsi" w:cstheme="minorBidi"/>
          <w:noProof/>
          <w:vanish/>
          <w:szCs w:val="22"/>
        </w:rPr>
        <w:t xml:space="preserve"> </w:t>
      </w:r>
    </w:p>
    <w:p w:rsidR="00AD0FA8" w:rsidRDefault="00322D2E">
      <w:pPr>
        <w:pStyle w:val="21"/>
        <w:tabs>
          <w:tab w:val="right" w:leader="dot" w:pos="8835"/>
        </w:tabs>
        <w:rPr>
          <w:vanish/>
        </w:rPr>
      </w:pPr>
      <w:hyperlink w:anchor="_Toc34841044" w:history="1">
        <w:r w:rsidR="000557A3">
          <w:rPr>
            <w:rStyle w:val="a3"/>
            <w:rFonts w:hint="eastAsia"/>
            <w:noProof/>
            <w:vanish/>
          </w:rPr>
          <w:t>7.2 场内销售机构</w:t>
        </w:r>
      </w:hyperlink>
      <w:r w:rsidR="000557A3">
        <w:rPr>
          <w:rFonts w:asciiTheme="minorHAnsi" w:eastAsiaTheme="minorEastAsia" w:hAnsiTheme="minorHAnsi" w:cstheme="minorBidi"/>
          <w:noProof/>
          <w:vanish/>
          <w:szCs w:val="22"/>
        </w:rPr>
        <w:t xml:space="preserve"> </w:t>
      </w:r>
    </w:p>
    <w:p w:rsidR="00AD0FA8" w:rsidRDefault="00322D2E">
      <w:pPr>
        <w:pStyle w:val="11"/>
        <w:rPr>
          <w:vanish/>
        </w:rPr>
      </w:pPr>
      <w:hyperlink w:anchor="_Toc34841045" w:history="1">
        <w:r w:rsidR="000557A3">
          <w:rPr>
            <w:rStyle w:val="a3"/>
            <w:rFonts w:hint="eastAsia"/>
            <w:vanish/>
          </w:rPr>
          <w:t>8 基金份额净值公告/基金收益公告的披露安排</w:t>
        </w:r>
      </w:hyperlink>
      <w:r w:rsidR="000557A3">
        <w:rPr>
          <w:rFonts w:asciiTheme="minorHAnsi" w:eastAsiaTheme="minorEastAsia" w:hAnsiTheme="minorHAnsi" w:cstheme="minorBidi"/>
          <w:vanish/>
          <w:szCs w:val="22"/>
        </w:rPr>
        <w:t xml:space="preserve"> </w:t>
      </w:r>
    </w:p>
    <w:p w:rsidR="00AD0FA8" w:rsidRDefault="00322D2E">
      <w:pPr>
        <w:pStyle w:val="11"/>
        <w:rPr>
          <w:vanish/>
        </w:rPr>
      </w:pPr>
      <w:hyperlink w:anchor="_Toc34841046" w:history="1">
        <w:r w:rsidR="000557A3">
          <w:rPr>
            <w:rStyle w:val="a3"/>
            <w:rFonts w:hint="eastAsia"/>
            <w:vanish/>
          </w:rPr>
          <w:t>9 其他需要提示的事项</w:t>
        </w:r>
      </w:hyperlink>
      <w:r w:rsidR="000557A3">
        <w:rPr>
          <w:rFonts w:asciiTheme="minorHAnsi" w:eastAsiaTheme="minorEastAsia" w:hAnsiTheme="minorHAnsi" w:cstheme="minorBidi"/>
          <w:vanish/>
          <w:szCs w:val="22"/>
        </w:rPr>
        <w:t xml:space="preserve"> </w:t>
      </w:r>
    </w:p>
    <w:p w:rsidR="00AD0FA8" w:rsidRDefault="000557A3">
      <w:pPr>
        <w:pStyle w:val="XBRLTitle1"/>
        <w:spacing w:before="156" w:line="360" w:lineRule="auto"/>
        <w:ind w:left="425"/>
      </w:pPr>
      <w:bookmarkStart w:id="3" w:name="_Toc34758519"/>
      <w:bookmarkStart w:id="4" w:name="_Toc513295892"/>
      <w:bookmarkStart w:id="5" w:name="_Toc513295846"/>
      <w:bookmarkStart w:id="6" w:name="_Toc490050000"/>
      <w:bookmarkStart w:id="7" w:name="_Toc438646451"/>
      <w:bookmarkStart w:id="8" w:name="_Toc481075046"/>
      <w:bookmarkStart w:id="9" w:name="_Toc512519480"/>
      <w:bookmarkStart w:id="10" w:name="_Toc17897936"/>
      <w:bookmarkStart w:id="11" w:name="_Toc17898178"/>
      <w:bookmarkStart w:id="12" w:name="_Toc34841028"/>
      <w:bookmarkStart w:id="13" w:name="m101"/>
      <w:r>
        <w:rPr>
          <w:rFonts w:hAnsi="宋体" w:hint="eastAsia"/>
        </w:rPr>
        <w:t>公告基本信息</w:t>
      </w:r>
      <w:bookmarkEnd w:id="3"/>
      <w:bookmarkEnd w:id="4"/>
      <w:bookmarkEnd w:id="5"/>
      <w:bookmarkEnd w:id="6"/>
      <w:bookmarkEnd w:id="7"/>
      <w:bookmarkEnd w:id="8"/>
      <w:bookmarkEnd w:id="9"/>
      <w:bookmarkEnd w:id="10"/>
      <w:bookmarkEnd w:id="11"/>
      <w:bookmarkEnd w:id="12"/>
      <w:r>
        <w:rPr>
          <w:rFonts w:hAnsi="宋体" w:hint="eastAsia"/>
          <w:szCs w:val="44"/>
        </w:rPr>
        <w:t xml:space="preserve"> </w:t>
      </w:r>
    </w:p>
    <w:tbl>
      <w:tblPr>
        <w:tblStyle w:val="af8"/>
        <w:tblW w:w="0" w:type="auto"/>
        <w:tblInd w:w="0" w:type="dxa"/>
        <w:tblLook w:val="04A0"/>
      </w:tblPr>
      <w:tblGrid>
        <w:gridCol w:w="3652"/>
        <w:gridCol w:w="4870"/>
      </w:tblGrid>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基金名称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Pr="00152060" w:rsidRDefault="0087786C">
            <w:pPr>
              <w:rPr>
                <w:lang/>
              </w:rPr>
            </w:pPr>
            <w:r w:rsidRPr="0087786C">
              <w:rPr>
                <w:rFonts w:asciiTheme="minorEastAsia" w:eastAsiaTheme="minorEastAsia" w:hAnsiTheme="minorEastAsia" w:hint="eastAsia"/>
              </w:rPr>
              <w:t>华泰柏瑞恒生创新药交易型开放式指数证券投资基金（</w:t>
            </w:r>
            <w:r w:rsidRPr="0087786C">
              <w:rPr>
                <w:rFonts w:asciiTheme="minorEastAsia" w:eastAsiaTheme="minorEastAsia" w:hAnsiTheme="minorEastAsia"/>
              </w:rPr>
              <w:t>QDII）</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基金简称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87786C" w:rsidP="008017F2">
            <w:r w:rsidRPr="0087786C">
              <w:rPr>
                <w:rFonts w:asciiTheme="minorEastAsia" w:eastAsiaTheme="minorEastAsia" w:hAnsiTheme="minorEastAsia" w:hint="eastAsia"/>
              </w:rPr>
              <w:t>恒生新药</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基金主代码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87786C" w:rsidP="008017F2">
            <w:r w:rsidRPr="0087786C">
              <w:rPr>
                <w:rFonts w:asciiTheme="minorEastAsia" w:eastAsiaTheme="minorEastAsia" w:hAnsiTheme="minorEastAsia"/>
              </w:rPr>
              <w:t>520500</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基金运作方式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87786C">
            <w:r w:rsidRPr="0087786C">
              <w:rPr>
                <w:rFonts w:asciiTheme="minorEastAsia" w:eastAsiaTheme="minorEastAsia" w:hAnsiTheme="minorEastAsia" w:hint="eastAsia"/>
              </w:rPr>
              <w:t>交易型开放式</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基金合同生效日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ED1A38" w:rsidP="008017F2">
            <w:r w:rsidRPr="00ED1A38">
              <w:rPr>
                <w:rFonts w:asciiTheme="minorEastAsia" w:eastAsiaTheme="minorEastAsia" w:hAnsiTheme="minorEastAsia"/>
              </w:rPr>
              <w:t>2024 年 12 月 16 日</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基金管理人名称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华泰柏瑞基金管理有限公司</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基金托管人名称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87786C">
            <w:r w:rsidRPr="0087786C">
              <w:rPr>
                <w:rFonts w:hint="eastAsia"/>
              </w:rPr>
              <w:t>中国农业银行股份有限公司</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基金注册登记机构名称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B576EE">
            <w:r w:rsidRPr="00B576EE">
              <w:rPr>
                <w:rFonts w:hint="eastAsia"/>
              </w:rPr>
              <w:t>中国证券登记结算有限责任公司</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公告依据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B576EE">
            <w:r w:rsidRPr="00B576EE">
              <w:rPr>
                <w:rFonts w:asciiTheme="minorEastAsia" w:eastAsiaTheme="minorEastAsia" w:hAnsiTheme="minorEastAsia" w:hint="eastAsia"/>
              </w:rPr>
              <w:t>《中华人民共和国证券投资基金法》及其配套法规、《</w:t>
            </w:r>
            <w:r w:rsidR="0087786C" w:rsidRPr="0087786C">
              <w:rPr>
                <w:rFonts w:asciiTheme="minorEastAsia" w:eastAsiaTheme="minorEastAsia" w:hAnsiTheme="minorEastAsia" w:hint="eastAsia"/>
              </w:rPr>
              <w:t>华泰柏瑞恒生创新药交易型开放式指数证券投资基金（</w:t>
            </w:r>
            <w:r w:rsidR="0087786C" w:rsidRPr="0087786C">
              <w:rPr>
                <w:rFonts w:asciiTheme="minorEastAsia" w:eastAsiaTheme="minorEastAsia" w:hAnsiTheme="minorEastAsia"/>
              </w:rPr>
              <w:t>QDII）</w:t>
            </w:r>
            <w:r w:rsidRPr="00B576EE">
              <w:rPr>
                <w:rFonts w:asciiTheme="minorEastAsia" w:eastAsiaTheme="minorEastAsia" w:hAnsiTheme="minorEastAsia" w:hint="eastAsia"/>
              </w:rPr>
              <w:t>基金合同》、《</w:t>
            </w:r>
            <w:r w:rsidR="0087786C" w:rsidRPr="0087786C">
              <w:rPr>
                <w:rFonts w:asciiTheme="minorEastAsia" w:eastAsiaTheme="minorEastAsia" w:hAnsiTheme="minorEastAsia" w:hint="eastAsia"/>
              </w:rPr>
              <w:t>华泰柏瑞恒生创新药交易型开放式指数证券投资基金（</w:t>
            </w:r>
            <w:r w:rsidR="0087786C" w:rsidRPr="0087786C">
              <w:rPr>
                <w:rFonts w:asciiTheme="minorEastAsia" w:eastAsiaTheme="minorEastAsia" w:hAnsiTheme="minorEastAsia"/>
              </w:rPr>
              <w:t>QDII）</w:t>
            </w:r>
            <w:r w:rsidRPr="00B576EE">
              <w:rPr>
                <w:rFonts w:asciiTheme="minorEastAsia" w:eastAsiaTheme="minorEastAsia" w:hAnsiTheme="minorEastAsia" w:hint="eastAsia"/>
              </w:rPr>
              <w:t>招募说明书》</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申购起始日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B576EE" w:rsidP="00CB1CE9">
            <w:r w:rsidRPr="00B576EE">
              <w:rPr>
                <w:rFonts w:asciiTheme="minorEastAsia" w:eastAsiaTheme="minorEastAsia" w:hAnsiTheme="minorEastAsia"/>
              </w:rPr>
              <w:t>2024年1</w:t>
            </w:r>
            <w:r w:rsidR="00ED1A38">
              <w:rPr>
                <w:rFonts w:asciiTheme="minorEastAsia" w:eastAsiaTheme="minorEastAsia" w:hAnsiTheme="minorEastAsia"/>
              </w:rPr>
              <w:t>2</w:t>
            </w:r>
            <w:r w:rsidRPr="00B576EE">
              <w:rPr>
                <w:rFonts w:asciiTheme="minorEastAsia" w:eastAsiaTheme="minorEastAsia" w:hAnsiTheme="minorEastAsia"/>
              </w:rPr>
              <w:t>月</w:t>
            </w:r>
            <w:r w:rsidR="00ED1A38">
              <w:rPr>
                <w:rFonts w:asciiTheme="minorEastAsia" w:eastAsiaTheme="minorEastAsia" w:hAnsiTheme="minorEastAsia"/>
              </w:rPr>
              <w:t>2</w:t>
            </w:r>
            <w:r w:rsidR="0087786C">
              <w:rPr>
                <w:rFonts w:asciiTheme="minorEastAsia" w:eastAsiaTheme="minorEastAsia" w:hAnsiTheme="minorEastAsia"/>
              </w:rPr>
              <w:t>7</w:t>
            </w:r>
            <w:r w:rsidRPr="00B576EE">
              <w:rPr>
                <w:rFonts w:asciiTheme="minorEastAsia" w:eastAsiaTheme="minorEastAsia" w:hAnsiTheme="minorEastAsia"/>
              </w:rPr>
              <w:t>日</w:t>
            </w:r>
          </w:p>
        </w:tc>
      </w:tr>
      <w:tr w:rsidR="00AD0FA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0557A3">
            <w:r>
              <w:rPr>
                <w:rFonts w:asciiTheme="minorEastAsia" w:eastAsiaTheme="minorEastAsia" w:hAnsiTheme="minorEastAsia" w:hint="eastAsia"/>
              </w:rPr>
              <w:t xml:space="preserve">赎回起始日 </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FA8" w:rsidRDefault="00ED1A38">
            <w:r w:rsidRPr="00B576EE">
              <w:rPr>
                <w:rFonts w:asciiTheme="minorEastAsia" w:eastAsiaTheme="minorEastAsia" w:hAnsiTheme="minorEastAsia"/>
              </w:rPr>
              <w:t>2024年1</w:t>
            </w:r>
            <w:r>
              <w:rPr>
                <w:rFonts w:asciiTheme="minorEastAsia" w:eastAsiaTheme="minorEastAsia" w:hAnsiTheme="minorEastAsia"/>
              </w:rPr>
              <w:t>2</w:t>
            </w:r>
            <w:r w:rsidRPr="00B576EE">
              <w:rPr>
                <w:rFonts w:asciiTheme="minorEastAsia" w:eastAsiaTheme="minorEastAsia" w:hAnsiTheme="minorEastAsia"/>
              </w:rPr>
              <w:t>月</w:t>
            </w:r>
            <w:r>
              <w:rPr>
                <w:rFonts w:asciiTheme="minorEastAsia" w:eastAsiaTheme="minorEastAsia" w:hAnsiTheme="minorEastAsia"/>
              </w:rPr>
              <w:t>2</w:t>
            </w:r>
            <w:r w:rsidR="0087786C">
              <w:rPr>
                <w:rFonts w:asciiTheme="minorEastAsia" w:eastAsiaTheme="minorEastAsia" w:hAnsiTheme="minorEastAsia"/>
              </w:rPr>
              <w:t>7</w:t>
            </w:r>
            <w:r w:rsidRPr="00B576EE">
              <w:rPr>
                <w:rFonts w:asciiTheme="minorEastAsia" w:eastAsiaTheme="minorEastAsia" w:hAnsiTheme="minorEastAsia"/>
              </w:rPr>
              <w:t>日</w:t>
            </w:r>
          </w:p>
        </w:tc>
      </w:tr>
    </w:tbl>
    <w:p w:rsidR="0087786C" w:rsidRPr="0087786C" w:rsidRDefault="000557A3" w:rsidP="0087786C">
      <w:pPr>
        <w:pStyle w:val="XBRLTitle1"/>
        <w:spacing w:before="156" w:line="360" w:lineRule="auto"/>
        <w:ind w:left="425"/>
      </w:pPr>
      <w:bookmarkStart w:id="14" w:name="_Toc34758520"/>
      <w:bookmarkStart w:id="15" w:name="_Toc34841029"/>
      <w:bookmarkStart w:id="16" w:name="_Toc513295893"/>
      <w:bookmarkStart w:id="17" w:name="_Toc513295847"/>
      <w:bookmarkStart w:id="18" w:name="_Toc490050001"/>
      <w:bookmarkStart w:id="19" w:name="_Toc438646452"/>
      <w:bookmarkStart w:id="20" w:name="_Toc481075047"/>
      <w:bookmarkStart w:id="21" w:name="_Toc512519481"/>
      <w:bookmarkStart w:id="22" w:name="_Toc17897937"/>
      <w:bookmarkStart w:id="23" w:name="_Toc17898179"/>
      <w:r>
        <w:rPr>
          <w:rFonts w:hAnsi="宋体" w:hint="eastAsia"/>
        </w:rPr>
        <w:t>日常申购、赎回业务的办理时间</w:t>
      </w:r>
      <w:bookmarkEnd w:id="14"/>
      <w:bookmarkEnd w:id="15"/>
      <w:r>
        <w:rPr>
          <w:rFonts w:hAnsi="宋体" w:hint="eastAsia"/>
        </w:rPr>
        <w:t xml:space="preserve"> </w:t>
      </w:r>
      <w:bookmarkStart w:id="24" w:name="m07_04_07_09"/>
      <w:bookmarkStart w:id="25" w:name="m07_04_07_09_tab"/>
      <w:bookmarkStart w:id="26" w:name="m201"/>
      <w:bookmarkStart w:id="27" w:name="m07_04_13_00"/>
      <w:bookmarkStart w:id="28" w:name="m201_01"/>
    </w:p>
    <w:p w:rsidR="0087786C" w:rsidRPr="0087786C" w:rsidRDefault="0087786C" w:rsidP="0087786C">
      <w:pPr>
        <w:spacing w:line="360" w:lineRule="auto"/>
        <w:ind w:firstLineChars="200" w:firstLine="420"/>
        <w:rPr>
          <w:szCs w:val="21"/>
        </w:rPr>
      </w:pPr>
      <w:r w:rsidRPr="0087786C">
        <w:rPr>
          <w:rFonts w:hint="eastAsia"/>
          <w:szCs w:val="21"/>
        </w:rPr>
        <w:t>投资人在开放日办理基金份额的申购和赎回，本基金的开放日为上海证券交易所、香港联合交易所的共同交易日，开放日的具体办理时间以销售机构公布时间为准，但基金管理人公告暂停申购、赎回时除外。若本基金的开放日发生变更，将在招募说明书（更新）或其他公告中进行列示。</w:t>
      </w:r>
    </w:p>
    <w:p w:rsidR="008017F2" w:rsidRDefault="0087786C" w:rsidP="0087786C">
      <w:pPr>
        <w:spacing w:line="360" w:lineRule="auto"/>
        <w:ind w:firstLineChars="200" w:firstLine="420"/>
        <w:rPr>
          <w:lang/>
        </w:rPr>
      </w:pPr>
      <w:r w:rsidRPr="0087786C">
        <w:rPr>
          <w:rFonts w:hint="eastAsia"/>
          <w:szCs w:val="21"/>
        </w:rPr>
        <w:t>基金合同生效后，若出现新的证券</w:t>
      </w:r>
      <w:r w:rsidRPr="0087786C">
        <w:rPr>
          <w:szCs w:val="21"/>
        </w:rPr>
        <w:t>/期货交易市场、证券/期货交易所交易时间变更、港股交易规则变更或其他特殊情况，基金管理人将视情况对前述开放日及开放时间进行相应的调整，</w:t>
      </w:r>
      <w:r w:rsidR="00CB1CE9">
        <w:rPr>
          <w:szCs w:val="21"/>
        </w:rPr>
        <w:t>但应在实施日前依照</w:t>
      </w:r>
      <w:r w:rsidR="008017F2">
        <w:rPr>
          <w:rFonts w:hint="eastAsia"/>
          <w:lang/>
        </w:rPr>
        <w:t>《公开募集证券投资基金信息披露管理办法》（以下简称“《信息披露办法》”）的有关规定在规定媒介上公告</w:t>
      </w:r>
      <w:r w:rsidR="001912BA">
        <w:rPr>
          <w:rFonts w:hint="eastAsia"/>
          <w:lang/>
        </w:rPr>
        <w:t>。</w:t>
      </w:r>
    </w:p>
    <w:p w:rsidR="00AD0FA8" w:rsidRDefault="000557A3">
      <w:pPr>
        <w:pStyle w:val="XBRLTitle1"/>
        <w:spacing w:before="156" w:line="360" w:lineRule="auto"/>
        <w:ind w:left="425"/>
      </w:pPr>
      <w:bookmarkStart w:id="29" w:name="_Toc34758521"/>
      <w:bookmarkStart w:id="30" w:name="_Toc34841030"/>
      <w:bookmarkStart w:id="31" w:name="_Toc513295894"/>
      <w:bookmarkStart w:id="32" w:name="_Toc513295848"/>
      <w:bookmarkStart w:id="33" w:name="_Toc490050003"/>
      <w:bookmarkStart w:id="34" w:name="_Toc438646455"/>
      <w:bookmarkStart w:id="35" w:name="_Toc481075049"/>
      <w:bookmarkStart w:id="36" w:name="_Toc512519482"/>
      <w:bookmarkStart w:id="37" w:name="_Toc17897938"/>
      <w:bookmarkStart w:id="38" w:name="_Toc17898180"/>
      <w:bookmarkStart w:id="39" w:name="m401"/>
      <w:bookmarkStart w:id="40" w:name="m401_tab"/>
      <w:r>
        <w:rPr>
          <w:rFonts w:hAnsi="宋体" w:hint="eastAsia"/>
        </w:rPr>
        <w:t>日常申购业务</w:t>
      </w:r>
      <w:bookmarkEnd w:id="29"/>
      <w:bookmarkEnd w:id="30"/>
      <w:r>
        <w:rPr>
          <w:rFonts w:hAnsi="宋体" w:hint="eastAsia"/>
        </w:rPr>
        <w:t xml:space="preserve"> </w:t>
      </w:r>
    </w:p>
    <w:p w:rsidR="00AD0FA8" w:rsidRDefault="000557A3">
      <w:pPr>
        <w:pStyle w:val="XBRLTitle2"/>
        <w:spacing w:before="156" w:line="360" w:lineRule="auto"/>
        <w:ind w:left="454"/>
      </w:pPr>
      <w:bookmarkStart w:id="41" w:name="_Toc34758522"/>
      <w:bookmarkStart w:id="42" w:name="_Toc513295895"/>
      <w:bookmarkStart w:id="43" w:name="_Toc513295849"/>
      <w:bookmarkStart w:id="44" w:name="_Toc490050004"/>
      <w:bookmarkStart w:id="45" w:name="_Toc438646456"/>
      <w:bookmarkStart w:id="46" w:name="_Toc481075050"/>
      <w:bookmarkStart w:id="47" w:name="_Toc512519483"/>
      <w:bookmarkStart w:id="48" w:name="_Toc17897939"/>
      <w:bookmarkStart w:id="49" w:name="_Toc17898181"/>
      <w:bookmarkStart w:id="50" w:name="_Toc34841031"/>
      <w:r>
        <w:rPr>
          <w:rFonts w:hAnsi="宋体" w:hint="eastAsia"/>
        </w:rPr>
        <w:t>申购金额限制</w:t>
      </w:r>
      <w:bookmarkEnd w:id="41"/>
      <w:bookmarkEnd w:id="42"/>
      <w:bookmarkEnd w:id="43"/>
      <w:bookmarkEnd w:id="44"/>
      <w:bookmarkEnd w:id="45"/>
      <w:bookmarkEnd w:id="46"/>
      <w:bookmarkEnd w:id="47"/>
      <w:bookmarkEnd w:id="48"/>
      <w:bookmarkEnd w:id="49"/>
      <w:bookmarkEnd w:id="50"/>
      <w:r>
        <w:rPr>
          <w:rFonts w:hAnsi="宋体" w:hint="eastAsia"/>
        </w:rPr>
        <w:t xml:space="preserve"> </w:t>
      </w:r>
    </w:p>
    <w:p w:rsidR="00B576EE" w:rsidRDefault="00B576EE" w:rsidP="00B576EE">
      <w:pPr>
        <w:spacing w:line="360" w:lineRule="auto"/>
        <w:ind w:firstLineChars="200" w:firstLine="420"/>
        <w:rPr>
          <w:lang/>
        </w:rPr>
      </w:pPr>
      <w:r>
        <w:rPr>
          <w:rFonts w:hint="eastAsia"/>
          <w:lang/>
        </w:rPr>
        <w:t>投资者申购、赎回的基金份额需为最小申购、赎回单位的整数倍。本基金最小申购赎回单位为</w:t>
      </w:r>
      <w:r w:rsidR="0087786C" w:rsidRPr="0087786C">
        <w:rPr>
          <w:lang/>
        </w:rPr>
        <w:t>100万份</w:t>
      </w:r>
      <w:r>
        <w:rPr>
          <w:lang/>
        </w:rPr>
        <w:t>。</w:t>
      </w:r>
    </w:p>
    <w:p w:rsidR="001912BA" w:rsidRDefault="0087786C" w:rsidP="00B576EE">
      <w:pPr>
        <w:spacing w:line="360" w:lineRule="auto"/>
        <w:ind w:firstLineChars="200" w:firstLine="420"/>
        <w:rPr>
          <w:lang/>
        </w:rPr>
      </w:pPr>
      <w:r w:rsidRPr="0087786C">
        <w:rPr>
          <w:rFonts w:hint="eastAsia"/>
          <w:lang/>
        </w:rPr>
        <w:t>当接受申购申请对存量基金份额持有人利益构成潜在重大不利影响时，基金管理人应当采取设定单一投资者申购份额上限、拒绝大额申购、暂停基金申购等措施，切实保护存量基金份额持有人的合法权益。基金管理人基于投资运作与风险控制的需要，可采取上述措施对基金规模予以控制。具体见基金管理人相关公告。</w:t>
      </w:r>
    </w:p>
    <w:p w:rsidR="001912BA" w:rsidRDefault="0087786C" w:rsidP="00B576EE">
      <w:pPr>
        <w:spacing w:line="360" w:lineRule="auto"/>
        <w:ind w:firstLineChars="200" w:firstLine="420"/>
      </w:pPr>
      <w:r w:rsidRPr="0087786C">
        <w:rPr>
          <w:rFonts w:hint="eastAsia"/>
          <w:lang/>
        </w:rPr>
        <w:t>基金管理人可以根据市场情况、市场变化以及投资者需求等因素，在法律法规允许的情况下，</w:t>
      </w:r>
      <w:r w:rsidRPr="0087786C">
        <w:rPr>
          <w:rFonts w:hint="eastAsia"/>
          <w:lang/>
        </w:rPr>
        <w:lastRenderedPageBreak/>
        <w:t>调整上述规定申购和赎回份额的数量限制。</w:t>
      </w:r>
      <w:r w:rsidR="00ED1A38" w:rsidRPr="00ED1A38">
        <w:rPr>
          <w:rFonts w:hint="eastAsia"/>
          <w:lang/>
        </w:rPr>
        <w:t>基金管理人必须在调整前依照《信息披露办法》的有关规定在规定媒介上公告。</w:t>
      </w:r>
    </w:p>
    <w:p w:rsidR="00AD0FA8" w:rsidRDefault="000557A3">
      <w:pPr>
        <w:pStyle w:val="XBRLTitle2"/>
        <w:spacing w:before="156" w:line="360" w:lineRule="auto"/>
        <w:ind w:left="454"/>
      </w:pPr>
      <w:bookmarkStart w:id="51" w:name="_Toc513465658"/>
      <w:bookmarkStart w:id="52" w:name="_Toc512519484"/>
      <w:bookmarkStart w:id="53" w:name="_Toc481075051"/>
      <w:bookmarkStart w:id="54" w:name="_Toc438646457"/>
      <w:bookmarkStart w:id="55" w:name="_Toc490050005"/>
      <w:r>
        <w:rPr>
          <w:rFonts w:hAnsi="宋体" w:hint="eastAsia"/>
        </w:rPr>
        <w:t>申购费率</w:t>
      </w:r>
      <w:bookmarkEnd w:id="51"/>
      <w:r>
        <w:rPr>
          <w:rFonts w:hAnsi="宋体" w:hint="eastAsia"/>
        </w:rPr>
        <w:t xml:space="preserve"> </w:t>
      </w:r>
    </w:p>
    <w:p w:rsidR="007657C3" w:rsidRDefault="0087786C" w:rsidP="008017F2">
      <w:pPr>
        <w:spacing w:line="360" w:lineRule="auto"/>
        <w:ind w:firstLineChars="200" w:firstLine="420"/>
        <w:rPr>
          <w:lang/>
        </w:rPr>
      </w:pPr>
      <w:r w:rsidRPr="0087786C">
        <w:rPr>
          <w:rFonts w:hint="eastAsia"/>
          <w:lang/>
        </w:rPr>
        <w:t>投资者在申购或赎回基金份额时，申购赎回代理券商可按照不超过</w:t>
      </w:r>
      <w:r w:rsidRPr="0087786C">
        <w:rPr>
          <w:lang/>
        </w:rPr>
        <w:t>0.5%的标准收取佣金，其中包含证券交易所、登记机构等收取的相关费用。</w:t>
      </w:r>
    </w:p>
    <w:p w:rsidR="00AD0FA8" w:rsidRDefault="000557A3">
      <w:pPr>
        <w:pStyle w:val="XBRLTitle2"/>
        <w:spacing w:before="156"/>
        <w:ind w:left="454"/>
      </w:pPr>
      <w:bookmarkStart w:id="56" w:name="_Toc34758524"/>
      <w:bookmarkStart w:id="57" w:name="_Toc34841033"/>
      <w:bookmarkStart w:id="58" w:name="_Toc512519485"/>
      <w:bookmarkStart w:id="59" w:name="_Toc481075052"/>
      <w:bookmarkStart w:id="60" w:name="_Toc490050006"/>
      <w:bookmarkStart w:id="61" w:name="_Toc512519486"/>
      <w:bookmarkStart w:id="62" w:name="_Toc481075053"/>
      <w:bookmarkStart w:id="63" w:name="_Toc490050007"/>
      <w:bookmarkStart w:id="64" w:name="m03_03"/>
      <w:bookmarkStart w:id="65" w:name="_Toc454983260"/>
      <w:bookmarkStart w:id="66" w:name="_Toc452398732"/>
      <w:bookmarkStart w:id="67" w:name="_Toc453852604"/>
      <w:bookmarkStart w:id="68" w:name="_Toc485300223"/>
      <w:bookmarkStart w:id="69" w:name="_Toc244948694"/>
      <w:bookmarkStart w:id="70" w:name="_Toc245003735"/>
      <w:bookmarkStart w:id="71" w:name="_Toc247616208"/>
      <w:bookmarkStart w:id="72" w:name="_Toc433036679"/>
      <w:bookmarkStart w:id="73" w:name="_Toc506208214"/>
      <w:bookmarkStart w:id="74" w:name="_Toc497398101"/>
      <w:bookmarkStart w:id="75" w:name="_Toc17897941"/>
      <w:bookmarkStart w:id="76" w:name="_Toc17898185"/>
      <w:r>
        <w:rPr>
          <w:rFonts w:hint="eastAsia"/>
        </w:rPr>
        <w:t>其他与申购相关的事项</w:t>
      </w:r>
      <w:bookmarkEnd w:id="56"/>
      <w:bookmarkEnd w:id="57"/>
    </w:p>
    <w:p w:rsidR="00CB1CE9" w:rsidRDefault="000557A3" w:rsidP="00CB1CE9">
      <w:pPr>
        <w:spacing w:line="360" w:lineRule="auto"/>
        <w:ind w:firstLineChars="200" w:firstLine="420"/>
        <w:rPr>
          <w:lang/>
        </w:rPr>
      </w:pPr>
      <w:r>
        <w:rPr>
          <w:rFonts w:hint="eastAsia"/>
          <w:lang/>
        </w:rPr>
        <w:t>（一）申购与赎回的场所</w:t>
      </w:r>
    </w:p>
    <w:p w:rsidR="0087786C" w:rsidRDefault="0087786C" w:rsidP="0087786C">
      <w:pPr>
        <w:spacing w:line="360" w:lineRule="auto"/>
        <w:ind w:firstLineChars="200" w:firstLine="420"/>
        <w:rPr>
          <w:lang/>
        </w:rPr>
      </w:pPr>
      <w:r>
        <w:rPr>
          <w:rFonts w:hint="eastAsia"/>
          <w:lang/>
        </w:rPr>
        <w:t>投资者应当在申购赎回代理券商的营业场所按申购赎回代理券商提供的方式办理基金的申购和赎回。</w:t>
      </w:r>
    </w:p>
    <w:p w:rsidR="00B3689A" w:rsidRDefault="0087786C" w:rsidP="0087786C">
      <w:pPr>
        <w:spacing w:line="360" w:lineRule="auto"/>
        <w:ind w:firstLineChars="200" w:firstLine="420"/>
        <w:rPr>
          <w:lang/>
        </w:rPr>
      </w:pPr>
      <w:r>
        <w:rPr>
          <w:rFonts w:hint="eastAsia"/>
          <w:lang/>
        </w:rPr>
        <w:t>基金管理人将在开始申购、赎回业务前在基金管理人网站公示申购赎回代理券商的名单，并可依据实际情况增加或减少申购赎回代理券商，并在基金管理人网站公示。</w:t>
      </w:r>
      <w:r w:rsidR="000557A3">
        <w:rPr>
          <w:rFonts w:hint="eastAsia"/>
          <w:lang/>
        </w:rPr>
        <w:br/>
        <w:t xml:space="preserve">　　（二）申购与赎回的原则</w:t>
      </w:r>
    </w:p>
    <w:p w:rsidR="0087786C" w:rsidRDefault="0087786C" w:rsidP="0087786C">
      <w:pPr>
        <w:spacing w:line="360" w:lineRule="auto"/>
        <w:ind w:firstLineChars="200" w:firstLine="420"/>
        <w:rPr>
          <w:lang/>
        </w:rPr>
      </w:pPr>
      <w:r>
        <w:rPr>
          <w:lang/>
        </w:rPr>
        <w:t xml:space="preserve">1、本基金采用份额申购和份额赎回的方式，即申购和赎回均以份额申请； </w:t>
      </w:r>
    </w:p>
    <w:p w:rsidR="0087786C" w:rsidRDefault="0087786C" w:rsidP="0087786C">
      <w:pPr>
        <w:spacing w:line="360" w:lineRule="auto"/>
        <w:ind w:firstLineChars="200" w:firstLine="420"/>
        <w:rPr>
          <w:lang/>
        </w:rPr>
      </w:pPr>
      <w:r>
        <w:rPr>
          <w:lang/>
        </w:rPr>
        <w:t>2、本基金的申购对价、赎回对价包括现金替代、现金差额及其他对价；在条件成熟的情况下，如交易所推出新的申购赎回模式时，基金的申购对价、赎回对价也可包括组合证券；</w:t>
      </w:r>
    </w:p>
    <w:p w:rsidR="0087786C" w:rsidRDefault="0087786C" w:rsidP="0087786C">
      <w:pPr>
        <w:spacing w:line="360" w:lineRule="auto"/>
        <w:ind w:firstLineChars="200" w:firstLine="420"/>
        <w:rPr>
          <w:lang/>
        </w:rPr>
      </w:pPr>
      <w:r>
        <w:rPr>
          <w:lang/>
        </w:rPr>
        <w:t xml:space="preserve">3、申购、赎回申请提交后不得撤销； </w:t>
      </w:r>
    </w:p>
    <w:p w:rsidR="0087786C" w:rsidRDefault="0087786C" w:rsidP="0087786C">
      <w:pPr>
        <w:spacing w:line="360" w:lineRule="auto"/>
        <w:ind w:firstLineChars="200" w:firstLine="420"/>
        <w:rPr>
          <w:lang/>
        </w:rPr>
      </w:pPr>
      <w:r>
        <w:rPr>
          <w:lang/>
        </w:rPr>
        <w:t>4、申购赎回应遵守《业务规则》的规定；</w:t>
      </w:r>
    </w:p>
    <w:p w:rsidR="0087786C" w:rsidRDefault="0087786C" w:rsidP="0087786C">
      <w:pPr>
        <w:spacing w:line="360" w:lineRule="auto"/>
        <w:ind w:firstLineChars="200" w:firstLine="420"/>
        <w:rPr>
          <w:lang/>
        </w:rPr>
      </w:pPr>
      <w:r>
        <w:rPr>
          <w:lang/>
        </w:rPr>
        <w:t>5、本基金申购、赎回的币种为人民币；基金管理人可以在不违反法律法规规定的情况下，增加其他币种的申购、赎回，其他币种申购、赎回的具体规则届时将另行公告；</w:t>
      </w:r>
    </w:p>
    <w:p w:rsidR="0087786C" w:rsidRDefault="0087786C" w:rsidP="0087786C">
      <w:pPr>
        <w:spacing w:line="360" w:lineRule="auto"/>
        <w:ind w:firstLineChars="200" w:firstLine="420"/>
        <w:rPr>
          <w:lang/>
        </w:rPr>
      </w:pPr>
      <w:r>
        <w:rPr>
          <w:lang/>
        </w:rPr>
        <w:t>6、办理申购、赎回业务时，应当遵循基金份额持有人利益优先原则，确保投资者的合法权益不受损害并得到公平对待。</w:t>
      </w:r>
    </w:p>
    <w:p w:rsidR="00B3689A" w:rsidRDefault="00ED1A38" w:rsidP="0087786C">
      <w:pPr>
        <w:spacing w:line="360" w:lineRule="auto"/>
        <w:ind w:firstLineChars="200" w:firstLine="420"/>
        <w:rPr>
          <w:bCs/>
          <w:szCs w:val="21"/>
        </w:rPr>
      </w:pPr>
      <w:r>
        <w:rPr>
          <w:rFonts w:hint="eastAsia"/>
          <w:lang/>
        </w:rPr>
        <w:t>基金管理人可在法律法规允许的情况下，对上述原则进行调整。基金管理人必须在新规则开始实施前依照《信息披露办法》的有关规定在规定媒介上公告。</w:t>
      </w:r>
      <w:r w:rsidR="000557A3">
        <w:rPr>
          <w:rFonts w:hint="eastAsia"/>
          <w:lang/>
        </w:rPr>
        <w:br/>
        <w:t xml:space="preserve">　　（三）申购与赎回的程序</w:t>
      </w:r>
    </w:p>
    <w:p w:rsidR="0087786C" w:rsidRPr="0087786C" w:rsidRDefault="0087786C" w:rsidP="0087786C">
      <w:pPr>
        <w:spacing w:line="360" w:lineRule="auto"/>
        <w:ind w:firstLineChars="200" w:firstLine="420"/>
        <w:rPr>
          <w:bCs/>
          <w:szCs w:val="21"/>
        </w:rPr>
      </w:pPr>
      <w:r w:rsidRPr="0087786C">
        <w:rPr>
          <w:bCs/>
          <w:szCs w:val="21"/>
        </w:rPr>
        <w:t>1、申购和赎回的申请方式</w:t>
      </w:r>
    </w:p>
    <w:p w:rsidR="0087786C" w:rsidRPr="0087786C" w:rsidRDefault="0087786C" w:rsidP="0087786C">
      <w:pPr>
        <w:spacing w:line="360" w:lineRule="auto"/>
        <w:ind w:firstLineChars="200" w:firstLine="420"/>
        <w:rPr>
          <w:bCs/>
          <w:szCs w:val="21"/>
        </w:rPr>
      </w:pPr>
      <w:r w:rsidRPr="0087786C">
        <w:rPr>
          <w:rFonts w:hint="eastAsia"/>
          <w:bCs/>
          <w:szCs w:val="21"/>
        </w:rPr>
        <w:t>投资人必须根据申购赎回代理券商规定的程序，在开放日的具体业务办理时间内提出申购或赎回的申请。</w:t>
      </w:r>
    </w:p>
    <w:p w:rsidR="0087786C" w:rsidRPr="0087786C" w:rsidRDefault="0087786C" w:rsidP="0087786C">
      <w:pPr>
        <w:spacing w:line="360" w:lineRule="auto"/>
        <w:ind w:firstLineChars="200" w:firstLine="420"/>
        <w:rPr>
          <w:bCs/>
          <w:szCs w:val="21"/>
        </w:rPr>
      </w:pPr>
      <w:r w:rsidRPr="0087786C">
        <w:rPr>
          <w:bCs/>
          <w:szCs w:val="21"/>
        </w:rPr>
        <w:t>2、申购和赎回申请的确认</w:t>
      </w:r>
    </w:p>
    <w:p w:rsidR="0087786C" w:rsidRPr="0087786C" w:rsidRDefault="0087786C" w:rsidP="0087786C">
      <w:pPr>
        <w:spacing w:line="360" w:lineRule="auto"/>
        <w:ind w:firstLineChars="200" w:firstLine="420"/>
        <w:rPr>
          <w:bCs/>
          <w:szCs w:val="21"/>
        </w:rPr>
      </w:pPr>
      <w:r w:rsidRPr="0087786C">
        <w:rPr>
          <w:rFonts w:hint="eastAsia"/>
          <w:bCs/>
          <w:szCs w:val="21"/>
        </w:rPr>
        <w:t>基金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87786C" w:rsidRPr="0087786C" w:rsidRDefault="0087786C" w:rsidP="0087786C">
      <w:pPr>
        <w:spacing w:line="360" w:lineRule="auto"/>
        <w:ind w:firstLineChars="200" w:firstLine="420"/>
        <w:rPr>
          <w:bCs/>
          <w:szCs w:val="21"/>
        </w:rPr>
      </w:pPr>
      <w:r w:rsidRPr="0087786C">
        <w:rPr>
          <w:rFonts w:hint="eastAsia"/>
          <w:bCs/>
          <w:szCs w:val="21"/>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rsidR="0087786C" w:rsidRPr="0087786C" w:rsidRDefault="0087786C" w:rsidP="0087786C">
      <w:pPr>
        <w:spacing w:line="360" w:lineRule="auto"/>
        <w:ind w:firstLineChars="200" w:firstLine="420"/>
        <w:rPr>
          <w:bCs/>
          <w:szCs w:val="21"/>
        </w:rPr>
      </w:pPr>
      <w:r w:rsidRPr="0087786C">
        <w:rPr>
          <w:bCs/>
          <w:szCs w:val="21"/>
        </w:rPr>
        <w:t>3、申购和赎回的清算交收与登记</w:t>
      </w:r>
    </w:p>
    <w:p w:rsidR="0087786C" w:rsidRPr="0087786C" w:rsidRDefault="0087786C" w:rsidP="0087786C">
      <w:pPr>
        <w:spacing w:line="360" w:lineRule="auto"/>
        <w:ind w:firstLineChars="200" w:firstLine="420"/>
        <w:rPr>
          <w:bCs/>
          <w:szCs w:val="21"/>
        </w:rPr>
      </w:pPr>
      <w:r w:rsidRPr="0087786C">
        <w:rPr>
          <w:rFonts w:hint="eastAsia"/>
          <w:bCs/>
          <w:szCs w:val="21"/>
        </w:rPr>
        <w:t>本基金申购业务采用实时逐笔全额结算（</w:t>
      </w:r>
      <w:r w:rsidRPr="0087786C">
        <w:rPr>
          <w:bCs/>
          <w:szCs w:val="21"/>
        </w:rPr>
        <w:t>Real Time Gross Settlement，以下简称 RTGS）模式；赎回业务涉及的现金替代可采用代收代付处理；申购、赎回业务涉及的现金差额和现金替代退补款可采用代收代付处理。</w:t>
      </w:r>
    </w:p>
    <w:p w:rsidR="0087786C" w:rsidRPr="0087786C" w:rsidRDefault="0087786C" w:rsidP="0087786C">
      <w:pPr>
        <w:spacing w:line="360" w:lineRule="auto"/>
        <w:ind w:firstLineChars="200" w:firstLine="420"/>
        <w:rPr>
          <w:bCs/>
          <w:szCs w:val="21"/>
        </w:rPr>
      </w:pPr>
      <w:r w:rsidRPr="0087786C">
        <w:rPr>
          <w:rFonts w:hint="eastAsia"/>
          <w:bCs/>
          <w:szCs w:val="21"/>
        </w:rPr>
        <w:t>（</w:t>
      </w:r>
      <w:r w:rsidRPr="0087786C">
        <w:rPr>
          <w:bCs/>
          <w:szCs w:val="21"/>
        </w:rPr>
        <w:t>1）申购的清算交收</w:t>
      </w:r>
    </w:p>
    <w:p w:rsidR="0087786C" w:rsidRPr="0087786C" w:rsidRDefault="0087786C" w:rsidP="0087786C">
      <w:pPr>
        <w:spacing w:line="360" w:lineRule="auto"/>
        <w:ind w:firstLineChars="200" w:firstLine="420"/>
        <w:rPr>
          <w:bCs/>
          <w:szCs w:val="21"/>
        </w:rPr>
      </w:pPr>
      <w:r w:rsidRPr="0087786C">
        <w:rPr>
          <w:rFonts w:hint="eastAsia"/>
          <w:bCs/>
          <w:szCs w:val="21"/>
        </w:rPr>
        <w:t>投资者</w:t>
      </w:r>
      <w:r w:rsidRPr="0087786C">
        <w:rPr>
          <w:bCs/>
          <w:szCs w:val="21"/>
        </w:rPr>
        <w:t>T日现金申购后，如交易记录已勾单且申购资金足额的，登记结算机构在T日日间实时办理基金份额及现金替代的交收；T日日间未进行勾单确认或日间资金不足的，登记结算机构在T日日终根据资金是否足额办理基金份额及现金替代的清算交收，并将结果发送给基金管理人、申购赎回代理券商和基金托管人。基金管理人通过登记结算机构在T+1日办理现金差额的清算，在T+2日办理现金差额的交收。</w:t>
      </w:r>
    </w:p>
    <w:p w:rsidR="0087786C" w:rsidRPr="0087786C" w:rsidRDefault="0087786C" w:rsidP="0087786C">
      <w:pPr>
        <w:spacing w:line="360" w:lineRule="auto"/>
        <w:ind w:firstLineChars="200" w:firstLine="420"/>
        <w:rPr>
          <w:bCs/>
          <w:szCs w:val="21"/>
        </w:rPr>
      </w:pPr>
      <w:r w:rsidRPr="0087786C">
        <w:rPr>
          <w:rFonts w:hint="eastAsia"/>
          <w:bCs/>
          <w:szCs w:val="21"/>
        </w:rPr>
        <w:t>（</w:t>
      </w:r>
      <w:r w:rsidRPr="0087786C">
        <w:rPr>
          <w:bCs/>
          <w:szCs w:val="21"/>
        </w:rPr>
        <w:t>2）赎回的清算交收</w:t>
      </w:r>
    </w:p>
    <w:p w:rsidR="0087786C" w:rsidRPr="0087786C" w:rsidRDefault="0087786C" w:rsidP="0087786C">
      <w:pPr>
        <w:spacing w:line="360" w:lineRule="auto"/>
        <w:ind w:firstLineChars="200" w:firstLine="420"/>
        <w:rPr>
          <w:bCs/>
          <w:szCs w:val="21"/>
        </w:rPr>
      </w:pPr>
      <w:r w:rsidRPr="0087786C">
        <w:rPr>
          <w:rFonts w:hint="eastAsia"/>
          <w:bCs/>
          <w:szCs w:val="21"/>
        </w:rPr>
        <w:t>投资者</w:t>
      </w:r>
      <w:r w:rsidRPr="0087786C">
        <w:rPr>
          <w:bCs/>
          <w:szCs w:val="21"/>
        </w:rPr>
        <w:t>T日赎回申请受理后，登记结算机构在T日收市后为投资者办理基金份额的清算交收。基金管理人通过登记结算机构在T+1日办理现金差额的清算，在T+2日办理现金差额的交收。</w:t>
      </w:r>
    </w:p>
    <w:p w:rsidR="0087786C" w:rsidRPr="0087786C" w:rsidRDefault="0087786C" w:rsidP="0087786C">
      <w:pPr>
        <w:spacing w:line="360" w:lineRule="auto"/>
        <w:ind w:firstLineChars="200" w:firstLine="420"/>
        <w:rPr>
          <w:bCs/>
          <w:szCs w:val="21"/>
        </w:rPr>
      </w:pPr>
      <w:r w:rsidRPr="0087786C">
        <w:rPr>
          <w:rFonts w:hint="eastAsia"/>
          <w:bCs/>
          <w:szCs w:val="21"/>
        </w:rPr>
        <w:t>正常情况下，赎回替代款项的清算交收于</w:t>
      </w:r>
      <w:r w:rsidRPr="0087786C">
        <w:rPr>
          <w:bCs/>
          <w:szCs w:val="21"/>
        </w:rPr>
        <w:t>T+7日（指开放日）内办理。但如果出现基金投资市场交易清算规则发生较大变化、基金赎回数额较大或组合证券内的部分证券因停牌、流动性不足等原因导致无法足额卖出，则赎回款项的清算交收可延迟办理。</w:t>
      </w:r>
    </w:p>
    <w:p w:rsidR="0087786C" w:rsidRPr="0087786C" w:rsidRDefault="0087786C" w:rsidP="0087786C">
      <w:pPr>
        <w:spacing w:line="360" w:lineRule="auto"/>
        <w:ind w:firstLineChars="200" w:firstLine="420"/>
        <w:rPr>
          <w:bCs/>
          <w:szCs w:val="21"/>
        </w:rPr>
      </w:pPr>
      <w:r w:rsidRPr="0087786C">
        <w:rPr>
          <w:rFonts w:hint="eastAsia"/>
          <w:bCs/>
          <w:szCs w:val="21"/>
        </w:rPr>
        <w:t>对于因申购赎回代理券商交收资金不足，导致投资者现金申购失败的情形，按照申购赎回代理券商的相关规则处理。</w:t>
      </w:r>
    </w:p>
    <w:p w:rsidR="0087786C" w:rsidRPr="0087786C" w:rsidRDefault="0087786C" w:rsidP="0087786C">
      <w:pPr>
        <w:spacing w:line="360" w:lineRule="auto"/>
        <w:ind w:firstLineChars="200" w:firstLine="420"/>
        <w:rPr>
          <w:bCs/>
          <w:szCs w:val="21"/>
        </w:rPr>
      </w:pPr>
      <w:r w:rsidRPr="0087786C">
        <w:rPr>
          <w:rFonts w:hint="eastAsia"/>
          <w:bCs/>
          <w:szCs w:val="21"/>
        </w:rPr>
        <w:t>如果登记机构和基金管理人在清算交收时发现不能正常履约的情形，则依据《业务规则》及参与各方相关协议及其不时修订的有关规定进行处理。</w:t>
      </w:r>
    </w:p>
    <w:p w:rsidR="0087786C" w:rsidRPr="0087786C" w:rsidRDefault="0087786C" w:rsidP="0087786C">
      <w:pPr>
        <w:spacing w:line="360" w:lineRule="auto"/>
        <w:ind w:firstLineChars="200" w:firstLine="420"/>
        <w:rPr>
          <w:bCs/>
          <w:szCs w:val="21"/>
        </w:rPr>
      </w:pPr>
      <w:r w:rsidRPr="0087786C">
        <w:rPr>
          <w:rFonts w:hint="eastAsia"/>
          <w:bCs/>
          <w:szCs w:val="21"/>
        </w:rPr>
        <w:t>投资者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rsidR="0087786C" w:rsidRPr="0087786C" w:rsidRDefault="0087786C" w:rsidP="0087786C">
      <w:pPr>
        <w:spacing w:line="360" w:lineRule="auto"/>
        <w:ind w:firstLineChars="200" w:firstLine="420"/>
        <w:rPr>
          <w:bCs/>
          <w:szCs w:val="21"/>
        </w:rPr>
      </w:pPr>
      <w:r w:rsidRPr="0087786C">
        <w:rPr>
          <w:rFonts w:hint="eastAsia"/>
          <w:bCs/>
          <w:szCs w:val="21"/>
        </w:rPr>
        <w:t>如遇国家外管局相关规定有变更或本基金投资的境外主要市场的交易清算规则有变更、基金投资的境外主要市场及外汇市场休市或暂停交易、登记公司系统故障、交易所或交易市场数据传输延迟、通讯系统故障、银行数据交换系统故障、港股通交易系统或港股通资金交收规则限制或其它非基金管理人及基金托管人所能控制的因素影响业务处理流程，则赎回现金替代款的支付时间可相应顺延。在发生基金合同载明的其他暂停赎回或延缓支付赎回对价的情形时，赎回现金替代款的支付办法参照基金合同有关条款处理。</w:t>
      </w:r>
    </w:p>
    <w:p w:rsidR="007657C3" w:rsidRDefault="0087786C" w:rsidP="0087786C">
      <w:pPr>
        <w:spacing w:line="360" w:lineRule="auto"/>
        <w:ind w:firstLineChars="200" w:firstLine="420"/>
        <w:rPr>
          <w:bCs/>
          <w:szCs w:val="21"/>
        </w:rPr>
      </w:pPr>
      <w:r w:rsidRPr="0087786C">
        <w:rPr>
          <w:rFonts w:hint="eastAsia"/>
          <w:bCs/>
          <w:szCs w:val="21"/>
        </w:rPr>
        <w:t>登记机构和基金管理人可在法律法规允许的范围内，在不影响基金份额持有人实质利益的前提下，对申购和赎回的程序进行调整，并于开始实施前按照《信息披露办法》的有关规定在规定媒介上予以公告。</w:t>
      </w:r>
    </w:p>
    <w:p w:rsidR="00893F38" w:rsidRDefault="000557A3" w:rsidP="007657C3">
      <w:pPr>
        <w:spacing w:line="360" w:lineRule="auto"/>
        <w:ind w:firstLineChars="200" w:firstLine="420"/>
        <w:rPr>
          <w:szCs w:val="21"/>
        </w:rPr>
      </w:pPr>
      <w:r>
        <w:rPr>
          <w:rFonts w:hint="eastAsia"/>
          <w:lang/>
        </w:rPr>
        <w:t>（四）</w:t>
      </w:r>
      <w:r w:rsidR="00893F38">
        <w:rPr>
          <w:rFonts w:hint="eastAsia"/>
          <w:szCs w:val="21"/>
        </w:rPr>
        <w:t>申购和赎回的对价、费用</w:t>
      </w:r>
    </w:p>
    <w:p w:rsidR="0087786C" w:rsidRPr="0087786C" w:rsidRDefault="0087786C" w:rsidP="0087786C">
      <w:pPr>
        <w:spacing w:line="360" w:lineRule="auto"/>
        <w:ind w:firstLineChars="200" w:firstLine="420"/>
        <w:rPr>
          <w:szCs w:val="21"/>
        </w:rPr>
      </w:pPr>
      <w:bookmarkStart w:id="77" w:name="m403"/>
      <w:bookmarkEnd w:id="77"/>
      <w:r w:rsidRPr="0087786C">
        <w:rPr>
          <w:szCs w:val="21"/>
        </w:rPr>
        <w:t>1、申购对价是指投资者申购基金份额时应交付的现金替代、现金差额及其他对价。赎回对价是指基金份额持有人赎回基金份额时，基金管理人应交付的现金替代、现金差额及其他对价。申购对价、赎回对价根据申购、赎回清单和投资者申购、赎回的基金份额数额确定；</w:t>
      </w:r>
    </w:p>
    <w:p w:rsidR="0087786C" w:rsidRPr="0087786C" w:rsidRDefault="0087786C" w:rsidP="0087786C">
      <w:pPr>
        <w:spacing w:line="360" w:lineRule="auto"/>
        <w:ind w:firstLineChars="200" w:firstLine="420"/>
        <w:rPr>
          <w:szCs w:val="21"/>
        </w:rPr>
      </w:pPr>
      <w:r w:rsidRPr="0087786C">
        <w:rPr>
          <w:szCs w:val="21"/>
        </w:rPr>
        <w:t>2、T日的基金份额净值在当天收市后计算，并在T+1日内公告，计算公式为计算日基金资产净值除以计算日发售在外的基金份额总数。如遇特殊情况，经履行适当程序，可以适当延迟计算或公告；</w:t>
      </w:r>
    </w:p>
    <w:p w:rsidR="00AD0FA8" w:rsidRPr="00893F38" w:rsidRDefault="0087786C" w:rsidP="0087786C">
      <w:pPr>
        <w:spacing w:line="360" w:lineRule="auto"/>
        <w:ind w:firstLineChars="200" w:firstLine="420"/>
        <w:rPr>
          <w:lang/>
        </w:rPr>
      </w:pPr>
      <w:r w:rsidRPr="0087786C">
        <w:rPr>
          <w:szCs w:val="21"/>
        </w:rPr>
        <w:t>3、申购、赎回清单由基金管理人编制。T日的申购、赎回清单在当日上海证券交易所开市前公告</w:t>
      </w:r>
      <w:r>
        <w:rPr>
          <w:rFonts w:hint="eastAsia"/>
          <w:szCs w:val="21"/>
        </w:rPr>
        <w:t>。</w:t>
      </w:r>
    </w:p>
    <w:p w:rsidR="00AD0FA8" w:rsidRDefault="000557A3" w:rsidP="00FE43F2">
      <w:pPr>
        <w:pStyle w:val="XBRLTitle1"/>
        <w:spacing w:before="156" w:line="360" w:lineRule="auto"/>
        <w:ind w:left="425"/>
      </w:pPr>
      <w:bookmarkStart w:id="78" w:name="_Toc3475852111"/>
      <w:bookmarkStart w:id="79" w:name="_Toc34841042"/>
      <w:r>
        <w:rPr>
          <w:rFonts w:hAnsi="宋体" w:hint="eastAsia"/>
        </w:rPr>
        <w:t>基金</w:t>
      </w:r>
      <w:r w:rsidR="00CF5507">
        <w:rPr>
          <w:rFonts w:hAnsi="宋体" w:hint="eastAsia"/>
          <w:lang w:eastAsia="zh-CN"/>
        </w:rPr>
        <w:t>场内</w:t>
      </w:r>
      <w:r>
        <w:rPr>
          <w:rFonts w:hAnsi="宋体" w:hint="eastAsia"/>
        </w:rPr>
        <w:t>销售机构</w:t>
      </w:r>
      <w:bookmarkEnd w:id="31"/>
      <w:bookmarkEnd w:id="32"/>
      <w:bookmarkEnd w:id="33"/>
      <w:bookmarkEnd w:id="34"/>
      <w:bookmarkEnd w:id="35"/>
      <w:bookmarkEnd w:id="36"/>
      <w:bookmarkEnd w:id="37"/>
      <w:bookmarkEnd w:id="38"/>
      <w:bookmarkEnd w:id="78"/>
      <w:bookmarkEnd w:id="79"/>
      <w:r>
        <w:rPr>
          <w:rFonts w:hAnsi="宋体" w:hint="eastAsia"/>
        </w:rPr>
        <w:t xml:space="preserve"> </w:t>
      </w:r>
      <w:bookmarkEnd w:id="52"/>
      <w:bookmarkEnd w:id="53"/>
      <w:bookmarkEnd w:id="54"/>
      <w:bookmarkEnd w:id="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D0FA8" w:rsidRDefault="00B576EE">
      <w:pPr>
        <w:spacing w:line="360" w:lineRule="auto"/>
        <w:ind w:firstLineChars="200" w:firstLine="420"/>
        <w:divId w:val="1900626269"/>
      </w:pPr>
      <w:r w:rsidRPr="00B576EE">
        <w:rPr>
          <w:rFonts w:hint="eastAsia"/>
          <w:lang/>
        </w:rPr>
        <w:t>本基金的申购赎回代理券商（一级交易商）包括：</w:t>
      </w:r>
      <w:r w:rsidR="0087786C" w:rsidRPr="0087786C">
        <w:rPr>
          <w:rFonts w:hint="eastAsia"/>
          <w:lang/>
        </w:rPr>
        <w:t>东北证券股份有限公司、东吴证券股份有限公司、东兴证券股份有限公司、方正证券股份有限公司、广发证券股份有限公司、国金证券股份有限公司、国泰君安证券股份有限公司、国投证券股份有限公司、国信证券股份有限公司、海通证券股份有限公司、华龙证券股份有限公司、华泰证券股份有限公司、申万宏源西部证券有限公司、申万宏源证券有限公司、信达证券股份有限公司、兴业证券股份有限公司、招商证券股份有限公司、浙商证券股份有限公司、中国银河证券股份有限公司、中国中金财富证券有限公司、中泰证券股份有限公司、中信建投证券股份有限公司、中信证券（山东）有限责任公司、中信证券股份有限公司、中信证券华南股份有限公司</w:t>
      </w:r>
      <w:r w:rsidR="0087786C">
        <w:rPr>
          <w:rFonts w:hint="eastAsia"/>
          <w:lang/>
        </w:rPr>
        <w:t>。</w:t>
      </w:r>
    </w:p>
    <w:p w:rsidR="00AD0FA8" w:rsidRDefault="000557A3">
      <w:pPr>
        <w:pStyle w:val="XBRLTitle1"/>
        <w:spacing w:before="156" w:line="360" w:lineRule="auto"/>
        <w:ind w:left="425"/>
      </w:pPr>
      <w:bookmarkStart w:id="80" w:name="_Toc3475853211"/>
      <w:bookmarkStart w:id="81" w:name="_Toc34841045"/>
      <w:r>
        <w:rPr>
          <w:rFonts w:hAnsi="宋体" w:hint="eastAsia"/>
        </w:rPr>
        <w:t>基金份额净值公告/基金收益公告的披露安排</w:t>
      </w:r>
      <w:bookmarkEnd w:id="80"/>
      <w:bookmarkEnd w:id="81"/>
      <w:r>
        <w:rPr>
          <w:rFonts w:hAnsi="宋体" w:hint="eastAsia"/>
        </w:rPr>
        <w:t xml:space="preserve"> </w:t>
      </w:r>
    </w:p>
    <w:p w:rsidR="0087786C" w:rsidRPr="0087786C" w:rsidRDefault="0087786C" w:rsidP="0087786C">
      <w:pPr>
        <w:spacing w:line="360" w:lineRule="auto"/>
        <w:ind w:firstLineChars="200" w:firstLine="420"/>
        <w:rPr>
          <w:szCs w:val="21"/>
        </w:rPr>
      </w:pPr>
      <w:r w:rsidRPr="0087786C">
        <w:rPr>
          <w:rFonts w:hint="eastAsia"/>
          <w:szCs w:val="21"/>
        </w:rPr>
        <w:t>在开始办理基金份额申购或者赎回后或基金份额上市交易后，基金管理人应当在不晚于每个开放日</w:t>
      </w:r>
      <w:r w:rsidRPr="0087786C">
        <w:rPr>
          <w:szCs w:val="21"/>
        </w:rPr>
        <w:t>/交易日的次日，通过规定网站、基金销售机构网站或者营业网点披露开放日/交易日的基金份额净值和基金份额累计净值。</w:t>
      </w:r>
    </w:p>
    <w:p w:rsidR="007657C3" w:rsidRDefault="0087786C" w:rsidP="0087786C">
      <w:pPr>
        <w:spacing w:line="360" w:lineRule="auto"/>
        <w:ind w:firstLineChars="200" w:firstLine="420"/>
        <w:rPr>
          <w:szCs w:val="21"/>
        </w:rPr>
      </w:pPr>
      <w:r w:rsidRPr="0087786C">
        <w:rPr>
          <w:rFonts w:hint="eastAsia"/>
          <w:szCs w:val="21"/>
        </w:rPr>
        <w:t>基金管理人应当在不晚于半年度和年度最后一日的次日，在规定网站披露半年度和年度最后一日的基金份额净值和基金份额累计净值。</w:t>
      </w:r>
    </w:p>
    <w:p w:rsidR="007657C3" w:rsidRPr="007657C3" w:rsidRDefault="007657C3" w:rsidP="007657C3">
      <w:pPr>
        <w:spacing w:line="360" w:lineRule="auto"/>
        <w:ind w:firstLineChars="200" w:firstLine="420"/>
        <w:rPr>
          <w:bCs/>
          <w:szCs w:val="21"/>
        </w:rPr>
      </w:pPr>
      <w:r w:rsidRPr="007657C3">
        <w:rPr>
          <w:rFonts w:hint="eastAsia"/>
          <w:bCs/>
          <w:szCs w:val="21"/>
        </w:rPr>
        <w:t>本基金收益分配方案由基金管理人拟定，并由基金托管人复核，依照《信息披露办法》的有关规定在规定媒介公告。</w:t>
      </w:r>
    </w:p>
    <w:p w:rsidR="00AD0FA8" w:rsidRDefault="000557A3">
      <w:pPr>
        <w:pStyle w:val="XBRLTitle1"/>
        <w:spacing w:before="156" w:line="360" w:lineRule="auto"/>
        <w:ind w:left="425"/>
      </w:pPr>
      <w:bookmarkStart w:id="82" w:name="_Toc3475853212"/>
      <w:bookmarkStart w:id="83" w:name="_Toc34841046"/>
      <w:r>
        <w:rPr>
          <w:rFonts w:hAnsi="宋体" w:hint="eastAsia"/>
        </w:rPr>
        <w:t>其他需要提示的事项</w:t>
      </w:r>
      <w:bookmarkEnd w:id="16"/>
      <w:bookmarkEnd w:id="17"/>
      <w:bookmarkEnd w:id="18"/>
      <w:bookmarkEnd w:id="19"/>
      <w:bookmarkEnd w:id="20"/>
      <w:bookmarkEnd w:id="21"/>
      <w:bookmarkEnd w:id="22"/>
      <w:bookmarkEnd w:id="23"/>
      <w:bookmarkEnd w:id="39"/>
      <w:bookmarkEnd w:id="40"/>
      <w:bookmarkEnd w:id="82"/>
      <w:bookmarkEnd w:id="83"/>
      <w:r>
        <w:rPr>
          <w:rFonts w:hAnsi="宋体" w:hint="eastAsia"/>
        </w:rPr>
        <w:t xml:space="preserve"> </w:t>
      </w:r>
    </w:p>
    <w:bookmarkEnd w:id="1"/>
    <w:bookmarkEnd w:id="2"/>
    <w:bookmarkEnd w:id="13"/>
    <w:bookmarkEnd w:id="24"/>
    <w:bookmarkEnd w:id="25"/>
    <w:bookmarkEnd w:id="26"/>
    <w:bookmarkEnd w:id="27"/>
    <w:p w:rsidR="00B576EE" w:rsidRDefault="00B576EE" w:rsidP="00B576EE">
      <w:pPr>
        <w:spacing w:line="360" w:lineRule="auto"/>
        <w:ind w:firstLineChars="200" w:firstLine="420"/>
        <w:rPr>
          <w:lang/>
        </w:rPr>
      </w:pPr>
      <w:r>
        <w:rPr>
          <w:rFonts w:hint="eastAsia"/>
          <w:lang/>
        </w:rPr>
        <w:t>本公告仅对本基金开放日常申购、赎回业务的有关事项予以说明。投资者欲了解本基金的详细情况，请详细阅读《</w:t>
      </w:r>
      <w:r w:rsidR="00132F2F" w:rsidRPr="00132F2F">
        <w:rPr>
          <w:rFonts w:hint="eastAsia"/>
          <w:lang/>
        </w:rPr>
        <w:t>华泰柏瑞恒生创新药交易型开放式指数证券投资基金（</w:t>
      </w:r>
      <w:r w:rsidR="00132F2F" w:rsidRPr="00132F2F">
        <w:rPr>
          <w:lang/>
        </w:rPr>
        <w:t>QDII）</w:t>
      </w:r>
      <w:r>
        <w:rPr>
          <w:rFonts w:hint="eastAsia"/>
          <w:lang/>
        </w:rPr>
        <w:t>基金合同》和《</w:t>
      </w:r>
      <w:r w:rsidR="00132F2F" w:rsidRPr="00132F2F">
        <w:rPr>
          <w:rFonts w:hint="eastAsia"/>
          <w:lang/>
        </w:rPr>
        <w:t>华泰柏瑞恒生创新药交易型开放式指数证券投资基金（</w:t>
      </w:r>
      <w:r w:rsidR="00132F2F" w:rsidRPr="00132F2F">
        <w:rPr>
          <w:lang/>
        </w:rPr>
        <w:t>QDII）</w:t>
      </w:r>
      <w:r>
        <w:rPr>
          <w:rFonts w:hint="eastAsia"/>
          <w:lang/>
        </w:rPr>
        <w:t>招募说明书》。</w:t>
      </w:r>
    </w:p>
    <w:p w:rsidR="00B576EE" w:rsidRDefault="00B576EE" w:rsidP="00B576EE">
      <w:pPr>
        <w:spacing w:line="360" w:lineRule="auto"/>
        <w:ind w:firstLineChars="200" w:firstLine="420"/>
        <w:rPr>
          <w:lang/>
        </w:rPr>
      </w:pPr>
      <w:r>
        <w:rPr>
          <w:rFonts w:hint="eastAsia"/>
          <w:lang/>
        </w:rPr>
        <w:t>投资者亦可以登录本基金管理人网站（</w:t>
      </w:r>
      <w:r>
        <w:rPr>
          <w:lang/>
        </w:rPr>
        <w:t>www.huatai-pb.com）或拨打本基金管理人的全国统一客户服务电话 400-888-0001（免长途费），021-38784638 咨询相关事宜。</w:t>
      </w:r>
    </w:p>
    <w:p w:rsidR="00AD0FA8" w:rsidRDefault="00B576EE" w:rsidP="00B576EE">
      <w:pPr>
        <w:spacing w:line="360" w:lineRule="auto"/>
        <w:ind w:firstLineChars="200" w:firstLine="420"/>
      </w:pPr>
      <w:r>
        <w:rPr>
          <w:rFonts w:hint="eastAsia"/>
          <w:lang/>
        </w:rPr>
        <w:t>风险提示：基金管理人依照恪尽职守、诚实信用、谨慎勤勉的原则管理和运用基金财产，但不保证基金一定盈利，也不保证最低收益。投资有风险，敬请投资者在投资基金前认真阅读《基金合同》、《招募说明书》、《产品资料概要》等基金法律文件，了解基金的风险收益特征，并根据自身的风险承受能力选择适合自己的基金产品。</w:t>
      </w:r>
      <w:r w:rsidR="000557A3">
        <w:rPr>
          <w:rFonts w:hint="eastAsia"/>
          <w:lang/>
        </w:rPr>
        <w:t xml:space="preserve"> </w:t>
      </w:r>
    </w:p>
    <w:p w:rsidR="00AD0FA8" w:rsidRDefault="000557A3">
      <w:pPr>
        <w:spacing w:line="360" w:lineRule="auto"/>
        <w:ind w:firstLineChars="600" w:firstLine="1446"/>
        <w:jc w:val="left"/>
      </w:pPr>
      <w:r>
        <w:rPr>
          <w:rFonts w:hint="eastAsia"/>
          <w:b/>
          <w:bCs/>
          <w:sz w:val="24"/>
          <w:szCs w:val="30"/>
        </w:rPr>
        <w:t xml:space="preserve">　 </w:t>
      </w:r>
    </w:p>
    <w:p w:rsidR="00AD0FA8" w:rsidRDefault="000557A3">
      <w:pPr>
        <w:spacing w:line="360" w:lineRule="auto"/>
        <w:ind w:firstLineChars="600" w:firstLine="1446"/>
        <w:jc w:val="left"/>
      </w:pPr>
      <w:r>
        <w:rPr>
          <w:rFonts w:hint="eastAsia"/>
          <w:b/>
          <w:bCs/>
          <w:sz w:val="24"/>
          <w:szCs w:val="30"/>
        </w:rPr>
        <w:t xml:space="preserve">　 </w:t>
      </w:r>
    </w:p>
    <w:p w:rsidR="00AD0FA8" w:rsidRDefault="000557A3">
      <w:pPr>
        <w:spacing w:line="360" w:lineRule="auto"/>
        <w:ind w:firstLineChars="600" w:firstLine="1446"/>
        <w:jc w:val="right"/>
      </w:pPr>
      <w:r>
        <w:rPr>
          <w:rFonts w:hint="eastAsia"/>
          <w:b/>
          <w:bCs/>
          <w:sz w:val="24"/>
          <w:szCs w:val="24"/>
        </w:rPr>
        <w:t>华泰柏瑞基金管理有限公司</w:t>
      </w:r>
    </w:p>
    <w:bookmarkEnd w:id="28"/>
    <w:p w:rsidR="00AD0FA8" w:rsidRDefault="00B576EE">
      <w:pPr>
        <w:spacing w:line="360" w:lineRule="auto"/>
        <w:ind w:firstLineChars="600" w:firstLine="1446"/>
        <w:jc w:val="right"/>
      </w:pPr>
      <w:r w:rsidRPr="00B576EE">
        <w:rPr>
          <w:b/>
          <w:bCs/>
          <w:sz w:val="24"/>
          <w:szCs w:val="24"/>
        </w:rPr>
        <w:t>2024年1</w:t>
      </w:r>
      <w:r w:rsidR="000F07F7">
        <w:rPr>
          <w:b/>
          <w:bCs/>
          <w:sz w:val="24"/>
          <w:szCs w:val="24"/>
        </w:rPr>
        <w:t>2</w:t>
      </w:r>
      <w:r w:rsidRPr="00B576EE">
        <w:rPr>
          <w:b/>
          <w:bCs/>
          <w:sz w:val="24"/>
          <w:szCs w:val="24"/>
        </w:rPr>
        <w:t>月</w:t>
      </w:r>
      <w:r w:rsidR="00132F2F">
        <w:rPr>
          <w:b/>
          <w:bCs/>
          <w:sz w:val="24"/>
          <w:szCs w:val="24"/>
        </w:rPr>
        <w:t>24</w:t>
      </w:r>
      <w:r w:rsidRPr="00B576EE">
        <w:rPr>
          <w:b/>
          <w:bCs/>
          <w:sz w:val="24"/>
          <w:szCs w:val="24"/>
        </w:rPr>
        <w:t>日</w:t>
      </w:r>
      <w:r w:rsidR="000557A3">
        <w:rPr>
          <w:rFonts w:hint="eastAsia"/>
          <w:b/>
          <w:bCs/>
          <w:sz w:val="24"/>
          <w:szCs w:val="24"/>
        </w:rPr>
        <w:t xml:space="preserve"> </w:t>
      </w:r>
    </w:p>
    <w:sectPr w:rsidR="00AD0FA8" w:rsidSect="00322D2E">
      <w:headerReference w:type="default" r:id="rId8"/>
      <w:footerReference w:type="default" r:id="rId9"/>
      <w:headerReference w:type="first" r:id="rId10"/>
      <w:footerReference w:type="firs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D2" w:rsidRDefault="00882DD2">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882DD2" w:rsidRDefault="00882DD2">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8" w:rsidRDefault="000557A3">
    <w:pPr>
      <w:jc w:val="center"/>
    </w:pPr>
    <w:r>
      <w:rPr>
        <w:rFonts w:hint="eastAsia"/>
        <w:sz w:val="18"/>
        <w:szCs w:val="18"/>
      </w:rPr>
      <w:t>第</w:t>
    </w:r>
    <w:r>
      <w:rPr>
        <w:rFonts w:hint="eastAsia"/>
      </w:rPr>
      <w:t xml:space="preserve"> </w:t>
    </w:r>
    <w:r w:rsidR="00322D2E">
      <w:rPr>
        <w:rFonts w:hint="eastAsia"/>
        <w:sz w:val="18"/>
        <w:szCs w:val="18"/>
      </w:rPr>
      <w:fldChar w:fldCharType="begin"/>
    </w:r>
    <w:r>
      <w:rPr>
        <w:rFonts w:hint="eastAsia"/>
        <w:sz w:val="18"/>
        <w:szCs w:val="18"/>
      </w:rPr>
      <w:instrText xml:space="preserve"> PAGE </w:instrText>
    </w:r>
    <w:r w:rsidR="00322D2E">
      <w:rPr>
        <w:rFonts w:hint="eastAsia"/>
        <w:sz w:val="18"/>
        <w:szCs w:val="18"/>
      </w:rPr>
      <w:fldChar w:fldCharType="separate"/>
    </w:r>
    <w:r w:rsidR="000B3141">
      <w:rPr>
        <w:noProof/>
        <w:sz w:val="18"/>
        <w:szCs w:val="18"/>
      </w:rPr>
      <w:t>2</w:t>
    </w:r>
    <w:r w:rsidR="00322D2E">
      <w:rPr>
        <w:rFonts w:hint="eastAsia"/>
        <w:sz w:val="18"/>
        <w:szCs w:val="18"/>
      </w:rPr>
      <w:fldChar w:fldCharType="end"/>
    </w:r>
    <w:r>
      <w:rPr>
        <w:rFonts w:hint="eastAsia"/>
        <w:sz w:val="18"/>
        <w:szCs w:val="18"/>
        <w:lang w:val="zh-CN"/>
      </w:rPr>
      <w:t>页 共</w:t>
    </w:r>
    <w:r>
      <w:rPr>
        <w:rFonts w:hint="eastAsia"/>
      </w:rPr>
      <w:t xml:space="preserve"> </w:t>
    </w:r>
    <w:r w:rsidR="00322D2E">
      <w:rPr>
        <w:rFonts w:hint="eastAsia"/>
        <w:sz w:val="18"/>
        <w:szCs w:val="18"/>
      </w:rPr>
      <w:fldChar w:fldCharType="begin"/>
    </w:r>
    <w:r>
      <w:rPr>
        <w:rFonts w:hint="eastAsia"/>
        <w:sz w:val="18"/>
        <w:szCs w:val="18"/>
      </w:rPr>
      <w:instrText xml:space="preserve"> NUMPAGES  </w:instrText>
    </w:r>
    <w:r w:rsidR="00322D2E">
      <w:rPr>
        <w:rFonts w:hint="eastAsia"/>
        <w:sz w:val="18"/>
        <w:szCs w:val="18"/>
      </w:rPr>
      <w:fldChar w:fldCharType="separate"/>
    </w:r>
    <w:r w:rsidR="000B3141">
      <w:rPr>
        <w:noProof/>
        <w:sz w:val="18"/>
        <w:szCs w:val="18"/>
      </w:rPr>
      <w:t>2</w:t>
    </w:r>
    <w:r w:rsidR="00322D2E">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8" w:rsidRDefault="00AD0FA8">
    <w:pPr>
      <w:pStyle w:val="aa"/>
    </w:pPr>
  </w:p>
  <w:p w:rsidR="00AD0FA8" w:rsidRDefault="000557A3">
    <w:pPr>
      <w:jc w:val="center"/>
    </w:pPr>
    <w:r>
      <w:rPr>
        <w:rFonts w:hint="eastAsia"/>
        <w:sz w:val="18"/>
        <w:szCs w:val="18"/>
      </w:rPr>
      <w:t>第</w:t>
    </w:r>
    <w:r>
      <w:rPr>
        <w:rFonts w:hint="eastAsia"/>
      </w:rPr>
      <w:t xml:space="preserve"> </w:t>
    </w:r>
    <w:r w:rsidR="00322D2E">
      <w:rPr>
        <w:rFonts w:hint="eastAsia"/>
        <w:sz w:val="18"/>
        <w:szCs w:val="18"/>
      </w:rPr>
      <w:fldChar w:fldCharType="begin"/>
    </w:r>
    <w:r>
      <w:rPr>
        <w:rFonts w:hint="eastAsia"/>
        <w:sz w:val="18"/>
        <w:szCs w:val="18"/>
      </w:rPr>
      <w:instrText xml:space="preserve"> PAGE </w:instrText>
    </w:r>
    <w:r w:rsidR="00322D2E">
      <w:rPr>
        <w:rFonts w:hint="eastAsia"/>
        <w:sz w:val="18"/>
        <w:szCs w:val="18"/>
      </w:rPr>
      <w:fldChar w:fldCharType="separate"/>
    </w:r>
    <w:r w:rsidR="000B3141">
      <w:rPr>
        <w:noProof/>
        <w:sz w:val="18"/>
        <w:szCs w:val="18"/>
      </w:rPr>
      <w:t>1</w:t>
    </w:r>
    <w:r w:rsidR="00322D2E">
      <w:rPr>
        <w:rFonts w:hint="eastAsia"/>
        <w:sz w:val="18"/>
        <w:szCs w:val="18"/>
      </w:rPr>
      <w:fldChar w:fldCharType="end"/>
    </w:r>
    <w:r>
      <w:rPr>
        <w:rFonts w:hint="eastAsia"/>
        <w:sz w:val="18"/>
        <w:szCs w:val="18"/>
        <w:lang w:val="zh-CN"/>
      </w:rPr>
      <w:t>页 共</w:t>
    </w:r>
    <w:r>
      <w:rPr>
        <w:rFonts w:hint="eastAsia"/>
      </w:rPr>
      <w:t xml:space="preserve"> </w:t>
    </w:r>
    <w:r w:rsidR="00322D2E">
      <w:rPr>
        <w:rFonts w:hint="eastAsia"/>
        <w:sz w:val="18"/>
        <w:szCs w:val="18"/>
      </w:rPr>
      <w:fldChar w:fldCharType="begin"/>
    </w:r>
    <w:r>
      <w:rPr>
        <w:rFonts w:hint="eastAsia"/>
        <w:sz w:val="18"/>
        <w:szCs w:val="18"/>
      </w:rPr>
      <w:instrText xml:space="preserve"> NUMPAGES  </w:instrText>
    </w:r>
    <w:r w:rsidR="00322D2E">
      <w:rPr>
        <w:rFonts w:hint="eastAsia"/>
        <w:sz w:val="18"/>
        <w:szCs w:val="18"/>
      </w:rPr>
      <w:fldChar w:fldCharType="separate"/>
    </w:r>
    <w:r w:rsidR="000B3141">
      <w:rPr>
        <w:noProof/>
        <w:sz w:val="18"/>
        <w:szCs w:val="18"/>
      </w:rPr>
      <w:t>1</w:t>
    </w:r>
    <w:r w:rsidR="00322D2E">
      <w:rPr>
        <w:rFonts w:hint="eastAsia"/>
        <w:sz w:val="18"/>
        <w:szCs w:val="18"/>
      </w:rPr>
      <w:fldChar w:fldCharType="end"/>
    </w:r>
    <w:r>
      <w:rPr>
        <w:rFonts w:hint="eastAsia"/>
        <w:sz w:val="18"/>
        <w:szCs w:val="18"/>
      </w:rPr>
      <w:t>页</w:t>
    </w:r>
    <w:r>
      <w:rPr>
        <w:rFonts w:hint="eastAsia"/>
      </w:rPr>
      <w:t xml:space="preserve"> </w:t>
    </w:r>
  </w:p>
  <w:p w:rsidR="00AD0FA8" w:rsidRDefault="00AD0F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D2" w:rsidRDefault="00882DD2">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882DD2" w:rsidRDefault="00882DD2">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8" w:rsidRDefault="0087786C">
    <w:pPr>
      <w:pStyle w:val="a8"/>
      <w:jc w:val="right"/>
    </w:pPr>
    <w:r w:rsidRPr="0087786C">
      <w:rPr>
        <w:rFonts w:hint="eastAsia"/>
      </w:rPr>
      <w:t>华泰柏瑞恒生创新药交易型开放式指数证券投资基金（</w:t>
    </w:r>
    <w:r w:rsidRPr="0087786C">
      <w:t>QDII）</w:t>
    </w:r>
    <w:r w:rsidR="000557A3">
      <w:rPr>
        <w:rFonts w:hint="eastAsia"/>
      </w:rPr>
      <w:t>开放日常申购、赎回业务的公告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8" w:rsidRDefault="0087786C">
    <w:pPr>
      <w:pStyle w:val="a8"/>
      <w:jc w:val="right"/>
    </w:pPr>
    <w:r w:rsidRPr="0087786C">
      <w:rPr>
        <w:rFonts w:asciiTheme="minorEastAsia" w:eastAsiaTheme="minorEastAsia" w:hAnsiTheme="minorEastAsia" w:hint="eastAsia"/>
      </w:rPr>
      <w:t>华泰柏瑞恒生创新药交易型开放式指数证券投资基金（</w:t>
    </w:r>
    <w:r w:rsidRPr="0087786C">
      <w:rPr>
        <w:rFonts w:asciiTheme="minorEastAsia" w:eastAsiaTheme="minorEastAsia" w:hAnsiTheme="minorEastAsia"/>
      </w:rPr>
      <w:t>QDII）</w:t>
    </w:r>
    <w:r w:rsidR="000557A3">
      <w:rPr>
        <w:rFonts w:hint="eastAsia"/>
      </w:rPr>
      <w:t>开放日常申购、赎回业务的公告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24A63880"/>
    <w:lvl w:ilvl="0">
      <w:start w:val="1"/>
      <w:numFmt w:val="decimal"/>
      <w:pStyle w:val="XBRLTitle1"/>
      <w:suff w:val="space"/>
      <w:lvlText w:val="%1"/>
      <w:lvlJc w:val="left"/>
      <w:pPr>
        <w:ind w:left="425" w:hanging="425"/>
      </w:pPr>
      <w:rPr>
        <w:sz w:val="24"/>
        <w:szCs w:val="24"/>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662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3F2"/>
    <w:rsid w:val="00053A9B"/>
    <w:rsid w:val="000557A3"/>
    <w:rsid w:val="000B3141"/>
    <w:rsid w:val="000E6E83"/>
    <w:rsid w:val="000F07F7"/>
    <w:rsid w:val="00132F2F"/>
    <w:rsid w:val="00152060"/>
    <w:rsid w:val="00167520"/>
    <w:rsid w:val="001912BA"/>
    <w:rsid w:val="001A609A"/>
    <w:rsid w:val="001E0E9E"/>
    <w:rsid w:val="00262F83"/>
    <w:rsid w:val="00284365"/>
    <w:rsid w:val="00322D2E"/>
    <w:rsid w:val="00372A74"/>
    <w:rsid w:val="004D5F82"/>
    <w:rsid w:val="007657C3"/>
    <w:rsid w:val="007875DA"/>
    <w:rsid w:val="007B6577"/>
    <w:rsid w:val="008017F2"/>
    <w:rsid w:val="008147E3"/>
    <w:rsid w:val="008424C5"/>
    <w:rsid w:val="0087786C"/>
    <w:rsid w:val="00882DD2"/>
    <w:rsid w:val="00893F38"/>
    <w:rsid w:val="009F0E29"/>
    <w:rsid w:val="00A42FF4"/>
    <w:rsid w:val="00AD0FA8"/>
    <w:rsid w:val="00AF2FD1"/>
    <w:rsid w:val="00B3689A"/>
    <w:rsid w:val="00B576EE"/>
    <w:rsid w:val="00B9484D"/>
    <w:rsid w:val="00C254C5"/>
    <w:rsid w:val="00C36811"/>
    <w:rsid w:val="00CB1CE9"/>
    <w:rsid w:val="00CF5507"/>
    <w:rsid w:val="00D02053"/>
    <w:rsid w:val="00E033DE"/>
    <w:rsid w:val="00E55BFC"/>
    <w:rsid w:val="00E6555B"/>
    <w:rsid w:val="00EB3C47"/>
    <w:rsid w:val="00ED1A38"/>
    <w:rsid w:val="00FB198B"/>
    <w:rsid w:val="00FE4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2E"/>
    <w:pPr>
      <w:widowControl w:val="0"/>
      <w:jc w:val="both"/>
    </w:pPr>
    <w:rPr>
      <w:rFonts w:cs="宋体"/>
      <w:kern w:val="2"/>
      <w:sz w:val="21"/>
    </w:rPr>
  </w:style>
  <w:style w:type="paragraph" w:styleId="1">
    <w:name w:val="heading 1"/>
    <w:basedOn w:val="a"/>
    <w:next w:val="a"/>
    <w:link w:val="1Char1"/>
    <w:uiPriority w:val="9"/>
    <w:qFormat/>
    <w:rsid w:val="00322D2E"/>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322D2E"/>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322D2E"/>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322D2E"/>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322D2E"/>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322D2E"/>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2D2E"/>
    <w:rPr>
      <w:color w:val="0000FF"/>
      <w:u w:val="single"/>
    </w:rPr>
  </w:style>
  <w:style w:type="character" w:styleId="a4">
    <w:name w:val="FollowedHyperlink"/>
    <w:basedOn w:val="a0"/>
    <w:uiPriority w:val="99"/>
    <w:semiHidden/>
    <w:unhideWhenUsed/>
    <w:rsid w:val="00322D2E"/>
    <w:rPr>
      <w:color w:val="800080" w:themeColor="followedHyperlink"/>
      <w:u w:val="single"/>
    </w:rPr>
  </w:style>
  <w:style w:type="character" w:customStyle="1" w:styleId="10">
    <w:name w:val="标题 1 字符"/>
    <w:basedOn w:val="a0"/>
    <w:uiPriority w:val="9"/>
    <w:locked/>
    <w:rsid w:val="00322D2E"/>
    <w:rPr>
      <w:b/>
      <w:bCs/>
      <w:kern w:val="44"/>
      <w:sz w:val="44"/>
      <w:szCs w:val="44"/>
    </w:rPr>
  </w:style>
  <w:style w:type="character" w:customStyle="1" w:styleId="20">
    <w:name w:val="标题 2 字符"/>
    <w:basedOn w:val="a0"/>
    <w:uiPriority w:val="9"/>
    <w:locked/>
    <w:rsid w:val="00322D2E"/>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sid w:val="00322D2E"/>
    <w:rPr>
      <w:b/>
      <w:bCs/>
      <w:kern w:val="2"/>
      <w:sz w:val="32"/>
      <w:szCs w:val="32"/>
    </w:rPr>
  </w:style>
  <w:style w:type="character" w:customStyle="1" w:styleId="40">
    <w:name w:val="标题 4 字符"/>
    <w:basedOn w:val="a0"/>
    <w:locked/>
    <w:rsid w:val="00322D2E"/>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322D2E"/>
    <w:rPr>
      <w:rFonts w:cs="宋体"/>
      <w:b/>
      <w:bCs/>
      <w:kern w:val="2"/>
      <w:sz w:val="28"/>
      <w:szCs w:val="28"/>
    </w:rPr>
  </w:style>
  <w:style w:type="character" w:customStyle="1" w:styleId="60">
    <w:name w:val="标题 6 字符"/>
    <w:basedOn w:val="a0"/>
    <w:uiPriority w:val="9"/>
    <w:semiHidden/>
    <w:rsid w:val="00322D2E"/>
    <w:rPr>
      <w:rFonts w:asciiTheme="majorHAnsi" w:eastAsiaTheme="majorEastAsia" w:hAnsiTheme="majorHAnsi" w:cstheme="majorBidi"/>
      <w:b/>
      <w:bCs/>
      <w:kern w:val="2"/>
      <w:sz w:val="24"/>
      <w:szCs w:val="24"/>
    </w:rPr>
  </w:style>
  <w:style w:type="paragraph" w:customStyle="1" w:styleId="msonormal0">
    <w:name w:val="msonormal"/>
    <w:basedOn w:val="a"/>
    <w:rsid w:val="00322D2E"/>
    <w:pPr>
      <w:widowControl/>
      <w:spacing w:before="100" w:beforeAutospacing="1" w:after="100" w:afterAutospacing="1"/>
      <w:jc w:val="left"/>
    </w:pPr>
    <w:rPr>
      <w:kern w:val="0"/>
      <w:sz w:val="24"/>
    </w:rPr>
  </w:style>
  <w:style w:type="paragraph" w:styleId="a5">
    <w:name w:val="Normal (Web)"/>
    <w:basedOn w:val="a"/>
    <w:rsid w:val="00322D2E"/>
    <w:pPr>
      <w:widowControl/>
      <w:spacing w:before="100" w:beforeAutospacing="1" w:after="100" w:afterAutospacing="1"/>
      <w:jc w:val="left"/>
    </w:pPr>
    <w:rPr>
      <w:kern w:val="0"/>
      <w:sz w:val="24"/>
    </w:rPr>
  </w:style>
  <w:style w:type="paragraph" w:styleId="11">
    <w:name w:val="toc 1"/>
    <w:basedOn w:val="a"/>
    <w:next w:val="a"/>
    <w:autoRedefine/>
    <w:uiPriority w:val="39"/>
    <w:semiHidden/>
    <w:unhideWhenUsed/>
    <w:rsid w:val="00322D2E"/>
    <w:pPr>
      <w:tabs>
        <w:tab w:val="right" w:leader="dot" w:pos="8835"/>
      </w:tabs>
    </w:pPr>
    <w:rPr>
      <w:noProof/>
    </w:rPr>
  </w:style>
  <w:style w:type="paragraph" w:styleId="21">
    <w:name w:val="toc 2"/>
    <w:basedOn w:val="a"/>
    <w:next w:val="a"/>
    <w:autoRedefine/>
    <w:uiPriority w:val="39"/>
    <w:semiHidden/>
    <w:unhideWhenUsed/>
    <w:rsid w:val="00322D2E"/>
    <w:pPr>
      <w:ind w:leftChars="200" w:left="420"/>
    </w:pPr>
  </w:style>
  <w:style w:type="paragraph" w:styleId="31">
    <w:name w:val="toc 3"/>
    <w:basedOn w:val="a"/>
    <w:next w:val="a"/>
    <w:autoRedefine/>
    <w:uiPriority w:val="39"/>
    <w:semiHidden/>
    <w:unhideWhenUsed/>
    <w:rsid w:val="00322D2E"/>
    <w:pPr>
      <w:ind w:leftChars="200" w:left="420"/>
    </w:pPr>
  </w:style>
  <w:style w:type="paragraph" w:styleId="a6">
    <w:name w:val="footnote text"/>
    <w:basedOn w:val="a"/>
    <w:link w:val="Char1"/>
    <w:rsid w:val="00322D2E"/>
    <w:pPr>
      <w:snapToGrid w:val="0"/>
      <w:jc w:val="left"/>
    </w:pPr>
    <w:rPr>
      <w:sz w:val="18"/>
      <w:szCs w:val="18"/>
    </w:rPr>
  </w:style>
  <w:style w:type="character" w:customStyle="1" w:styleId="a7">
    <w:name w:val="脚注文本 字符"/>
    <w:basedOn w:val="a0"/>
    <w:locked/>
    <w:rsid w:val="00322D2E"/>
    <w:rPr>
      <w:kern w:val="2"/>
      <w:sz w:val="18"/>
      <w:szCs w:val="18"/>
    </w:rPr>
  </w:style>
  <w:style w:type="paragraph" w:styleId="a8">
    <w:name w:val="header"/>
    <w:basedOn w:val="a"/>
    <w:link w:val="Char2"/>
    <w:uiPriority w:val="99"/>
    <w:rsid w:val="00322D2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sid w:val="00322D2E"/>
    <w:rPr>
      <w:kern w:val="2"/>
      <w:sz w:val="18"/>
      <w:szCs w:val="18"/>
    </w:rPr>
  </w:style>
  <w:style w:type="paragraph" w:styleId="aa">
    <w:name w:val="footer"/>
    <w:basedOn w:val="a"/>
    <w:link w:val="Char20"/>
    <w:uiPriority w:val="99"/>
    <w:rsid w:val="00322D2E"/>
    <w:pPr>
      <w:tabs>
        <w:tab w:val="center" w:pos="4153"/>
        <w:tab w:val="right" w:pos="8306"/>
      </w:tabs>
      <w:snapToGrid w:val="0"/>
      <w:jc w:val="left"/>
    </w:pPr>
    <w:rPr>
      <w:sz w:val="18"/>
      <w:szCs w:val="18"/>
    </w:rPr>
  </w:style>
  <w:style w:type="character" w:customStyle="1" w:styleId="ab">
    <w:name w:val="页脚 字符"/>
    <w:basedOn w:val="a0"/>
    <w:uiPriority w:val="99"/>
    <w:locked/>
    <w:rsid w:val="00322D2E"/>
    <w:rPr>
      <w:kern w:val="2"/>
      <w:sz w:val="18"/>
      <w:szCs w:val="18"/>
    </w:rPr>
  </w:style>
  <w:style w:type="paragraph" w:styleId="ac">
    <w:name w:val="Title"/>
    <w:basedOn w:val="1"/>
    <w:next w:val="2"/>
    <w:link w:val="Char10"/>
    <w:uiPriority w:val="10"/>
    <w:qFormat/>
    <w:rsid w:val="00322D2E"/>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sid w:val="00322D2E"/>
    <w:rPr>
      <w:rFonts w:asciiTheme="majorHAnsi" w:eastAsiaTheme="majorEastAsia" w:hAnsiTheme="majorHAnsi" w:cstheme="majorBidi" w:hint="default"/>
      <w:b/>
      <w:bCs/>
      <w:kern w:val="2"/>
      <w:sz w:val="32"/>
      <w:szCs w:val="32"/>
    </w:rPr>
  </w:style>
  <w:style w:type="paragraph" w:styleId="ae">
    <w:name w:val="Subtitle"/>
    <w:basedOn w:val="2"/>
    <w:next w:val="3"/>
    <w:link w:val="Char11"/>
    <w:qFormat/>
    <w:rsid w:val="00322D2E"/>
    <w:pPr>
      <w:spacing w:before="240" w:after="60" w:line="312" w:lineRule="auto"/>
      <w:jc w:val="left"/>
    </w:pPr>
    <w:rPr>
      <w:bCs w:val="0"/>
      <w:kern w:val="24"/>
      <w:sz w:val="24"/>
    </w:rPr>
  </w:style>
  <w:style w:type="character" w:customStyle="1" w:styleId="af">
    <w:name w:val="副标题 字符"/>
    <w:basedOn w:val="a0"/>
    <w:locked/>
    <w:rsid w:val="00322D2E"/>
    <w:rPr>
      <w:rFonts w:asciiTheme="minorHAnsi" w:eastAsiaTheme="minorEastAsia" w:hAnsiTheme="minorHAnsi" w:cstheme="minorBidi" w:hint="default"/>
      <w:b/>
      <w:bCs/>
      <w:kern w:val="24"/>
      <w:sz w:val="32"/>
      <w:szCs w:val="32"/>
    </w:rPr>
  </w:style>
  <w:style w:type="paragraph" w:styleId="af0">
    <w:name w:val="Date"/>
    <w:basedOn w:val="a"/>
    <w:next w:val="a"/>
    <w:link w:val="Char12"/>
    <w:rsid w:val="00322D2E"/>
    <w:rPr>
      <w:sz w:val="32"/>
      <w:lang/>
    </w:rPr>
  </w:style>
  <w:style w:type="character" w:customStyle="1" w:styleId="af1">
    <w:name w:val="日期 字符"/>
    <w:basedOn w:val="a0"/>
    <w:locked/>
    <w:rsid w:val="00322D2E"/>
    <w:rPr>
      <w:kern w:val="2"/>
      <w:sz w:val="21"/>
    </w:rPr>
  </w:style>
  <w:style w:type="paragraph" w:styleId="af2">
    <w:name w:val="Document Map"/>
    <w:basedOn w:val="a"/>
    <w:link w:val="Char13"/>
    <w:rsid w:val="00322D2E"/>
    <w:pPr>
      <w:shd w:val="clear" w:color="auto" w:fill="000080"/>
    </w:pPr>
  </w:style>
  <w:style w:type="character" w:customStyle="1" w:styleId="af3">
    <w:name w:val="文档结构图 字符"/>
    <w:basedOn w:val="a0"/>
    <w:locked/>
    <w:rsid w:val="00322D2E"/>
    <w:rPr>
      <w:rFonts w:ascii="Microsoft YaHei UI" w:eastAsia="Microsoft YaHei UI" w:hAnsi="Microsoft YaHei UI" w:hint="eastAsia"/>
      <w:kern w:val="2"/>
      <w:sz w:val="18"/>
      <w:szCs w:val="18"/>
    </w:rPr>
  </w:style>
  <w:style w:type="paragraph" w:styleId="af4">
    <w:name w:val="Balloon Text"/>
    <w:basedOn w:val="a"/>
    <w:link w:val="Char14"/>
    <w:uiPriority w:val="99"/>
    <w:semiHidden/>
    <w:unhideWhenUsed/>
    <w:rsid w:val="00322D2E"/>
    <w:rPr>
      <w:sz w:val="18"/>
      <w:szCs w:val="18"/>
    </w:rPr>
  </w:style>
  <w:style w:type="character" w:customStyle="1" w:styleId="af5">
    <w:name w:val="批注框文本 字符"/>
    <w:basedOn w:val="a0"/>
    <w:uiPriority w:val="99"/>
    <w:semiHidden/>
    <w:locked/>
    <w:rsid w:val="00322D2E"/>
    <w:rPr>
      <w:kern w:val="2"/>
      <w:sz w:val="18"/>
      <w:szCs w:val="18"/>
    </w:rPr>
  </w:style>
  <w:style w:type="paragraph" w:styleId="TOC">
    <w:name w:val="TOC Heading"/>
    <w:basedOn w:val="1"/>
    <w:next w:val="a"/>
    <w:uiPriority w:val="39"/>
    <w:semiHidden/>
    <w:unhideWhenUsed/>
    <w:qFormat/>
    <w:rsid w:val="00322D2E"/>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rsid w:val="00322D2E"/>
    <w:pPr>
      <w:numPr>
        <w:ilvl w:val="5"/>
        <w:numId w:val="2"/>
      </w:numPr>
      <w:spacing w:beforeLines="50" w:after="0" w:line="240" w:lineRule="auto"/>
      <w:ind w:left="2042"/>
      <w:outlineLvl w:val="9"/>
    </w:pPr>
    <w:rPr>
      <w:bCs/>
    </w:rPr>
  </w:style>
  <w:style w:type="paragraph" w:customStyle="1" w:styleId="af6">
    <w:name w:val="次标题"/>
    <w:basedOn w:val="3"/>
    <w:next w:val="a"/>
    <w:rsid w:val="00322D2E"/>
    <w:pPr>
      <w:spacing w:before="120" w:after="120"/>
      <w:jc w:val="left"/>
    </w:pPr>
    <w:rPr>
      <w:sz w:val="21"/>
    </w:rPr>
  </w:style>
  <w:style w:type="paragraph" w:customStyle="1" w:styleId="XBRL6">
    <w:name w:val="XBRL标题6"/>
    <w:basedOn w:val="ae"/>
    <w:next w:val="4"/>
    <w:qFormat/>
    <w:rsid w:val="00322D2E"/>
    <w:pPr>
      <w:spacing w:beforeLines="50" w:after="0" w:line="240" w:lineRule="auto"/>
      <w:outlineLvl w:val="9"/>
    </w:pPr>
    <w:rPr>
      <w:bCs/>
    </w:rPr>
  </w:style>
  <w:style w:type="paragraph" w:customStyle="1" w:styleId="XBRL2">
    <w:name w:val="XBRL标题2"/>
    <w:basedOn w:val="ae"/>
    <w:next w:val="4"/>
    <w:qFormat/>
    <w:rsid w:val="00322D2E"/>
    <w:pPr>
      <w:spacing w:beforeLines="50" w:after="0" w:line="240" w:lineRule="auto"/>
    </w:pPr>
    <w:rPr>
      <w:bCs/>
    </w:rPr>
  </w:style>
  <w:style w:type="paragraph" w:customStyle="1" w:styleId="XBRL3">
    <w:name w:val="XBRL标题3"/>
    <w:basedOn w:val="ae"/>
    <w:next w:val="4"/>
    <w:qFormat/>
    <w:rsid w:val="00322D2E"/>
    <w:pPr>
      <w:spacing w:beforeLines="50" w:after="0" w:line="240" w:lineRule="auto"/>
      <w:outlineLvl w:val="9"/>
    </w:pPr>
    <w:rPr>
      <w:bCs/>
    </w:rPr>
  </w:style>
  <w:style w:type="paragraph" w:customStyle="1" w:styleId="XBRLTitle1">
    <w:name w:val="XBRLTitle1"/>
    <w:basedOn w:val="1"/>
    <w:next w:val="2"/>
    <w:qFormat/>
    <w:rsid w:val="00322D2E"/>
    <w:pPr>
      <w:keepNext w:val="0"/>
      <w:keepLines w:val="0"/>
      <w:numPr>
        <w:numId w:val="2"/>
      </w:numPr>
      <w:spacing w:beforeLines="50" w:after="0" w:line="240" w:lineRule="auto"/>
      <w:ind w:left="850"/>
      <w:jc w:val="left"/>
    </w:pPr>
    <w:rPr>
      <w:rFonts w:hAnsi="Cambria"/>
      <w:sz w:val="24"/>
      <w:szCs w:val="32"/>
    </w:rPr>
  </w:style>
  <w:style w:type="paragraph" w:customStyle="1" w:styleId="XBRLTitle2">
    <w:name w:val="XBRLTitle2"/>
    <w:basedOn w:val="ae"/>
    <w:next w:val="4"/>
    <w:qFormat/>
    <w:rsid w:val="00322D2E"/>
    <w:pPr>
      <w:keepNext w:val="0"/>
      <w:keepLines w:val="0"/>
      <w:numPr>
        <w:ilvl w:val="1"/>
        <w:numId w:val="2"/>
      </w:numPr>
      <w:spacing w:beforeLines="50" w:after="0" w:line="240" w:lineRule="auto"/>
      <w:ind w:left="908"/>
    </w:pPr>
    <w:rPr>
      <w:rFonts w:ascii="宋体"/>
      <w:bCs/>
    </w:rPr>
  </w:style>
  <w:style w:type="paragraph" w:customStyle="1" w:styleId="XBRLTitle5">
    <w:name w:val="XBRLTitle5"/>
    <w:basedOn w:val="ae"/>
    <w:next w:val="4"/>
    <w:qFormat/>
    <w:rsid w:val="00322D2E"/>
    <w:pPr>
      <w:numPr>
        <w:ilvl w:val="4"/>
        <w:numId w:val="2"/>
      </w:numPr>
      <w:spacing w:beforeLines="50" w:after="0" w:line="240" w:lineRule="auto"/>
      <w:ind w:left="2042"/>
      <w:outlineLvl w:val="9"/>
    </w:pPr>
    <w:rPr>
      <w:bCs/>
    </w:rPr>
  </w:style>
  <w:style w:type="paragraph" w:customStyle="1" w:styleId="Char">
    <w:name w:val="Char"/>
    <w:basedOn w:val="a"/>
    <w:rsid w:val="00322D2E"/>
  </w:style>
  <w:style w:type="paragraph" w:customStyle="1" w:styleId="CharCharCharCharCharChar1CharCharChar">
    <w:name w:val="Char Char Char Char Char Char1 Char Char Char"/>
    <w:basedOn w:val="a"/>
    <w:rsid w:val="00322D2E"/>
    <w:pPr>
      <w:autoSpaceDE w:val="0"/>
      <w:autoSpaceDN w:val="0"/>
      <w:adjustRightInd w:val="0"/>
      <w:jc w:val="left"/>
    </w:pPr>
  </w:style>
  <w:style w:type="paragraph" w:customStyle="1" w:styleId="XBRL1">
    <w:name w:val="XBRL标题1"/>
    <w:basedOn w:val="1"/>
    <w:next w:val="2"/>
    <w:qFormat/>
    <w:rsid w:val="00322D2E"/>
    <w:pPr>
      <w:spacing w:beforeLines="50" w:after="0" w:line="240" w:lineRule="auto"/>
      <w:jc w:val="center"/>
    </w:pPr>
    <w:rPr>
      <w:rFonts w:ascii="Cambria" w:hAnsi="Cambria"/>
      <w:sz w:val="24"/>
    </w:rPr>
  </w:style>
  <w:style w:type="paragraph" w:customStyle="1" w:styleId="XBRL5">
    <w:name w:val="XBRL标题5"/>
    <w:basedOn w:val="ae"/>
    <w:next w:val="4"/>
    <w:qFormat/>
    <w:rsid w:val="00322D2E"/>
    <w:pPr>
      <w:spacing w:beforeLines="50" w:after="0" w:line="240" w:lineRule="auto"/>
      <w:outlineLvl w:val="9"/>
    </w:pPr>
    <w:rPr>
      <w:bCs/>
    </w:rPr>
  </w:style>
  <w:style w:type="paragraph" w:customStyle="1" w:styleId="XBRL4">
    <w:name w:val="XBRL标题4"/>
    <w:basedOn w:val="ae"/>
    <w:next w:val="4"/>
    <w:qFormat/>
    <w:rsid w:val="00322D2E"/>
    <w:pPr>
      <w:spacing w:beforeLines="50" w:after="0" w:line="240" w:lineRule="auto"/>
      <w:outlineLvl w:val="9"/>
    </w:pPr>
    <w:rPr>
      <w:bCs/>
    </w:rPr>
  </w:style>
  <w:style w:type="paragraph" w:customStyle="1" w:styleId="XBRLTitle4">
    <w:name w:val="XBRLTitle4"/>
    <w:basedOn w:val="ae"/>
    <w:next w:val="4"/>
    <w:qFormat/>
    <w:rsid w:val="00322D2E"/>
    <w:pPr>
      <w:numPr>
        <w:ilvl w:val="3"/>
        <w:numId w:val="2"/>
      </w:numPr>
      <w:spacing w:beforeLines="50" w:after="0" w:line="240" w:lineRule="auto"/>
      <w:ind w:left="1588"/>
      <w:outlineLvl w:val="9"/>
    </w:pPr>
    <w:rPr>
      <w:bCs/>
    </w:rPr>
  </w:style>
  <w:style w:type="paragraph" w:customStyle="1" w:styleId="xl33">
    <w:name w:val="xl33"/>
    <w:basedOn w:val="a"/>
    <w:rsid w:val="00322D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322D2E"/>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rsid w:val="00322D2E"/>
    <w:pPr>
      <w:autoSpaceDE w:val="0"/>
      <w:autoSpaceDN w:val="0"/>
      <w:adjustRightInd w:val="0"/>
      <w:jc w:val="left"/>
    </w:pPr>
    <w:rPr>
      <w:rFonts w:ascii="仿宋" w:eastAsia="仿宋" w:hAnsi="仿宋"/>
      <w:color w:val="000000"/>
      <w:kern w:val="0"/>
      <w:sz w:val="24"/>
      <w:szCs w:val="24"/>
    </w:rPr>
  </w:style>
  <w:style w:type="character" w:styleId="af7">
    <w:name w:val="footnote reference"/>
    <w:rsid w:val="00322D2E"/>
    <w:rPr>
      <w:vertAlign w:val="superscript"/>
    </w:rPr>
  </w:style>
  <w:style w:type="character" w:customStyle="1" w:styleId="1Char">
    <w:name w:val="标题 1 Char"/>
    <w:basedOn w:val="a0"/>
    <w:uiPriority w:val="9"/>
    <w:locked/>
    <w:rsid w:val="00322D2E"/>
    <w:rPr>
      <w:b/>
      <w:bCs/>
      <w:kern w:val="44"/>
      <w:sz w:val="44"/>
      <w:szCs w:val="44"/>
    </w:rPr>
  </w:style>
  <w:style w:type="character" w:customStyle="1" w:styleId="2Char">
    <w:name w:val="标题 2 Char"/>
    <w:basedOn w:val="a0"/>
    <w:uiPriority w:val="9"/>
    <w:locked/>
    <w:rsid w:val="00322D2E"/>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322D2E"/>
    <w:rPr>
      <w:b/>
      <w:bCs/>
      <w:kern w:val="2"/>
      <w:sz w:val="32"/>
      <w:szCs w:val="32"/>
    </w:rPr>
  </w:style>
  <w:style w:type="character" w:customStyle="1" w:styleId="4Char">
    <w:name w:val="标题 4 Char"/>
    <w:basedOn w:val="a0"/>
    <w:locked/>
    <w:rsid w:val="00322D2E"/>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322D2E"/>
    <w:rPr>
      <w:b/>
      <w:bCs/>
      <w:kern w:val="2"/>
      <w:sz w:val="24"/>
      <w:szCs w:val="24"/>
    </w:rPr>
  </w:style>
  <w:style w:type="character" w:customStyle="1" w:styleId="6Char">
    <w:name w:val="标题 6 Char"/>
    <w:basedOn w:val="a0"/>
    <w:uiPriority w:val="9"/>
    <w:semiHidden/>
    <w:locked/>
    <w:rsid w:val="00322D2E"/>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322D2E"/>
    <w:rPr>
      <w:kern w:val="2"/>
      <w:sz w:val="18"/>
      <w:szCs w:val="18"/>
    </w:rPr>
  </w:style>
  <w:style w:type="character" w:customStyle="1" w:styleId="Char3">
    <w:name w:val="页眉 Char"/>
    <w:basedOn w:val="a0"/>
    <w:uiPriority w:val="99"/>
    <w:locked/>
    <w:rsid w:val="00322D2E"/>
    <w:rPr>
      <w:kern w:val="2"/>
      <w:sz w:val="18"/>
      <w:szCs w:val="18"/>
    </w:rPr>
  </w:style>
  <w:style w:type="character" w:customStyle="1" w:styleId="Char4">
    <w:name w:val="页脚 Char"/>
    <w:basedOn w:val="a0"/>
    <w:uiPriority w:val="99"/>
    <w:locked/>
    <w:rsid w:val="00322D2E"/>
    <w:rPr>
      <w:kern w:val="2"/>
      <w:sz w:val="18"/>
      <w:szCs w:val="18"/>
    </w:rPr>
  </w:style>
  <w:style w:type="character" w:customStyle="1" w:styleId="Char5">
    <w:name w:val="标题 Char"/>
    <w:basedOn w:val="a0"/>
    <w:uiPriority w:val="10"/>
    <w:locked/>
    <w:rsid w:val="00322D2E"/>
    <w:rPr>
      <w:rFonts w:asciiTheme="majorHAnsi" w:hAnsiTheme="majorHAnsi" w:cstheme="majorBidi" w:hint="default"/>
      <w:b/>
      <w:bCs/>
      <w:kern w:val="2"/>
      <w:sz w:val="32"/>
      <w:szCs w:val="32"/>
    </w:rPr>
  </w:style>
  <w:style w:type="character" w:customStyle="1" w:styleId="Char6">
    <w:name w:val="副标题 Char"/>
    <w:basedOn w:val="a0"/>
    <w:locked/>
    <w:rsid w:val="00322D2E"/>
    <w:rPr>
      <w:rFonts w:asciiTheme="majorHAnsi" w:hAnsiTheme="majorHAnsi" w:cstheme="majorBidi" w:hint="default"/>
      <w:b/>
      <w:bCs/>
      <w:kern w:val="24"/>
      <w:sz w:val="32"/>
      <w:szCs w:val="32"/>
    </w:rPr>
  </w:style>
  <w:style w:type="character" w:customStyle="1" w:styleId="Char7">
    <w:name w:val="日期 Char"/>
    <w:basedOn w:val="a0"/>
    <w:locked/>
    <w:rsid w:val="00322D2E"/>
    <w:rPr>
      <w:kern w:val="2"/>
      <w:sz w:val="21"/>
    </w:rPr>
  </w:style>
  <w:style w:type="character" w:customStyle="1" w:styleId="Char8">
    <w:name w:val="文档结构图 Char"/>
    <w:basedOn w:val="a0"/>
    <w:locked/>
    <w:rsid w:val="00322D2E"/>
    <w:rPr>
      <w:rFonts w:ascii="宋体" w:eastAsia="宋体" w:hAnsi="宋体" w:hint="eastAsia"/>
      <w:kern w:val="2"/>
      <w:sz w:val="18"/>
      <w:szCs w:val="18"/>
    </w:rPr>
  </w:style>
  <w:style w:type="character" w:customStyle="1" w:styleId="Char9">
    <w:name w:val="批注框文本 Char"/>
    <w:basedOn w:val="a0"/>
    <w:uiPriority w:val="99"/>
    <w:semiHidden/>
    <w:locked/>
    <w:rsid w:val="00322D2E"/>
    <w:rPr>
      <w:kern w:val="2"/>
      <w:sz w:val="18"/>
      <w:szCs w:val="18"/>
    </w:rPr>
  </w:style>
  <w:style w:type="character" w:customStyle="1" w:styleId="1Char1">
    <w:name w:val="标题 1 Char1"/>
    <w:link w:val="1"/>
    <w:uiPriority w:val="9"/>
    <w:locked/>
    <w:rsid w:val="00322D2E"/>
    <w:rPr>
      <w:b/>
      <w:bCs/>
      <w:kern w:val="44"/>
      <w:sz w:val="44"/>
      <w:szCs w:val="44"/>
    </w:rPr>
  </w:style>
  <w:style w:type="character" w:customStyle="1" w:styleId="2Char1">
    <w:name w:val="标题 2 Char1"/>
    <w:link w:val="2"/>
    <w:uiPriority w:val="9"/>
    <w:locked/>
    <w:rsid w:val="00322D2E"/>
    <w:rPr>
      <w:rFonts w:ascii="Cambria" w:eastAsia="宋体" w:hAnsi="Cambria" w:cs="宋体" w:hint="default"/>
      <w:b/>
      <w:bCs/>
      <w:sz w:val="32"/>
      <w:szCs w:val="32"/>
    </w:rPr>
  </w:style>
  <w:style w:type="character" w:customStyle="1" w:styleId="3Char1">
    <w:name w:val="标题 3 Char1"/>
    <w:link w:val="3"/>
    <w:uiPriority w:val="9"/>
    <w:locked/>
    <w:rsid w:val="00322D2E"/>
    <w:rPr>
      <w:b/>
      <w:bCs/>
      <w:sz w:val="32"/>
      <w:szCs w:val="32"/>
    </w:rPr>
  </w:style>
  <w:style w:type="character" w:customStyle="1" w:styleId="4Char1">
    <w:name w:val="标题 4 Char1"/>
    <w:link w:val="4"/>
    <w:semiHidden/>
    <w:locked/>
    <w:rsid w:val="00322D2E"/>
    <w:rPr>
      <w:rFonts w:ascii="Cambria" w:eastAsia="宋体" w:hAnsi="Cambria" w:cs="宋体" w:hint="default"/>
      <w:b/>
      <w:bCs/>
      <w:sz w:val="24"/>
      <w:szCs w:val="24"/>
    </w:rPr>
  </w:style>
  <w:style w:type="character" w:customStyle="1" w:styleId="Char1">
    <w:name w:val="脚注文本 Char1"/>
    <w:basedOn w:val="a0"/>
    <w:link w:val="a6"/>
    <w:locked/>
    <w:rsid w:val="00322D2E"/>
    <w:rPr>
      <w:kern w:val="2"/>
      <w:sz w:val="18"/>
      <w:szCs w:val="18"/>
    </w:rPr>
  </w:style>
  <w:style w:type="character" w:customStyle="1" w:styleId="Char2">
    <w:name w:val="页眉 Char2"/>
    <w:basedOn w:val="a0"/>
    <w:link w:val="a8"/>
    <w:locked/>
    <w:rsid w:val="00322D2E"/>
    <w:rPr>
      <w:kern w:val="2"/>
      <w:sz w:val="18"/>
      <w:szCs w:val="18"/>
    </w:rPr>
  </w:style>
  <w:style w:type="character" w:customStyle="1" w:styleId="Char20">
    <w:name w:val="页脚 Char2"/>
    <w:basedOn w:val="a0"/>
    <w:link w:val="aa"/>
    <w:uiPriority w:val="99"/>
    <w:locked/>
    <w:rsid w:val="00322D2E"/>
    <w:rPr>
      <w:kern w:val="2"/>
      <w:sz w:val="18"/>
      <w:szCs w:val="18"/>
    </w:rPr>
  </w:style>
  <w:style w:type="character" w:customStyle="1" w:styleId="Char10">
    <w:name w:val="标题 Char1"/>
    <w:link w:val="ac"/>
    <w:uiPriority w:val="10"/>
    <w:locked/>
    <w:rsid w:val="00322D2E"/>
    <w:rPr>
      <w:rFonts w:ascii="Cambria" w:hAnsi="Cambria" w:cs="宋体" w:hint="default"/>
      <w:b/>
      <w:bCs/>
      <w:sz w:val="32"/>
      <w:szCs w:val="32"/>
    </w:rPr>
  </w:style>
  <w:style w:type="character" w:customStyle="1" w:styleId="Char11">
    <w:name w:val="副标题 Char1"/>
    <w:link w:val="ae"/>
    <w:locked/>
    <w:rsid w:val="00322D2E"/>
    <w:rPr>
      <w:rFonts w:ascii="Cambria" w:eastAsia="宋体" w:hAnsi="Cambria" w:cs="宋体" w:hint="default"/>
      <w:b/>
      <w:bCs w:val="0"/>
      <w:kern w:val="24"/>
      <w:sz w:val="24"/>
      <w:szCs w:val="32"/>
    </w:rPr>
  </w:style>
  <w:style w:type="character" w:customStyle="1" w:styleId="Char12">
    <w:name w:val="日期 Char1"/>
    <w:link w:val="af0"/>
    <w:locked/>
    <w:rsid w:val="00322D2E"/>
    <w:rPr>
      <w:rFonts w:ascii="宋体" w:eastAsia="宋体" w:hAnsi="宋体" w:hint="eastAsia"/>
      <w:kern w:val="2"/>
      <w:sz w:val="32"/>
    </w:rPr>
  </w:style>
  <w:style w:type="character" w:customStyle="1" w:styleId="Char13">
    <w:name w:val="文档结构图 Char1"/>
    <w:basedOn w:val="a0"/>
    <w:link w:val="af2"/>
    <w:locked/>
    <w:rsid w:val="00322D2E"/>
    <w:rPr>
      <w:rFonts w:ascii="宋体" w:eastAsia="宋体" w:hAnsi="宋体" w:hint="eastAsia"/>
      <w:kern w:val="2"/>
      <w:sz w:val="18"/>
      <w:szCs w:val="18"/>
    </w:rPr>
  </w:style>
  <w:style w:type="character" w:customStyle="1" w:styleId="Char14">
    <w:name w:val="批注框文本 Char1"/>
    <w:basedOn w:val="a0"/>
    <w:link w:val="af4"/>
    <w:uiPriority w:val="99"/>
    <w:semiHidden/>
    <w:locked/>
    <w:rsid w:val="00322D2E"/>
    <w:rPr>
      <w:kern w:val="2"/>
      <w:sz w:val="18"/>
      <w:szCs w:val="18"/>
    </w:rPr>
  </w:style>
  <w:style w:type="character" w:customStyle="1" w:styleId="5Char1">
    <w:name w:val="标题 5 Char1"/>
    <w:basedOn w:val="a0"/>
    <w:link w:val="5"/>
    <w:uiPriority w:val="9"/>
    <w:semiHidden/>
    <w:locked/>
    <w:rsid w:val="00322D2E"/>
    <w:rPr>
      <w:b/>
      <w:bCs/>
      <w:kern w:val="2"/>
      <w:sz w:val="24"/>
      <w:szCs w:val="24"/>
    </w:rPr>
  </w:style>
  <w:style w:type="character" w:customStyle="1" w:styleId="6Char1">
    <w:name w:val="标题 6 Char1"/>
    <w:basedOn w:val="a0"/>
    <w:link w:val="6"/>
    <w:uiPriority w:val="9"/>
    <w:semiHidden/>
    <w:locked/>
    <w:rsid w:val="00322D2E"/>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322D2E"/>
    <w:rPr>
      <w:kern w:val="2"/>
      <w:sz w:val="18"/>
      <w:szCs w:val="18"/>
    </w:rPr>
  </w:style>
  <w:style w:type="table" w:styleId="af8">
    <w:name w:val="Table Grid"/>
    <w:basedOn w:val="a1"/>
    <w:uiPriority w:val="59"/>
    <w:semiHidden/>
    <w:unhideWhenUsed/>
    <w:rsid w:val="00322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rsid w:val="00322D2E"/>
    <w:pPr>
      <w:widowControl/>
      <w:spacing w:before="100" w:beforeAutospacing="1" w:after="100" w:afterAutospacing="1"/>
      <w:jc w:val="left"/>
    </w:pPr>
    <w:rPr>
      <w:kern w:val="0"/>
      <w:sz w:val="24"/>
    </w:rPr>
  </w:style>
  <w:style w:type="character" w:customStyle="1" w:styleId="Char15">
    <w:name w:val="页眉 Char1"/>
    <w:basedOn w:val="a0"/>
    <w:locked/>
    <w:rsid w:val="00322D2E"/>
    <w:rPr>
      <w:kern w:val="2"/>
      <w:sz w:val="18"/>
      <w:szCs w:val="18"/>
    </w:rPr>
  </w:style>
  <w:style w:type="character" w:customStyle="1" w:styleId="Char16">
    <w:name w:val="页脚 Char1"/>
    <w:basedOn w:val="a0"/>
    <w:uiPriority w:val="99"/>
    <w:locked/>
    <w:rsid w:val="00322D2E"/>
    <w:rPr>
      <w:kern w:val="2"/>
      <w:sz w:val="18"/>
      <w:szCs w:val="18"/>
    </w:rPr>
  </w:style>
  <w:style w:type="character" w:styleId="af9">
    <w:name w:val="annotation reference"/>
    <w:basedOn w:val="a0"/>
    <w:uiPriority w:val="99"/>
    <w:semiHidden/>
    <w:unhideWhenUsed/>
    <w:rsid w:val="008147E3"/>
    <w:rPr>
      <w:sz w:val="21"/>
      <w:szCs w:val="21"/>
    </w:rPr>
  </w:style>
  <w:style w:type="paragraph" w:styleId="afa">
    <w:name w:val="annotation text"/>
    <w:basedOn w:val="a"/>
    <w:link w:val="Chara"/>
    <w:uiPriority w:val="99"/>
    <w:semiHidden/>
    <w:unhideWhenUsed/>
    <w:rsid w:val="008147E3"/>
    <w:pPr>
      <w:jc w:val="left"/>
    </w:pPr>
  </w:style>
  <w:style w:type="character" w:customStyle="1" w:styleId="Chara">
    <w:name w:val="批注文字 Char"/>
    <w:basedOn w:val="a0"/>
    <w:link w:val="afa"/>
    <w:uiPriority w:val="99"/>
    <w:semiHidden/>
    <w:rsid w:val="008147E3"/>
    <w:rPr>
      <w:rFonts w:cs="宋体"/>
      <w:kern w:val="2"/>
      <w:sz w:val="21"/>
    </w:rPr>
  </w:style>
  <w:style w:type="paragraph" w:styleId="afb">
    <w:name w:val="annotation subject"/>
    <w:basedOn w:val="afa"/>
    <w:next w:val="afa"/>
    <w:link w:val="Charb"/>
    <w:uiPriority w:val="99"/>
    <w:semiHidden/>
    <w:unhideWhenUsed/>
    <w:rsid w:val="008147E3"/>
    <w:rPr>
      <w:b/>
      <w:bCs/>
    </w:rPr>
  </w:style>
  <w:style w:type="character" w:customStyle="1" w:styleId="Charb">
    <w:name w:val="批注主题 Char"/>
    <w:basedOn w:val="Chara"/>
    <w:link w:val="afb"/>
    <w:uiPriority w:val="99"/>
    <w:semiHidden/>
    <w:rsid w:val="008147E3"/>
    <w:rPr>
      <w:rFonts w:cs="宋体"/>
      <w:b/>
      <w:bCs/>
      <w:kern w:val="2"/>
      <w:sz w:val="21"/>
    </w:rPr>
  </w:style>
</w:styles>
</file>

<file path=word/webSettings.xml><?xml version="1.0" encoding="utf-8"?>
<w:webSettings xmlns:r="http://schemas.openxmlformats.org/officeDocument/2006/relationships" xmlns:w="http://schemas.openxmlformats.org/wordprocessingml/2006/main">
  <w:divs>
    <w:div w:id="157429060">
      <w:bodyDiv w:val="1"/>
      <w:marLeft w:val="0"/>
      <w:marRight w:val="0"/>
      <w:marTop w:val="0"/>
      <w:marBottom w:val="0"/>
      <w:divBdr>
        <w:top w:val="none" w:sz="0" w:space="0" w:color="auto"/>
        <w:left w:val="none" w:sz="0" w:space="0" w:color="auto"/>
        <w:bottom w:val="none" w:sz="0" w:space="0" w:color="auto"/>
        <w:right w:val="none" w:sz="0" w:space="0" w:color="auto"/>
      </w:divBdr>
    </w:div>
    <w:div w:id="302078675">
      <w:bodyDiv w:val="1"/>
      <w:marLeft w:val="0"/>
      <w:marRight w:val="0"/>
      <w:marTop w:val="0"/>
      <w:marBottom w:val="0"/>
      <w:divBdr>
        <w:top w:val="none" w:sz="0" w:space="0" w:color="auto"/>
        <w:left w:val="none" w:sz="0" w:space="0" w:color="auto"/>
        <w:bottom w:val="none" w:sz="0" w:space="0" w:color="auto"/>
        <w:right w:val="none" w:sz="0" w:space="0" w:color="auto"/>
      </w:divBdr>
    </w:div>
    <w:div w:id="400372448">
      <w:marLeft w:val="0"/>
      <w:marRight w:val="0"/>
      <w:marTop w:val="0"/>
      <w:marBottom w:val="0"/>
      <w:divBdr>
        <w:top w:val="none" w:sz="0" w:space="0" w:color="auto"/>
        <w:left w:val="none" w:sz="0" w:space="0" w:color="auto"/>
        <w:bottom w:val="none" w:sz="0" w:space="0" w:color="auto"/>
        <w:right w:val="none" w:sz="0" w:space="0" w:color="auto"/>
      </w:divBdr>
      <w:divsChild>
        <w:div w:id="2073043182">
          <w:marLeft w:val="0"/>
          <w:marRight w:val="0"/>
          <w:marTop w:val="0"/>
          <w:marBottom w:val="0"/>
          <w:divBdr>
            <w:top w:val="none" w:sz="0" w:space="0" w:color="auto"/>
            <w:left w:val="none" w:sz="0" w:space="0" w:color="auto"/>
            <w:bottom w:val="none" w:sz="0" w:space="0" w:color="auto"/>
            <w:right w:val="none" w:sz="0" w:space="0" w:color="auto"/>
          </w:divBdr>
        </w:div>
        <w:div w:id="1784227476">
          <w:marLeft w:val="0"/>
          <w:marRight w:val="0"/>
          <w:marTop w:val="0"/>
          <w:marBottom w:val="0"/>
          <w:divBdr>
            <w:top w:val="none" w:sz="0" w:space="0" w:color="auto"/>
            <w:left w:val="none" w:sz="0" w:space="0" w:color="auto"/>
            <w:bottom w:val="none" w:sz="0" w:space="0" w:color="auto"/>
            <w:right w:val="none" w:sz="0" w:space="0" w:color="auto"/>
          </w:divBdr>
        </w:div>
      </w:divsChild>
    </w:div>
    <w:div w:id="700978712">
      <w:bodyDiv w:val="1"/>
      <w:marLeft w:val="0"/>
      <w:marRight w:val="0"/>
      <w:marTop w:val="0"/>
      <w:marBottom w:val="0"/>
      <w:divBdr>
        <w:top w:val="none" w:sz="0" w:space="0" w:color="auto"/>
        <w:left w:val="none" w:sz="0" w:space="0" w:color="auto"/>
        <w:bottom w:val="none" w:sz="0" w:space="0" w:color="auto"/>
        <w:right w:val="none" w:sz="0" w:space="0" w:color="auto"/>
      </w:divBdr>
    </w:div>
    <w:div w:id="1167595667">
      <w:bodyDiv w:val="1"/>
      <w:marLeft w:val="0"/>
      <w:marRight w:val="0"/>
      <w:marTop w:val="0"/>
      <w:marBottom w:val="0"/>
      <w:divBdr>
        <w:top w:val="none" w:sz="0" w:space="0" w:color="auto"/>
        <w:left w:val="none" w:sz="0" w:space="0" w:color="auto"/>
        <w:bottom w:val="none" w:sz="0" w:space="0" w:color="auto"/>
        <w:right w:val="none" w:sz="0" w:space="0" w:color="auto"/>
      </w:divBdr>
    </w:div>
    <w:div w:id="1326083118">
      <w:bodyDiv w:val="1"/>
      <w:marLeft w:val="0"/>
      <w:marRight w:val="0"/>
      <w:marTop w:val="0"/>
      <w:marBottom w:val="0"/>
      <w:divBdr>
        <w:top w:val="none" w:sz="0" w:space="0" w:color="auto"/>
        <w:left w:val="none" w:sz="0" w:space="0" w:color="auto"/>
        <w:bottom w:val="none" w:sz="0" w:space="0" w:color="auto"/>
        <w:right w:val="none" w:sz="0" w:space="0" w:color="auto"/>
      </w:divBdr>
    </w:div>
    <w:div w:id="1399859476">
      <w:marLeft w:val="0"/>
      <w:marRight w:val="0"/>
      <w:marTop w:val="0"/>
      <w:marBottom w:val="0"/>
      <w:divBdr>
        <w:top w:val="none" w:sz="0" w:space="0" w:color="auto"/>
        <w:left w:val="none" w:sz="0" w:space="0" w:color="auto"/>
        <w:bottom w:val="none" w:sz="0" w:space="0" w:color="auto"/>
        <w:right w:val="none" w:sz="0" w:space="0" w:color="auto"/>
      </w:divBdr>
    </w:div>
    <w:div w:id="1727799009">
      <w:bodyDiv w:val="1"/>
      <w:marLeft w:val="0"/>
      <w:marRight w:val="0"/>
      <w:marTop w:val="0"/>
      <w:marBottom w:val="0"/>
      <w:divBdr>
        <w:top w:val="none" w:sz="0" w:space="0" w:color="auto"/>
        <w:left w:val="none" w:sz="0" w:space="0" w:color="auto"/>
        <w:bottom w:val="none" w:sz="0" w:space="0" w:color="auto"/>
        <w:right w:val="none" w:sz="0" w:space="0" w:color="auto"/>
      </w:divBdr>
    </w:div>
    <w:div w:id="1900626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BF31-8D4D-446E-9E06-01194FFE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4508</Characters>
  <Application>Microsoft Office Word</Application>
  <DocSecurity>4</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2024-09-12T06:56:00Z</cp:lastPrinted>
  <dcterms:created xsi:type="dcterms:W3CDTF">2024-12-23T16:04:00Z</dcterms:created>
  <dcterms:modified xsi:type="dcterms:W3CDTF">2024-12-23T16:04:00Z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