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13" w:rsidRDefault="003A4734" w:rsidP="00F67514">
      <w:pPr>
        <w:jc w:val="center"/>
        <w:outlineLvl w:val="0"/>
        <w:rPr>
          <w:b/>
          <w:sz w:val="32"/>
          <w:szCs w:val="32"/>
        </w:rPr>
      </w:pPr>
      <w:r w:rsidRPr="00F756F9">
        <w:rPr>
          <w:rFonts w:hint="eastAsia"/>
          <w:b/>
          <w:sz w:val="32"/>
          <w:szCs w:val="32"/>
        </w:rPr>
        <w:t>关于召开</w:t>
      </w:r>
      <w:r w:rsidR="00A42367">
        <w:rPr>
          <w:rFonts w:hint="eastAsia"/>
          <w:b/>
          <w:sz w:val="32"/>
          <w:szCs w:val="32"/>
        </w:rPr>
        <w:t>东方红</w:t>
      </w:r>
      <w:r w:rsidR="00597A80">
        <w:rPr>
          <w:rFonts w:hint="eastAsia"/>
          <w:b/>
          <w:sz w:val="32"/>
          <w:szCs w:val="32"/>
        </w:rPr>
        <w:t>恒阳</w:t>
      </w:r>
      <w:r w:rsidR="00ED4487">
        <w:rPr>
          <w:rFonts w:hint="eastAsia"/>
          <w:b/>
          <w:sz w:val="32"/>
          <w:szCs w:val="32"/>
        </w:rPr>
        <w:t>五</w:t>
      </w:r>
      <w:r w:rsidR="00A42367">
        <w:rPr>
          <w:rFonts w:hint="eastAsia"/>
          <w:b/>
          <w:sz w:val="32"/>
          <w:szCs w:val="32"/>
        </w:rPr>
        <w:t>年定期开放混合型证券投资基金</w:t>
      </w:r>
      <w:r w:rsidR="00B36866" w:rsidRPr="00F756F9">
        <w:rPr>
          <w:rFonts w:hint="eastAsia"/>
          <w:b/>
          <w:sz w:val="32"/>
          <w:szCs w:val="32"/>
        </w:rPr>
        <w:t>基金份额持有人大会</w:t>
      </w:r>
      <w:r w:rsidR="000A2406">
        <w:rPr>
          <w:rFonts w:hint="eastAsia"/>
          <w:b/>
          <w:sz w:val="32"/>
          <w:szCs w:val="32"/>
        </w:rPr>
        <w:t>（通讯方式）</w:t>
      </w:r>
      <w:r w:rsidR="00B36866" w:rsidRPr="00F756F9">
        <w:rPr>
          <w:rFonts w:hint="eastAsia"/>
          <w:b/>
          <w:sz w:val="32"/>
          <w:szCs w:val="32"/>
        </w:rPr>
        <w:t>的</w:t>
      </w:r>
      <w:r w:rsidR="006A0382">
        <w:rPr>
          <w:rFonts w:hint="eastAsia"/>
          <w:b/>
          <w:sz w:val="32"/>
          <w:szCs w:val="32"/>
        </w:rPr>
        <w:t>第二次提示性</w:t>
      </w:r>
      <w:r w:rsidR="00B36866" w:rsidRPr="00F756F9">
        <w:rPr>
          <w:rFonts w:hint="eastAsia"/>
          <w:b/>
          <w:sz w:val="32"/>
          <w:szCs w:val="32"/>
        </w:rPr>
        <w:t>公告</w:t>
      </w:r>
      <w:r w:rsidR="002F1604">
        <w:rPr>
          <w:b/>
          <w:sz w:val="32"/>
          <w:szCs w:val="32"/>
        </w:rPr>
        <w:br/>
      </w:r>
    </w:p>
    <w:p w:rsidR="00D33331" w:rsidRDefault="006A0382" w:rsidP="00E809F5">
      <w:pPr>
        <w:autoSpaceDE w:val="0"/>
        <w:autoSpaceDN w:val="0"/>
        <w:adjustRightInd w:val="0"/>
        <w:spacing w:line="360" w:lineRule="auto"/>
        <w:ind w:firstLineChars="200" w:firstLine="480"/>
        <w:jc w:val="left"/>
        <w:rPr>
          <w:rFonts w:ascii="宋体" w:cs="宋体"/>
          <w:kern w:val="0"/>
          <w:sz w:val="24"/>
          <w:szCs w:val="24"/>
        </w:rPr>
      </w:pPr>
      <w:r w:rsidRPr="006A0382">
        <w:rPr>
          <w:rFonts w:ascii="宋体" w:cs="宋体" w:hint="eastAsia"/>
          <w:kern w:val="0"/>
          <w:sz w:val="24"/>
          <w:szCs w:val="24"/>
        </w:rPr>
        <w:t>上海东方证券资产管理有限公司已于2024年</w:t>
      </w:r>
      <w:r>
        <w:rPr>
          <w:rFonts w:ascii="宋体" w:cs="宋体"/>
          <w:kern w:val="0"/>
          <w:sz w:val="24"/>
          <w:szCs w:val="24"/>
        </w:rPr>
        <w:t>12</w:t>
      </w:r>
      <w:r w:rsidRPr="006A0382">
        <w:rPr>
          <w:rFonts w:ascii="宋体" w:cs="宋体" w:hint="eastAsia"/>
          <w:kern w:val="0"/>
          <w:sz w:val="24"/>
          <w:szCs w:val="24"/>
        </w:rPr>
        <w:t>月</w:t>
      </w:r>
      <w:r>
        <w:rPr>
          <w:rFonts w:ascii="宋体" w:cs="宋体"/>
          <w:kern w:val="0"/>
          <w:sz w:val="24"/>
          <w:szCs w:val="24"/>
        </w:rPr>
        <w:t>2</w:t>
      </w:r>
      <w:r w:rsidRPr="006A0382">
        <w:rPr>
          <w:rFonts w:ascii="宋体" w:cs="宋体" w:hint="eastAsia"/>
          <w:kern w:val="0"/>
          <w:sz w:val="24"/>
          <w:szCs w:val="24"/>
        </w:rPr>
        <w:t>0日和2024年</w:t>
      </w:r>
      <w:r>
        <w:rPr>
          <w:rFonts w:ascii="宋体" w:cs="宋体"/>
          <w:kern w:val="0"/>
          <w:sz w:val="24"/>
          <w:szCs w:val="24"/>
        </w:rPr>
        <w:t>12</w:t>
      </w:r>
      <w:r w:rsidRPr="006A0382">
        <w:rPr>
          <w:rFonts w:ascii="宋体" w:cs="宋体" w:hint="eastAsia"/>
          <w:kern w:val="0"/>
          <w:sz w:val="24"/>
          <w:szCs w:val="24"/>
        </w:rPr>
        <w:t>月</w:t>
      </w:r>
      <w:r>
        <w:rPr>
          <w:rFonts w:ascii="宋体" w:cs="宋体"/>
          <w:kern w:val="0"/>
          <w:sz w:val="24"/>
          <w:szCs w:val="24"/>
        </w:rPr>
        <w:t>23</w:t>
      </w:r>
      <w:r w:rsidRPr="006A0382">
        <w:rPr>
          <w:rFonts w:ascii="宋体" w:cs="宋体" w:hint="eastAsia"/>
          <w:kern w:val="0"/>
          <w:sz w:val="24"/>
          <w:szCs w:val="24"/>
        </w:rPr>
        <w:t>日分别发布了《关于召开东方红</w:t>
      </w:r>
      <w:r>
        <w:rPr>
          <w:rFonts w:ascii="宋体" w:cs="宋体" w:hint="eastAsia"/>
          <w:kern w:val="0"/>
          <w:sz w:val="24"/>
          <w:szCs w:val="24"/>
        </w:rPr>
        <w:t>恒</w:t>
      </w:r>
      <w:r w:rsidR="00C46997">
        <w:rPr>
          <w:rFonts w:ascii="宋体" w:cs="宋体" w:hint="eastAsia"/>
          <w:kern w:val="0"/>
          <w:sz w:val="24"/>
          <w:szCs w:val="24"/>
        </w:rPr>
        <w:t>阳</w:t>
      </w:r>
      <w:r>
        <w:rPr>
          <w:rFonts w:ascii="宋体" w:cs="宋体" w:hint="eastAsia"/>
          <w:kern w:val="0"/>
          <w:sz w:val="24"/>
          <w:szCs w:val="24"/>
        </w:rPr>
        <w:t>五</w:t>
      </w:r>
      <w:r w:rsidRPr="006A0382">
        <w:rPr>
          <w:rFonts w:ascii="宋体" w:cs="宋体" w:hint="eastAsia"/>
          <w:kern w:val="0"/>
          <w:sz w:val="24"/>
          <w:szCs w:val="24"/>
        </w:rPr>
        <w:t>年定期开放混合型证券投资基金基金份额持有人大会（通讯方式）的公告》和《关于召开东方红</w:t>
      </w:r>
      <w:r>
        <w:rPr>
          <w:rFonts w:ascii="宋体" w:cs="宋体" w:hint="eastAsia"/>
          <w:kern w:val="0"/>
          <w:sz w:val="24"/>
          <w:szCs w:val="24"/>
        </w:rPr>
        <w:t>恒</w:t>
      </w:r>
      <w:r w:rsidR="00C46997">
        <w:rPr>
          <w:rFonts w:ascii="宋体" w:cs="宋体" w:hint="eastAsia"/>
          <w:kern w:val="0"/>
          <w:sz w:val="24"/>
          <w:szCs w:val="24"/>
        </w:rPr>
        <w:t>阳</w:t>
      </w:r>
      <w:r>
        <w:rPr>
          <w:rFonts w:ascii="宋体" w:cs="宋体" w:hint="eastAsia"/>
          <w:kern w:val="0"/>
          <w:sz w:val="24"/>
          <w:szCs w:val="24"/>
        </w:rPr>
        <w:t>五</w:t>
      </w:r>
      <w:r w:rsidRPr="006A0382">
        <w:rPr>
          <w:rFonts w:ascii="宋体" w:cs="宋体" w:hint="eastAsia"/>
          <w:kern w:val="0"/>
          <w:sz w:val="24"/>
          <w:szCs w:val="24"/>
        </w:rPr>
        <w:t>年定期开放混合型证券投资基金基金份额持有人大会（通讯方式）的第一次提示性公告》。为了使本次基金份额持有人大会顺利召开，现发布《关于召开东方红</w:t>
      </w:r>
      <w:r>
        <w:rPr>
          <w:rFonts w:ascii="宋体" w:cs="宋体" w:hint="eastAsia"/>
          <w:kern w:val="0"/>
          <w:sz w:val="24"/>
          <w:szCs w:val="24"/>
        </w:rPr>
        <w:t>恒</w:t>
      </w:r>
      <w:r w:rsidR="00C46997">
        <w:rPr>
          <w:rFonts w:ascii="宋体" w:cs="宋体" w:hint="eastAsia"/>
          <w:kern w:val="0"/>
          <w:sz w:val="24"/>
          <w:szCs w:val="24"/>
        </w:rPr>
        <w:t>阳</w:t>
      </w:r>
      <w:r>
        <w:rPr>
          <w:rFonts w:ascii="宋体" w:cs="宋体" w:hint="eastAsia"/>
          <w:kern w:val="0"/>
          <w:sz w:val="24"/>
          <w:szCs w:val="24"/>
        </w:rPr>
        <w:t>五</w:t>
      </w:r>
      <w:r w:rsidRPr="006A0382">
        <w:rPr>
          <w:rFonts w:ascii="宋体" w:cs="宋体" w:hint="eastAsia"/>
          <w:kern w:val="0"/>
          <w:sz w:val="24"/>
          <w:szCs w:val="24"/>
        </w:rPr>
        <w:t>年定期开放混合型证券投资基金基金份额持有人大会（通讯方式）的第二次提示性公告》。</w:t>
      </w:r>
    </w:p>
    <w:p w:rsidR="006A0382" w:rsidRPr="004957A7" w:rsidRDefault="006A0382" w:rsidP="00D33331">
      <w:pPr>
        <w:autoSpaceDE w:val="0"/>
        <w:autoSpaceDN w:val="0"/>
        <w:adjustRightInd w:val="0"/>
        <w:spacing w:line="360" w:lineRule="auto"/>
        <w:jc w:val="left"/>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一、召开会议基本情况</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hint="eastAsia"/>
          <w:kern w:val="0"/>
          <w:sz w:val="24"/>
          <w:szCs w:val="24"/>
        </w:rPr>
        <w:t>根据《中华人民共和国证券投资基金法》</w:t>
      </w:r>
      <w:r w:rsidR="00B779FF" w:rsidRPr="00F756F9">
        <w:rPr>
          <w:rFonts w:ascii="宋体" w:cs="宋体" w:hint="eastAsia"/>
          <w:kern w:val="0"/>
          <w:sz w:val="24"/>
          <w:szCs w:val="24"/>
        </w:rPr>
        <w:t>（以下简称《基金法》）</w:t>
      </w:r>
      <w:r w:rsidRPr="0096329D">
        <w:rPr>
          <w:rFonts w:ascii="宋体" w:cs="宋体" w:hint="eastAsia"/>
          <w:kern w:val="0"/>
          <w:sz w:val="24"/>
          <w:szCs w:val="24"/>
        </w:rPr>
        <w:t>、《</w:t>
      </w:r>
      <w:r w:rsidR="00C204E4">
        <w:rPr>
          <w:rFonts w:ascii="宋体" w:cs="宋体" w:hint="eastAsia"/>
          <w:kern w:val="0"/>
          <w:sz w:val="24"/>
          <w:szCs w:val="24"/>
        </w:rPr>
        <w:t>公开募集</w:t>
      </w:r>
      <w:r w:rsidRPr="0096329D">
        <w:rPr>
          <w:rFonts w:ascii="宋体" w:cs="宋体" w:hint="eastAsia"/>
          <w:kern w:val="0"/>
          <w:sz w:val="24"/>
          <w:szCs w:val="24"/>
        </w:rPr>
        <w:t>证券投资基金运作管理办法》</w:t>
      </w:r>
      <w:r w:rsidR="008F72D2">
        <w:rPr>
          <w:rFonts w:hint="eastAsia"/>
          <w:sz w:val="24"/>
          <w:szCs w:val="24"/>
        </w:rPr>
        <w:t>和</w:t>
      </w:r>
      <w:r w:rsidR="00DD4229" w:rsidRPr="0096329D">
        <w:rPr>
          <w:rFonts w:ascii="宋体" w:cs="宋体" w:hint="eastAsia"/>
          <w:kern w:val="0"/>
          <w:sz w:val="24"/>
          <w:szCs w:val="24"/>
        </w:rPr>
        <w:t>《</w:t>
      </w:r>
      <w:r w:rsidR="00AC25BC">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C25BC">
        <w:rPr>
          <w:rFonts w:ascii="宋体" w:cs="宋体" w:hint="eastAsia"/>
          <w:kern w:val="0"/>
          <w:sz w:val="24"/>
          <w:szCs w:val="24"/>
        </w:rPr>
        <w:t>年定期开放混合型证券投资基金</w:t>
      </w:r>
      <w:r w:rsidR="00DD4229" w:rsidRPr="008565B8">
        <w:rPr>
          <w:rFonts w:ascii="宋体" w:cs="宋体" w:hint="eastAsia"/>
          <w:kern w:val="0"/>
          <w:sz w:val="24"/>
          <w:szCs w:val="24"/>
        </w:rPr>
        <w:t>基金合同》</w:t>
      </w:r>
      <w:r w:rsidR="00B779FF" w:rsidRPr="00F756F9">
        <w:rPr>
          <w:rFonts w:ascii="宋体" w:cs="宋体" w:hint="eastAsia"/>
          <w:kern w:val="0"/>
          <w:sz w:val="24"/>
          <w:szCs w:val="24"/>
        </w:rPr>
        <w:t>（以下简称《基金合同》）</w:t>
      </w:r>
      <w:r w:rsidRPr="00F756F9">
        <w:rPr>
          <w:rFonts w:ascii="宋体" w:cs="宋体" w:hint="eastAsia"/>
          <w:kern w:val="0"/>
          <w:sz w:val="24"/>
          <w:szCs w:val="24"/>
        </w:rPr>
        <w:t>的有关规定，</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Pr="00F756F9">
        <w:rPr>
          <w:rFonts w:ascii="宋体" w:cs="宋体" w:hint="eastAsia"/>
          <w:kern w:val="0"/>
          <w:sz w:val="24"/>
          <w:szCs w:val="24"/>
        </w:rPr>
        <w:t>（以下简称</w:t>
      </w:r>
      <w:r w:rsidR="00FD3AB0" w:rsidRPr="00F756F9">
        <w:rPr>
          <w:rFonts w:ascii="宋体" w:cs="宋体" w:hint="eastAsia"/>
          <w:kern w:val="0"/>
          <w:sz w:val="24"/>
          <w:szCs w:val="24"/>
        </w:rPr>
        <w:t>本基金）的基金管理人</w:t>
      </w:r>
      <w:r w:rsidR="006D43F5">
        <w:rPr>
          <w:rFonts w:ascii="宋体" w:cs="宋体" w:hint="eastAsia"/>
          <w:kern w:val="0"/>
          <w:sz w:val="24"/>
          <w:szCs w:val="24"/>
        </w:rPr>
        <w:t>上海东方证券资产管理</w:t>
      </w:r>
      <w:r w:rsidRPr="00F756F9">
        <w:rPr>
          <w:rFonts w:ascii="宋体" w:cs="宋体" w:hint="eastAsia"/>
          <w:kern w:val="0"/>
          <w:sz w:val="24"/>
          <w:szCs w:val="24"/>
        </w:rPr>
        <w:t>有限公司（以下简称基金管理人）决定</w:t>
      </w:r>
      <w:r w:rsidR="00BB6199">
        <w:rPr>
          <w:rFonts w:ascii="宋体" w:cs="宋体" w:hint="eastAsia"/>
          <w:kern w:val="0"/>
          <w:sz w:val="24"/>
          <w:szCs w:val="24"/>
        </w:rPr>
        <w:t>以通讯方式</w:t>
      </w:r>
      <w:r w:rsidRPr="00F756F9">
        <w:rPr>
          <w:rFonts w:ascii="宋体" w:cs="宋体" w:hint="eastAsia"/>
          <w:kern w:val="0"/>
          <w:sz w:val="24"/>
          <w:szCs w:val="24"/>
        </w:rPr>
        <w:t>召开本基金的基金份额持有人大会，会议的具体安排如下：</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、会议召开方式：通讯方</w:t>
      </w:r>
      <w:r w:rsidRPr="008275AD">
        <w:rPr>
          <w:rFonts w:ascii="宋体" w:cs="宋体" w:hint="eastAsia"/>
          <w:kern w:val="0"/>
          <w:sz w:val="24"/>
          <w:szCs w:val="24"/>
        </w:rPr>
        <w:t>式。</w:t>
      </w:r>
    </w:p>
    <w:p w:rsidR="00D33331" w:rsidRPr="005E70BA" w:rsidRDefault="00D33331" w:rsidP="00340485">
      <w:pPr>
        <w:autoSpaceDE w:val="0"/>
        <w:autoSpaceDN w:val="0"/>
        <w:adjustRightInd w:val="0"/>
        <w:spacing w:line="360" w:lineRule="auto"/>
        <w:ind w:firstLineChars="200" w:firstLine="480"/>
        <w:rPr>
          <w:rFonts w:ascii="宋体" w:cs="宋体"/>
          <w:kern w:val="0"/>
          <w:sz w:val="24"/>
          <w:szCs w:val="24"/>
          <w:shd w:val="pct15" w:color="auto" w:fill="FFFFFF"/>
        </w:rPr>
      </w:pPr>
      <w:r w:rsidRPr="00F756F9">
        <w:rPr>
          <w:rFonts w:ascii="宋体" w:cs="宋体"/>
          <w:kern w:val="0"/>
          <w:sz w:val="24"/>
          <w:szCs w:val="24"/>
        </w:rPr>
        <w:t>2</w:t>
      </w:r>
      <w:r w:rsidRPr="00F756F9">
        <w:rPr>
          <w:rFonts w:ascii="宋体" w:cs="宋体" w:hint="eastAsia"/>
          <w:kern w:val="0"/>
          <w:sz w:val="24"/>
          <w:szCs w:val="24"/>
        </w:rPr>
        <w:t>、会议投票表决</w:t>
      </w:r>
      <w:r w:rsidR="00E16E1B">
        <w:rPr>
          <w:rFonts w:ascii="宋体" w:cs="宋体" w:hint="eastAsia"/>
          <w:kern w:val="0"/>
          <w:sz w:val="24"/>
          <w:szCs w:val="24"/>
        </w:rPr>
        <w:t>起</w:t>
      </w:r>
      <w:r w:rsidR="001A1C39" w:rsidRPr="009C0666">
        <w:rPr>
          <w:rFonts w:ascii="宋体" w:cs="宋体" w:hint="eastAsia"/>
          <w:kern w:val="0"/>
          <w:sz w:val="24"/>
          <w:szCs w:val="24"/>
        </w:rPr>
        <w:t>止</w:t>
      </w:r>
      <w:r w:rsidRPr="00F756F9">
        <w:rPr>
          <w:rFonts w:ascii="宋体" w:cs="宋体" w:hint="eastAsia"/>
          <w:kern w:val="0"/>
          <w:sz w:val="24"/>
          <w:szCs w:val="24"/>
        </w:rPr>
        <w:t>时间：</w:t>
      </w:r>
      <w:r w:rsidR="006D43F5">
        <w:rPr>
          <w:rFonts w:ascii="宋体" w:cs="宋体" w:hint="eastAsia"/>
          <w:kern w:val="0"/>
          <w:sz w:val="24"/>
          <w:szCs w:val="24"/>
        </w:rPr>
        <w:t>自</w:t>
      </w:r>
      <w:r w:rsidR="00B45D27">
        <w:rPr>
          <w:rFonts w:ascii="宋体" w:cs="宋体" w:hint="eastAsia"/>
          <w:kern w:val="0"/>
          <w:sz w:val="24"/>
          <w:szCs w:val="24"/>
        </w:rPr>
        <w:t>202</w:t>
      </w:r>
      <w:r w:rsidR="00B45D27">
        <w:rPr>
          <w:rFonts w:ascii="宋体" w:cs="宋体"/>
          <w:kern w:val="0"/>
          <w:sz w:val="24"/>
          <w:szCs w:val="24"/>
        </w:rPr>
        <w:t>4</w:t>
      </w:r>
      <w:r w:rsidR="00957D16" w:rsidRPr="001C1B0A">
        <w:rPr>
          <w:rFonts w:ascii="宋体" w:cs="宋体" w:hint="eastAsia"/>
          <w:kern w:val="0"/>
          <w:sz w:val="24"/>
          <w:szCs w:val="24"/>
        </w:rPr>
        <w:t>年</w:t>
      </w:r>
      <w:r w:rsidR="00B45D27">
        <w:rPr>
          <w:rFonts w:ascii="宋体" w:cs="宋体"/>
          <w:kern w:val="0"/>
          <w:sz w:val="24"/>
          <w:szCs w:val="24"/>
        </w:rPr>
        <w:t>12</w:t>
      </w:r>
      <w:r w:rsidR="00957D16" w:rsidRPr="001C1B0A">
        <w:rPr>
          <w:rFonts w:ascii="宋体" w:cs="宋体" w:hint="eastAsia"/>
          <w:kern w:val="0"/>
          <w:sz w:val="24"/>
          <w:szCs w:val="24"/>
        </w:rPr>
        <w:t>月</w:t>
      </w:r>
      <w:r w:rsidR="00B45D27">
        <w:rPr>
          <w:rFonts w:ascii="宋体" w:cs="宋体"/>
          <w:kern w:val="0"/>
          <w:sz w:val="24"/>
          <w:szCs w:val="24"/>
        </w:rPr>
        <w:t>23</w:t>
      </w:r>
      <w:r w:rsidR="006D43F5" w:rsidRPr="001C1B0A">
        <w:rPr>
          <w:rFonts w:ascii="宋体" w:cs="宋体" w:hint="eastAsia"/>
          <w:kern w:val="0"/>
          <w:sz w:val="24"/>
          <w:szCs w:val="24"/>
        </w:rPr>
        <w:t>日起，至</w:t>
      </w:r>
      <w:r w:rsidR="00B45D27">
        <w:rPr>
          <w:rFonts w:ascii="宋体" w:cs="宋体" w:hint="eastAsia"/>
          <w:kern w:val="0"/>
          <w:sz w:val="24"/>
          <w:szCs w:val="24"/>
        </w:rPr>
        <w:t>202</w:t>
      </w:r>
      <w:r w:rsidR="00B45D27">
        <w:rPr>
          <w:rFonts w:ascii="宋体" w:cs="宋体"/>
          <w:kern w:val="0"/>
          <w:sz w:val="24"/>
          <w:szCs w:val="24"/>
        </w:rPr>
        <w:t>5</w:t>
      </w:r>
      <w:r w:rsidR="004957A7" w:rsidRPr="001C1B0A">
        <w:rPr>
          <w:rFonts w:ascii="宋体" w:cs="宋体" w:hint="eastAsia"/>
          <w:kern w:val="0"/>
          <w:sz w:val="24"/>
          <w:szCs w:val="24"/>
        </w:rPr>
        <w:t>年</w:t>
      </w:r>
      <w:r w:rsidR="00B45D27">
        <w:rPr>
          <w:rFonts w:ascii="宋体" w:cs="宋体"/>
          <w:kern w:val="0"/>
          <w:sz w:val="24"/>
          <w:szCs w:val="24"/>
        </w:rPr>
        <w:t>3</w:t>
      </w:r>
      <w:r w:rsidRPr="001C1B0A">
        <w:rPr>
          <w:rFonts w:ascii="宋体" w:cs="宋体" w:hint="eastAsia"/>
          <w:kern w:val="0"/>
          <w:sz w:val="24"/>
          <w:szCs w:val="24"/>
        </w:rPr>
        <w:t>月</w:t>
      </w:r>
      <w:r w:rsidR="00B45D27">
        <w:rPr>
          <w:rFonts w:ascii="宋体" w:cs="宋体"/>
          <w:kern w:val="0"/>
          <w:sz w:val="24"/>
          <w:szCs w:val="24"/>
        </w:rPr>
        <w:t>5</w:t>
      </w:r>
      <w:r w:rsidRPr="001C1B0A">
        <w:rPr>
          <w:rFonts w:ascii="宋体" w:cs="宋体" w:hint="eastAsia"/>
          <w:kern w:val="0"/>
          <w:sz w:val="24"/>
          <w:szCs w:val="24"/>
        </w:rPr>
        <w:t>日</w:t>
      </w:r>
      <w:r w:rsidR="003A4734" w:rsidRPr="001C1B0A">
        <w:rPr>
          <w:rFonts w:ascii="宋体" w:cs="宋体" w:hint="eastAsia"/>
          <w:kern w:val="0"/>
          <w:sz w:val="24"/>
          <w:szCs w:val="24"/>
        </w:rPr>
        <w:t>17:00</w:t>
      </w:r>
      <w:r w:rsidRPr="00C76CF5">
        <w:rPr>
          <w:rFonts w:ascii="宋体" w:cs="宋体" w:hint="eastAsia"/>
          <w:kern w:val="0"/>
          <w:sz w:val="24"/>
          <w:szCs w:val="24"/>
        </w:rPr>
        <w:t>止</w:t>
      </w:r>
      <w:r w:rsidRPr="0096329D">
        <w:rPr>
          <w:rFonts w:ascii="宋体" w:cs="宋体" w:hint="eastAsia"/>
          <w:kern w:val="0"/>
          <w:sz w:val="24"/>
          <w:szCs w:val="24"/>
        </w:rPr>
        <w:t>（</w:t>
      </w:r>
      <w:r w:rsidR="00C638FE" w:rsidRPr="00C638FE">
        <w:rPr>
          <w:rFonts w:ascii="宋体" w:cs="宋体" w:hint="eastAsia"/>
          <w:kern w:val="0"/>
          <w:sz w:val="24"/>
          <w:szCs w:val="24"/>
        </w:rPr>
        <w:t>投票表决时间</w:t>
      </w:r>
      <w:r w:rsidRPr="0096329D">
        <w:rPr>
          <w:rFonts w:ascii="宋体" w:cs="宋体" w:hint="eastAsia"/>
          <w:kern w:val="0"/>
          <w:sz w:val="24"/>
          <w:szCs w:val="24"/>
        </w:rPr>
        <w:t>以</w:t>
      </w:r>
      <w:r w:rsidR="00E05A55" w:rsidRPr="0096329D">
        <w:rPr>
          <w:rFonts w:ascii="宋体" w:cs="宋体" w:hint="eastAsia"/>
          <w:kern w:val="0"/>
          <w:sz w:val="24"/>
          <w:szCs w:val="24"/>
        </w:rPr>
        <w:t>本公告列明的</w:t>
      </w:r>
      <w:r w:rsidR="0018657A">
        <w:rPr>
          <w:rFonts w:ascii="宋体" w:cs="宋体" w:hint="eastAsia"/>
          <w:kern w:val="0"/>
          <w:sz w:val="24"/>
          <w:szCs w:val="24"/>
        </w:rPr>
        <w:t>纸</w:t>
      </w:r>
      <w:r w:rsidR="00514A0E">
        <w:rPr>
          <w:rFonts w:ascii="宋体" w:cs="宋体" w:hint="eastAsia"/>
          <w:kern w:val="0"/>
          <w:sz w:val="24"/>
          <w:szCs w:val="24"/>
        </w:rPr>
        <w:t>质</w:t>
      </w:r>
      <w:r w:rsidR="00EE13EC">
        <w:rPr>
          <w:rFonts w:ascii="宋体" w:cs="宋体" w:hint="eastAsia"/>
          <w:kern w:val="0"/>
          <w:sz w:val="24"/>
          <w:szCs w:val="24"/>
        </w:rPr>
        <w:t>表决票的寄达地点</w:t>
      </w:r>
      <w:r w:rsidRPr="0096329D">
        <w:rPr>
          <w:rFonts w:ascii="宋体" w:cs="宋体" w:hint="eastAsia"/>
          <w:kern w:val="0"/>
          <w:sz w:val="24"/>
          <w:szCs w:val="24"/>
        </w:rPr>
        <w:t>收到表决票</w:t>
      </w:r>
      <w:r w:rsidR="00CD7E36">
        <w:rPr>
          <w:rFonts w:ascii="宋体" w:cs="宋体" w:hint="eastAsia"/>
          <w:kern w:val="0"/>
          <w:sz w:val="24"/>
          <w:szCs w:val="24"/>
        </w:rPr>
        <w:t>时间</w:t>
      </w:r>
      <w:r w:rsidRPr="00C33996">
        <w:rPr>
          <w:rFonts w:ascii="宋体" w:cs="宋体" w:hint="eastAsia"/>
          <w:kern w:val="0"/>
          <w:sz w:val="24"/>
          <w:szCs w:val="24"/>
        </w:rPr>
        <w:t>为准</w:t>
      </w:r>
      <w:r w:rsidRPr="0096329D">
        <w:rPr>
          <w:rFonts w:ascii="宋体" w:cs="宋体" w:hint="eastAsia"/>
          <w:kern w:val="0"/>
          <w:sz w:val="24"/>
          <w:szCs w:val="24"/>
        </w:rPr>
        <w:t>）。</w:t>
      </w:r>
      <w:r w:rsidR="00291601" w:rsidRPr="00291601">
        <w:rPr>
          <w:rFonts w:ascii="宋体" w:cs="宋体" w:hint="eastAsia"/>
          <w:kern w:val="0"/>
          <w:sz w:val="24"/>
          <w:szCs w:val="24"/>
        </w:rPr>
        <w:t>基金管理人有权根据实际情况延迟投票表决截止</w:t>
      </w:r>
      <w:r w:rsidR="00291601">
        <w:rPr>
          <w:rFonts w:ascii="宋体" w:cs="宋体" w:hint="eastAsia"/>
          <w:kern w:val="0"/>
          <w:sz w:val="24"/>
          <w:szCs w:val="24"/>
        </w:rPr>
        <w:t>时间</w:t>
      </w:r>
      <w:r w:rsidR="00291601" w:rsidRPr="00291601">
        <w:rPr>
          <w:rFonts w:ascii="宋体" w:cs="宋体" w:hint="eastAsia"/>
          <w:kern w:val="0"/>
          <w:sz w:val="24"/>
          <w:szCs w:val="24"/>
        </w:rPr>
        <w:t>，届时请基金份额持有人关注相关公告。</w:t>
      </w:r>
    </w:p>
    <w:p w:rsidR="00CD7E36" w:rsidRPr="00CD7E36" w:rsidRDefault="00CD7E36"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二、会议审议事项</w:t>
      </w:r>
    </w:p>
    <w:p w:rsidR="00D33331" w:rsidRPr="00F756F9" w:rsidRDefault="003666BF" w:rsidP="00340485">
      <w:pPr>
        <w:autoSpaceDE w:val="0"/>
        <w:autoSpaceDN w:val="0"/>
        <w:adjustRightInd w:val="0"/>
        <w:spacing w:line="360" w:lineRule="auto"/>
        <w:ind w:firstLineChars="200" w:firstLine="480"/>
        <w:rPr>
          <w:rFonts w:ascii="宋体" w:cs="宋体"/>
          <w:kern w:val="0"/>
          <w:sz w:val="24"/>
          <w:szCs w:val="24"/>
        </w:rPr>
      </w:pPr>
      <w:r w:rsidRPr="00D64FC0">
        <w:rPr>
          <w:rFonts w:ascii="宋体" w:hAnsi="宋体" w:hint="eastAsia"/>
          <w:sz w:val="24"/>
          <w:szCs w:val="24"/>
        </w:rPr>
        <w:t>《关于</w:t>
      </w:r>
      <w:r w:rsidR="00A42367">
        <w:rPr>
          <w:rFonts w:ascii="宋体" w:hAnsi="宋体" w:hint="eastAsia"/>
          <w:sz w:val="24"/>
          <w:szCs w:val="24"/>
        </w:rPr>
        <w:t>东方红</w:t>
      </w:r>
      <w:r w:rsidR="00597A80">
        <w:rPr>
          <w:rFonts w:ascii="宋体" w:hAnsi="宋体" w:hint="eastAsia"/>
          <w:sz w:val="24"/>
          <w:szCs w:val="24"/>
        </w:rPr>
        <w:t>恒阳</w:t>
      </w:r>
      <w:r w:rsidR="00ED4487">
        <w:rPr>
          <w:rFonts w:ascii="宋体" w:hAnsi="宋体" w:hint="eastAsia"/>
          <w:sz w:val="24"/>
          <w:szCs w:val="24"/>
        </w:rPr>
        <w:t>五</w:t>
      </w:r>
      <w:r w:rsidR="00A42367">
        <w:rPr>
          <w:rFonts w:ascii="宋体" w:hAnsi="宋体" w:hint="eastAsia"/>
          <w:sz w:val="24"/>
          <w:szCs w:val="24"/>
        </w:rPr>
        <w:t>年定期开放混合型证券投资基金</w:t>
      </w:r>
      <w:r w:rsidR="00F67514" w:rsidRPr="00F67514">
        <w:rPr>
          <w:rFonts w:ascii="宋体" w:cs="宋体" w:hint="eastAsia"/>
          <w:kern w:val="0"/>
          <w:sz w:val="24"/>
          <w:szCs w:val="24"/>
        </w:rPr>
        <w:t>转型及修改基金合同有关事项的议案</w:t>
      </w:r>
      <w:r>
        <w:rPr>
          <w:rFonts w:ascii="宋体" w:cs="宋体" w:hint="eastAsia"/>
          <w:kern w:val="0"/>
          <w:sz w:val="24"/>
          <w:szCs w:val="24"/>
        </w:rPr>
        <w:t>》</w:t>
      </w:r>
      <w:r>
        <w:rPr>
          <w:rFonts w:ascii="宋体" w:hAnsi="宋体" w:hint="eastAsia"/>
          <w:sz w:val="24"/>
          <w:szCs w:val="24"/>
        </w:rPr>
        <w:t>（见附件一）</w:t>
      </w:r>
      <w:r w:rsidR="00D33331" w:rsidRPr="00F756F9">
        <w:rPr>
          <w:rFonts w:ascii="宋体" w:cs="宋体" w:hint="eastAsia"/>
          <w:kern w:val="0"/>
          <w:sz w:val="24"/>
          <w:szCs w:val="24"/>
        </w:rPr>
        <w:t>。</w:t>
      </w:r>
    </w:p>
    <w:p w:rsidR="00A7572C" w:rsidRPr="00F756F9" w:rsidRDefault="00A7572C"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三、基金份额持有人的权益登记日</w:t>
      </w:r>
    </w:p>
    <w:p w:rsidR="00D33331"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hint="eastAsia"/>
          <w:kern w:val="0"/>
          <w:sz w:val="24"/>
          <w:szCs w:val="24"/>
        </w:rPr>
        <w:lastRenderedPageBreak/>
        <w:t>本次大会的权益登记日为</w:t>
      </w:r>
      <w:r w:rsidR="00032A1A">
        <w:rPr>
          <w:rFonts w:ascii="宋体" w:cs="宋体" w:hint="eastAsia"/>
          <w:kern w:val="0"/>
          <w:sz w:val="24"/>
          <w:szCs w:val="24"/>
        </w:rPr>
        <w:t>202</w:t>
      </w:r>
      <w:r w:rsidR="00032A1A">
        <w:rPr>
          <w:rFonts w:ascii="宋体" w:cs="宋体"/>
          <w:kern w:val="0"/>
          <w:sz w:val="24"/>
          <w:szCs w:val="24"/>
        </w:rPr>
        <w:t>4</w:t>
      </w:r>
      <w:r w:rsidR="00590ED8" w:rsidRPr="00C878C3">
        <w:rPr>
          <w:rFonts w:ascii="宋体" w:cs="宋体" w:hint="eastAsia"/>
          <w:kern w:val="0"/>
          <w:sz w:val="24"/>
          <w:szCs w:val="24"/>
        </w:rPr>
        <w:t>年</w:t>
      </w:r>
      <w:r w:rsidR="00032A1A">
        <w:rPr>
          <w:rFonts w:ascii="宋体" w:cs="宋体"/>
          <w:kern w:val="0"/>
          <w:sz w:val="24"/>
          <w:szCs w:val="24"/>
        </w:rPr>
        <w:t>12</w:t>
      </w:r>
      <w:r w:rsidRPr="00C878C3">
        <w:rPr>
          <w:rFonts w:ascii="宋体" w:cs="宋体" w:hint="eastAsia"/>
          <w:kern w:val="0"/>
          <w:sz w:val="24"/>
          <w:szCs w:val="24"/>
        </w:rPr>
        <w:t>月</w:t>
      </w:r>
      <w:r w:rsidR="00032A1A">
        <w:rPr>
          <w:rFonts w:ascii="宋体" w:cs="宋体"/>
          <w:kern w:val="0"/>
          <w:sz w:val="24"/>
          <w:szCs w:val="24"/>
        </w:rPr>
        <w:t>20</w:t>
      </w:r>
      <w:r w:rsidRPr="00C878C3">
        <w:rPr>
          <w:rFonts w:ascii="宋体" w:cs="宋体" w:hint="eastAsia"/>
          <w:kern w:val="0"/>
          <w:sz w:val="24"/>
          <w:szCs w:val="24"/>
        </w:rPr>
        <w:t>日，即</w:t>
      </w:r>
      <w:r w:rsidRPr="0096329D">
        <w:rPr>
          <w:rFonts w:ascii="宋体" w:cs="宋体" w:hint="eastAsia"/>
          <w:kern w:val="0"/>
          <w:sz w:val="24"/>
          <w:szCs w:val="24"/>
        </w:rPr>
        <w:t>该日下午交易时间结束后，</w:t>
      </w:r>
      <w:r w:rsidR="00E16E1B">
        <w:rPr>
          <w:rFonts w:ascii="宋体" w:cs="宋体" w:hint="eastAsia"/>
          <w:kern w:val="0"/>
          <w:sz w:val="24"/>
          <w:szCs w:val="24"/>
        </w:rPr>
        <w:t>该日</w:t>
      </w:r>
      <w:r w:rsidRPr="0096329D">
        <w:rPr>
          <w:rFonts w:ascii="宋体" w:cs="宋体" w:hint="eastAsia"/>
          <w:kern w:val="0"/>
          <w:sz w:val="24"/>
          <w:szCs w:val="24"/>
        </w:rPr>
        <w:t>在本基金登记机构登记在册的</w:t>
      </w:r>
      <w:r w:rsidR="00185143" w:rsidRPr="008565B8">
        <w:rPr>
          <w:rFonts w:ascii="宋体" w:cs="宋体" w:hint="eastAsia"/>
          <w:kern w:val="0"/>
          <w:sz w:val="24"/>
          <w:szCs w:val="24"/>
        </w:rPr>
        <w:t>本基金全体基金份额持有人均有权参与</w:t>
      </w:r>
      <w:r w:rsidRPr="008565B8">
        <w:rPr>
          <w:rFonts w:ascii="宋体" w:cs="宋体" w:hint="eastAsia"/>
          <w:kern w:val="0"/>
          <w:sz w:val="24"/>
          <w:szCs w:val="24"/>
        </w:rPr>
        <w:t>本次基金份额持有人大会</w:t>
      </w:r>
      <w:r w:rsidR="00185143" w:rsidRPr="00F756F9">
        <w:rPr>
          <w:rFonts w:ascii="宋体" w:cs="宋体" w:hint="eastAsia"/>
          <w:kern w:val="0"/>
          <w:sz w:val="24"/>
          <w:szCs w:val="24"/>
        </w:rPr>
        <w:t>的表决</w:t>
      </w:r>
      <w:r w:rsidRPr="00F756F9">
        <w:rPr>
          <w:rFonts w:ascii="宋体" w:cs="宋体" w:hint="eastAsia"/>
          <w:kern w:val="0"/>
          <w:sz w:val="24"/>
          <w:szCs w:val="24"/>
        </w:rPr>
        <w:t>。</w:t>
      </w:r>
    </w:p>
    <w:p w:rsidR="00B37657" w:rsidRPr="00F756F9" w:rsidRDefault="00B37657"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四、</w:t>
      </w:r>
      <w:r w:rsidR="003666BF">
        <w:rPr>
          <w:rFonts w:ascii="宋体" w:cs="宋体" w:hint="eastAsia"/>
          <w:b/>
          <w:kern w:val="0"/>
          <w:sz w:val="28"/>
          <w:szCs w:val="28"/>
        </w:rPr>
        <w:t>投票</w:t>
      </w:r>
    </w:p>
    <w:p w:rsidR="00A77A7B" w:rsidRDefault="00A77A7B"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（一）纸</w:t>
      </w:r>
      <w:r w:rsidR="00514A0E">
        <w:rPr>
          <w:rFonts w:ascii="宋体" w:cs="宋体" w:hint="eastAsia"/>
          <w:kern w:val="0"/>
          <w:sz w:val="24"/>
          <w:szCs w:val="24"/>
        </w:rPr>
        <w:t>质</w:t>
      </w:r>
      <w:r w:rsidRPr="003D42AC">
        <w:rPr>
          <w:rFonts w:ascii="宋体" w:cs="宋体" w:hint="eastAsia"/>
          <w:kern w:val="0"/>
          <w:sz w:val="24"/>
          <w:szCs w:val="24"/>
        </w:rPr>
        <w:t>表决票</w:t>
      </w:r>
    </w:p>
    <w:p w:rsidR="00D33331" w:rsidRPr="0096329D" w:rsidRDefault="00D33331" w:rsidP="00384097">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00F0446B" w:rsidRPr="00F756F9">
        <w:rPr>
          <w:rFonts w:ascii="宋体" w:cs="宋体" w:hint="eastAsia"/>
          <w:kern w:val="0"/>
          <w:sz w:val="24"/>
          <w:szCs w:val="24"/>
        </w:rPr>
        <w:t>、本次会议表决</w:t>
      </w:r>
      <w:r w:rsidR="00F0446B" w:rsidRPr="00A31EDE">
        <w:rPr>
          <w:rFonts w:ascii="宋体" w:cs="宋体" w:hint="eastAsia"/>
          <w:kern w:val="0"/>
          <w:sz w:val="24"/>
          <w:szCs w:val="24"/>
        </w:rPr>
        <w:t>票详见附件四</w:t>
      </w:r>
      <w:r w:rsidRPr="00A31EDE">
        <w:rPr>
          <w:rFonts w:ascii="宋体" w:cs="宋体" w:hint="eastAsia"/>
          <w:kern w:val="0"/>
          <w:sz w:val="24"/>
          <w:szCs w:val="24"/>
        </w:rPr>
        <w:t>。</w:t>
      </w:r>
      <w:r w:rsidRPr="00F756F9">
        <w:rPr>
          <w:rFonts w:ascii="宋体" w:cs="宋体" w:hint="eastAsia"/>
          <w:kern w:val="0"/>
          <w:sz w:val="24"/>
          <w:szCs w:val="24"/>
        </w:rPr>
        <w:t>基金份额持有人可</w:t>
      </w:r>
      <w:r w:rsidR="000F7F0D">
        <w:rPr>
          <w:rFonts w:ascii="宋体" w:cs="宋体" w:hint="eastAsia"/>
          <w:kern w:val="0"/>
          <w:sz w:val="24"/>
          <w:szCs w:val="24"/>
        </w:rPr>
        <w:t>通过</w:t>
      </w:r>
      <w:r w:rsidRPr="00F756F9">
        <w:rPr>
          <w:rFonts w:ascii="宋体" w:cs="宋体" w:hint="eastAsia"/>
          <w:kern w:val="0"/>
          <w:sz w:val="24"/>
          <w:szCs w:val="24"/>
        </w:rPr>
        <w:t>本基金管理人网站</w:t>
      </w:r>
      <w:r w:rsidRPr="0096329D">
        <w:rPr>
          <w:rFonts w:ascii="宋体" w:cs="宋体" w:hint="eastAsia"/>
          <w:kern w:val="0"/>
          <w:sz w:val="24"/>
          <w:szCs w:val="24"/>
        </w:rPr>
        <w:t>（</w:t>
      </w:r>
      <w:r w:rsidR="000E0AC6" w:rsidRPr="0096329D">
        <w:rPr>
          <w:rFonts w:ascii="宋体" w:cs="宋体" w:hint="eastAsia"/>
          <w:kern w:val="0"/>
          <w:sz w:val="24"/>
          <w:szCs w:val="24"/>
        </w:rPr>
        <w:t>www.</w:t>
      </w:r>
      <w:r w:rsidR="00B37657">
        <w:rPr>
          <w:rFonts w:ascii="宋体" w:cs="宋体" w:hint="eastAsia"/>
          <w:kern w:val="0"/>
          <w:sz w:val="24"/>
          <w:szCs w:val="24"/>
        </w:rPr>
        <w:t>dfham</w:t>
      </w:r>
      <w:r w:rsidR="000E0AC6" w:rsidRPr="0096329D">
        <w:rPr>
          <w:rFonts w:ascii="宋体" w:cs="宋体" w:hint="eastAsia"/>
          <w:kern w:val="0"/>
          <w:sz w:val="24"/>
          <w:szCs w:val="24"/>
        </w:rPr>
        <w:t>.com</w:t>
      </w:r>
      <w:r w:rsidRPr="0096329D">
        <w:rPr>
          <w:rFonts w:ascii="宋体" w:cs="宋体" w:hint="eastAsia"/>
          <w:kern w:val="0"/>
          <w:sz w:val="24"/>
          <w:szCs w:val="24"/>
        </w:rPr>
        <w:t>）</w:t>
      </w:r>
      <w:r w:rsidR="00B8066A" w:rsidRPr="00B8066A">
        <w:rPr>
          <w:rFonts w:ascii="宋体" w:cs="宋体" w:hint="eastAsia"/>
          <w:kern w:val="0"/>
          <w:sz w:val="24"/>
          <w:szCs w:val="24"/>
        </w:rPr>
        <w:t>及中国证监会基金电子披露网站（http://eid.csrc.gov.cn/fund）</w:t>
      </w:r>
      <w:r w:rsidR="000F7F0D" w:rsidRPr="0096329D">
        <w:rPr>
          <w:rFonts w:ascii="宋体" w:cs="宋体" w:hint="eastAsia"/>
          <w:kern w:val="0"/>
          <w:sz w:val="24"/>
          <w:szCs w:val="24"/>
        </w:rPr>
        <w:t>下载</w:t>
      </w:r>
      <w:r w:rsidRPr="0096329D">
        <w:rPr>
          <w:rFonts w:ascii="宋体" w:cs="宋体" w:hint="eastAsia"/>
          <w:kern w:val="0"/>
          <w:sz w:val="24"/>
          <w:szCs w:val="24"/>
        </w:rPr>
        <w:t>并打印</w:t>
      </w:r>
      <w:r w:rsidR="00C638FE" w:rsidRPr="007C7C36">
        <w:rPr>
          <w:rFonts w:ascii="宋体" w:cs="宋体" w:hint="eastAsia"/>
          <w:kern w:val="0"/>
          <w:sz w:val="24"/>
          <w:szCs w:val="24"/>
        </w:rPr>
        <w:t>等</w:t>
      </w:r>
      <w:r w:rsidR="00C638FE">
        <w:rPr>
          <w:rFonts w:ascii="宋体" w:cs="宋体" w:hint="eastAsia"/>
          <w:kern w:val="0"/>
          <w:sz w:val="24"/>
          <w:szCs w:val="24"/>
        </w:rPr>
        <w:t>方式</w:t>
      </w:r>
      <w:r w:rsidR="00EB3CB5">
        <w:rPr>
          <w:rFonts w:ascii="宋体" w:cs="宋体" w:hint="eastAsia"/>
          <w:kern w:val="0"/>
          <w:sz w:val="24"/>
          <w:szCs w:val="24"/>
        </w:rPr>
        <w:t>获取纸质</w:t>
      </w:r>
      <w:r w:rsidRPr="0096329D">
        <w:rPr>
          <w:rFonts w:ascii="宋体" w:cs="宋体" w:hint="eastAsia"/>
          <w:kern w:val="0"/>
          <w:sz w:val="24"/>
          <w:szCs w:val="24"/>
        </w:rPr>
        <w:t>表决票。</w:t>
      </w:r>
    </w:p>
    <w:p w:rsidR="00D33331" w:rsidRPr="008565B8" w:rsidRDefault="00D33331" w:rsidP="00340485">
      <w:pPr>
        <w:autoSpaceDE w:val="0"/>
        <w:autoSpaceDN w:val="0"/>
        <w:adjustRightInd w:val="0"/>
        <w:spacing w:line="360" w:lineRule="auto"/>
        <w:ind w:firstLineChars="200" w:firstLine="480"/>
        <w:rPr>
          <w:rFonts w:ascii="宋体" w:cs="宋体"/>
          <w:kern w:val="0"/>
          <w:sz w:val="24"/>
          <w:szCs w:val="24"/>
        </w:rPr>
      </w:pPr>
      <w:r w:rsidRPr="008565B8">
        <w:rPr>
          <w:rFonts w:ascii="宋体" w:cs="宋体"/>
          <w:kern w:val="0"/>
          <w:sz w:val="24"/>
          <w:szCs w:val="24"/>
        </w:rPr>
        <w:t>2</w:t>
      </w:r>
      <w:r w:rsidRPr="008565B8">
        <w:rPr>
          <w:rFonts w:ascii="宋体" w:cs="宋体" w:hint="eastAsia"/>
          <w:kern w:val="0"/>
          <w:sz w:val="24"/>
          <w:szCs w:val="24"/>
        </w:rPr>
        <w:t>、基金份额持有人应当按照表决票的要求填写相关内容，其中：</w:t>
      </w:r>
    </w:p>
    <w:p w:rsidR="00D33331" w:rsidRPr="009849E8"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hint="eastAsia"/>
          <w:kern w:val="0"/>
          <w:sz w:val="24"/>
          <w:szCs w:val="24"/>
        </w:rPr>
        <w:t>（</w:t>
      </w:r>
      <w:r w:rsidRPr="00F756F9">
        <w:rPr>
          <w:rFonts w:ascii="宋体" w:cs="宋体"/>
          <w:kern w:val="0"/>
          <w:sz w:val="24"/>
          <w:szCs w:val="24"/>
        </w:rPr>
        <w:t>1</w:t>
      </w:r>
      <w:r w:rsidRPr="00F756F9">
        <w:rPr>
          <w:rFonts w:ascii="宋体" w:cs="宋体" w:hint="eastAsia"/>
          <w:kern w:val="0"/>
          <w:sz w:val="24"/>
          <w:szCs w:val="24"/>
        </w:rPr>
        <w:t>）个人</w:t>
      </w:r>
      <w:r w:rsidR="009B396B" w:rsidRPr="00F756F9">
        <w:rPr>
          <w:rFonts w:ascii="宋体" w:cs="宋体" w:hint="eastAsia"/>
          <w:kern w:val="0"/>
          <w:sz w:val="24"/>
          <w:szCs w:val="24"/>
        </w:rPr>
        <w:t>投资者</w:t>
      </w:r>
      <w:r w:rsidRPr="00F756F9">
        <w:rPr>
          <w:rFonts w:ascii="宋体" w:cs="宋体" w:hint="eastAsia"/>
          <w:kern w:val="0"/>
          <w:sz w:val="24"/>
          <w:szCs w:val="24"/>
        </w:rPr>
        <w:t>自行投票的，需在表决票上签字，并提供本人</w:t>
      </w:r>
      <w:r w:rsidR="00A77A7B" w:rsidRPr="009849E8">
        <w:rPr>
          <w:rFonts w:ascii="宋体" w:cs="宋体" w:hint="eastAsia"/>
          <w:kern w:val="0"/>
          <w:sz w:val="24"/>
          <w:szCs w:val="24"/>
        </w:rPr>
        <w:t>的</w:t>
      </w:r>
      <w:r w:rsidR="00BB4B8B">
        <w:rPr>
          <w:rFonts w:ascii="宋体" w:cs="宋体" w:hint="eastAsia"/>
          <w:kern w:val="0"/>
          <w:sz w:val="24"/>
          <w:szCs w:val="24"/>
        </w:rPr>
        <w:t>有效</w:t>
      </w:r>
      <w:r w:rsidRPr="009849E8">
        <w:rPr>
          <w:rFonts w:ascii="宋体" w:cs="宋体" w:hint="eastAsia"/>
          <w:kern w:val="0"/>
          <w:sz w:val="24"/>
          <w:szCs w:val="24"/>
        </w:rPr>
        <w:t>身份证件</w:t>
      </w:r>
      <w:r w:rsidR="003F2710" w:rsidRPr="009849E8">
        <w:rPr>
          <w:rFonts w:ascii="宋体" w:cs="宋体" w:hint="eastAsia"/>
          <w:kern w:val="0"/>
          <w:sz w:val="24"/>
          <w:szCs w:val="24"/>
        </w:rPr>
        <w:t>正反面</w:t>
      </w:r>
      <w:r w:rsidRPr="009849E8">
        <w:rPr>
          <w:rFonts w:ascii="宋体" w:cs="宋体" w:hint="eastAsia"/>
          <w:kern w:val="0"/>
          <w:sz w:val="24"/>
          <w:szCs w:val="24"/>
        </w:rPr>
        <w:t>复印件</w:t>
      </w:r>
      <w:r w:rsidR="00D47433">
        <w:rPr>
          <w:rFonts w:ascii="宋体" w:cs="宋体" w:hint="eastAsia"/>
          <w:kern w:val="0"/>
          <w:sz w:val="24"/>
          <w:szCs w:val="24"/>
        </w:rPr>
        <w:t>。</w:t>
      </w:r>
    </w:p>
    <w:p w:rsidR="00BB4B8B" w:rsidRDefault="00D33331" w:rsidP="00340485">
      <w:pPr>
        <w:autoSpaceDE w:val="0"/>
        <w:autoSpaceDN w:val="0"/>
        <w:adjustRightInd w:val="0"/>
        <w:spacing w:line="360" w:lineRule="auto"/>
        <w:ind w:firstLineChars="200" w:firstLine="480"/>
        <w:rPr>
          <w:rFonts w:ascii="宋体" w:cs="宋体"/>
          <w:kern w:val="0"/>
          <w:sz w:val="24"/>
          <w:szCs w:val="24"/>
        </w:rPr>
      </w:pPr>
      <w:r w:rsidRPr="009849E8">
        <w:rPr>
          <w:rFonts w:ascii="宋体" w:cs="宋体" w:hint="eastAsia"/>
          <w:kern w:val="0"/>
          <w:sz w:val="24"/>
          <w:szCs w:val="24"/>
        </w:rPr>
        <w:t>（</w:t>
      </w:r>
      <w:r w:rsidRPr="009849E8">
        <w:rPr>
          <w:rFonts w:ascii="宋体" w:cs="宋体"/>
          <w:kern w:val="0"/>
          <w:sz w:val="24"/>
          <w:szCs w:val="24"/>
        </w:rPr>
        <w:t>2</w:t>
      </w:r>
      <w:r w:rsidRPr="009849E8">
        <w:rPr>
          <w:rFonts w:ascii="宋体" w:cs="宋体" w:hint="eastAsia"/>
          <w:kern w:val="0"/>
          <w:sz w:val="24"/>
          <w:szCs w:val="24"/>
        </w:rPr>
        <w:t>）</w:t>
      </w:r>
      <w:r w:rsidR="00BB4B8B" w:rsidRPr="00BB4B8B">
        <w:rPr>
          <w:rFonts w:ascii="宋体" w:cs="宋体"/>
          <w:kern w:val="0"/>
          <w:sz w:val="24"/>
          <w:szCs w:val="24"/>
        </w:rPr>
        <w:t>机构投资者自行投票的，需在表决票上加盖本单位公章（或基金管理人认可的其他印章，下同），并提供加盖公章的营业执照复印件（事业单位、社会团体或其他单位可使用加盖公章的事业单位法人登记证书、有权部门的批文、开户证明或登记证书复印件等）；合格境外机构投资者自行投票的，需在表决票上加盖本机构公章（如有）或由授权代表在表决票上签字（如无公章），并提供该授权代表的有效身份证件正反面复印件、该合格境外机构投资者所签署的授权委托书或者证明该授权代表有权代表该合格境外机构投资者签署表决票的其他证明文件，以及该合格境外机构投资者的营业执照、商业登记证或者其他有效注</w:t>
      </w:r>
      <w:r w:rsidR="00D47433">
        <w:rPr>
          <w:rFonts w:ascii="宋体" w:cs="宋体"/>
          <w:kern w:val="0"/>
          <w:sz w:val="24"/>
          <w:szCs w:val="24"/>
        </w:rPr>
        <w:t>册登记证明复印件和取得合格境外机构投资者资格的证明文件的复印件</w:t>
      </w:r>
      <w:r w:rsidR="00D47433">
        <w:rPr>
          <w:rFonts w:ascii="宋体" w:cs="宋体" w:hint="eastAsia"/>
          <w:kern w:val="0"/>
          <w:sz w:val="24"/>
          <w:szCs w:val="24"/>
        </w:rPr>
        <w:t>。</w:t>
      </w:r>
    </w:p>
    <w:p w:rsidR="00B3455C" w:rsidRPr="009849E8" w:rsidRDefault="00BB4B8B" w:rsidP="000B124E">
      <w:pPr>
        <w:autoSpaceDE w:val="0"/>
        <w:autoSpaceDN w:val="0"/>
        <w:adjustRightInd w:val="0"/>
        <w:spacing w:line="360" w:lineRule="auto"/>
        <w:ind w:firstLineChars="200" w:firstLine="480"/>
        <w:rPr>
          <w:rFonts w:ascii="仿宋" w:eastAsia="仿宋" w:cs="仿宋"/>
          <w:kern w:val="0"/>
          <w:sz w:val="28"/>
          <w:szCs w:val="28"/>
        </w:rPr>
      </w:pPr>
      <w:r w:rsidRPr="00BB4B8B">
        <w:rPr>
          <w:rFonts w:ascii="宋体" w:cs="宋体" w:hint="eastAsia"/>
          <w:kern w:val="0"/>
          <w:sz w:val="24"/>
          <w:szCs w:val="24"/>
        </w:rPr>
        <w:t>（3）</w:t>
      </w:r>
      <w:r w:rsidRPr="00BB4B8B">
        <w:rPr>
          <w:rFonts w:ascii="宋体" w:cs="宋体"/>
          <w:kern w:val="0"/>
          <w:sz w:val="24"/>
          <w:szCs w:val="24"/>
        </w:rPr>
        <w:t>基金份额持有人可根据</w:t>
      </w:r>
      <w:r w:rsidR="00ED4487" w:rsidRPr="00ED4487">
        <w:rPr>
          <w:rFonts w:ascii="宋体" w:cs="宋体" w:hint="eastAsia"/>
          <w:kern w:val="0"/>
          <w:sz w:val="24"/>
          <w:szCs w:val="24"/>
        </w:rPr>
        <w:t>基金管理人于20</w:t>
      </w:r>
      <w:r w:rsidR="00384097">
        <w:rPr>
          <w:rFonts w:ascii="宋体" w:cs="宋体"/>
          <w:kern w:val="0"/>
          <w:sz w:val="24"/>
          <w:szCs w:val="24"/>
        </w:rPr>
        <w:t>24</w:t>
      </w:r>
      <w:r w:rsidR="00ED4487" w:rsidRPr="00ED4487">
        <w:rPr>
          <w:rFonts w:ascii="宋体" w:cs="宋体" w:hint="eastAsia"/>
          <w:kern w:val="0"/>
          <w:sz w:val="24"/>
          <w:szCs w:val="24"/>
        </w:rPr>
        <w:t>年</w:t>
      </w:r>
      <w:r w:rsidR="00384097">
        <w:rPr>
          <w:rFonts w:ascii="宋体" w:cs="宋体" w:hint="eastAsia"/>
          <w:kern w:val="0"/>
          <w:sz w:val="24"/>
          <w:szCs w:val="24"/>
        </w:rPr>
        <w:t>1</w:t>
      </w:r>
      <w:r w:rsidR="00384097">
        <w:rPr>
          <w:rFonts w:ascii="宋体" w:cs="宋体"/>
          <w:kern w:val="0"/>
          <w:sz w:val="24"/>
          <w:szCs w:val="24"/>
        </w:rPr>
        <w:t>2</w:t>
      </w:r>
      <w:r w:rsidR="00ED4487" w:rsidRPr="00ED4487">
        <w:rPr>
          <w:rFonts w:ascii="宋体" w:cs="宋体" w:hint="eastAsia"/>
          <w:kern w:val="0"/>
          <w:sz w:val="24"/>
          <w:szCs w:val="24"/>
        </w:rPr>
        <w:t>月</w:t>
      </w:r>
      <w:r w:rsidR="00384097">
        <w:rPr>
          <w:rFonts w:ascii="宋体" w:cs="宋体" w:hint="eastAsia"/>
          <w:kern w:val="0"/>
          <w:sz w:val="24"/>
          <w:szCs w:val="24"/>
        </w:rPr>
        <w:t>6</w:t>
      </w:r>
      <w:r w:rsidR="00ED4487" w:rsidRPr="00ED4487">
        <w:rPr>
          <w:rFonts w:ascii="宋体" w:cs="宋体" w:hint="eastAsia"/>
          <w:kern w:val="0"/>
          <w:sz w:val="24"/>
          <w:szCs w:val="24"/>
        </w:rPr>
        <w:t>日发布的《关于拟召开东方红</w:t>
      </w:r>
      <w:r w:rsidR="00597A80">
        <w:rPr>
          <w:rFonts w:ascii="宋体" w:cs="宋体" w:hint="eastAsia"/>
          <w:kern w:val="0"/>
          <w:sz w:val="24"/>
          <w:szCs w:val="24"/>
        </w:rPr>
        <w:t>恒阳</w:t>
      </w:r>
      <w:r w:rsidR="00ED4487">
        <w:rPr>
          <w:rFonts w:ascii="宋体" w:cs="宋体" w:hint="eastAsia"/>
          <w:kern w:val="0"/>
          <w:sz w:val="24"/>
          <w:szCs w:val="24"/>
        </w:rPr>
        <w:t>五</w:t>
      </w:r>
      <w:r w:rsidR="00ED4487" w:rsidRPr="00ED4487">
        <w:rPr>
          <w:rFonts w:ascii="宋体" w:cs="宋体" w:hint="eastAsia"/>
          <w:kern w:val="0"/>
          <w:sz w:val="24"/>
          <w:szCs w:val="24"/>
        </w:rPr>
        <w:t>年定期开放混合型证券投资基金基金份额持有人大会（通讯方式）的预公告》（以下简称《预公告》）及</w:t>
      </w:r>
      <w:r w:rsidRPr="00BB4B8B">
        <w:rPr>
          <w:rFonts w:ascii="宋体" w:cs="宋体"/>
          <w:kern w:val="0"/>
          <w:sz w:val="24"/>
          <w:szCs w:val="24"/>
        </w:rPr>
        <w:t>本公告</w:t>
      </w:r>
      <w:r w:rsidR="00630C57">
        <w:rPr>
          <w:rFonts w:ascii="宋体" w:cs="宋体" w:hint="eastAsia"/>
          <w:kern w:val="0"/>
          <w:sz w:val="24"/>
          <w:szCs w:val="24"/>
        </w:rPr>
        <w:t>“</w:t>
      </w:r>
      <w:r w:rsidRPr="00BB4B8B">
        <w:rPr>
          <w:rFonts w:ascii="宋体" w:cs="宋体"/>
          <w:kern w:val="0"/>
          <w:sz w:val="24"/>
          <w:szCs w:val="24"/>
        </w:rPr>
        <w:t>五、授权</w:t>
      </w:r>
      <w:r w:rsidR="00630C57">
        <w:rPr>
          <w:rFonts w:ascii="宋体" w:cs="宋体" w:hint="eastAsia"/>
          <w:kern w:val="0"/>
          <w:sz w:val="24"/>
          <w:szCs w:val="24"/>
        </w:rPr>
        <w:t>”</w:t>
      </w:r>
      <w:r w:rsidRPr="00BB4B8B">
        <w:rPr>
          <w:rFonts w:ascii="宋体" w:cs="宋体"/>
          <w:kern w:val="0"/>
          <w:sz w:val="24"/>
          <w:szCs w:val="24"/>
        </w:rPr>
        <w:t>章节的规定授权本基金的基金管理人、基金销售机构以及其他符合法律规定的个人或机构代其在本次基金份额持有人大会上投票。受托人</w:t>
      </w:r>
      <w:r w:rsidR="000B124E">
        <w:rPr>
          <w:rFonts w:ascii="宋体" w:cs="宋体" w:hint="eastAsia"/>
          <w:kern w:val="0"/>
          <w:sz w:val="24"/>
          <w:szCs w:val="24"/>
        </w:rPr>
        <w:t>（或称代理人）</w:t>
      </w:r>
      <w:r w:rsidRPr="00BB4B8B">
        <w:rPr>
          <w:rFonts w:ascii="宋体" w:cs="宋体"/>
          <w:kern w:val="0"/>
          <w:sz w:val="24"/>
          <w:szCs w:val="24"/>
        </w:rPr>
        <w:t>应在表决票上签字或盖章。</w:t>
      </w:r>
      <w:r w:rsidR="000B124E">
        <w:rPr>
          <w:rFonts w:ascii="宋体" w:cs="宋体" w:hint="eastAsia"/>
          <w:kern w:val="0"/>
          <w:sz w:val="24"/>
          <w:szCs w:val="24"/>
        </w:rPr>
        <w:t>如受托人为个人的，需提供受托人的有效身份证件正反面复印件；如受托人为机构的，</w:t>
      </w:r>
      <w:r w:rsidR="00F27015">
        <w:rPr>
          <w:rFonts w:ascii="宋体" w:cs="宋体" w:hint="eastAsia"/>
          <w:kern w:val="0"/>
          <w:sz w:val="24"/>
          <w:szCs w:val="24"/>
        </w:rPr>
        <w:t>需</w:t>
      </w:r>
      <w:r w:rsidR="000B124E" w:rsidRPr="000B124E">
        <w:rPr>
          <w:rFonts w:ascii="宋体" w:cs="宋体" w:hint="eastAsia"/>
          <w:kern w:val="0"/>
          <w:sz w:val="24"/>
          <w:szCs w:val="24"/>
        </w:rPr>
        <w:t>提供</w:t>
      </w:r>
      <w:r w:rsidR="000B124E">
        <w:rPr>
          <w:rFonts w:ascii="宋体" w:cs="宋体" w:hint="eastAsia"/>
          <w:kern w:val="0"/>
          <w:sz w:val="24"/>
          <w:szCs w:val="24"/>
        </w:rPr>
        <w:t>受托人</w:t>
      </w:r>
      <w:r w:rsidR="000B124E" w:rsidRPr="00BB4B8B">
        <w:rPr>
          <w:rFonts w:ascii="宋体" w:cs="宋体"/>
          <w:kern w:val="0"/>
          <w:sz w:val="24"/>
          <w:szCs w:val="24"/>
        </w:rPr>
        <w:t>加盖公章的营业执照复印件（事业单位、社会团体或其他单位可使用加盖公章的事业单位法人登记证书、有权部门的批文、开户证明或登记</w:t>
      </w:r>
      <w:r w:rsidR="000B124E" w:rsidRPr="00BB4B8B">
        <w:rPr>
          <w:rFonts w:ascii="宋体" w:cs="宋体"/>
          <w:kern w:val="0"/>
          <w:sz w:val="24"/>
          <w:szCs w:val="24"/>
        </w:rPr>
        <w:lastRenderedPageBreak/>
        <w:t>证书复印件等）</w:t>
      </w:r>
      <w:r w:rsidR="00F27015">
        <w:rPr>
          <w:rFonts w:ascii="宋体" w:cs="宋体" w:hint="eastAsia"/>
          <w:kern w:val="0"/>
          <w:sz w:val="24"/>
          <w:szCs w:val="24"/>
        </w:rPr>
        <w:t>。</w:t>
      </w:r>
      <w:r w:rsidRPr="00BB4B8B">
        <w:rPr>
          <w:rFonts w:ascii="宋体" w:cs="宋体"/>
          <w:kern w:val="0"/>
          <w:sz w:val="24"/>
          <w:szCs w:val="24"/>
        </w:rPr>
        <w:t>受托人接受基金份额持有人</w:t>
      </w:r>
      <w:r w:rsidR="00514A0E">
        <w:rPr>
          <w:rFonts w:ascii="宋体" w:cs="宋体"/>
          <w:kern w:val="0"/>
          <w:sz w:val="24"/>
          <w:szCs w:val="24"/>
        </w:rPr>
        <w:t>纸质</w:t>
      </w:r>
      <w:r w:rsidRPr="00BB4B8B">
        <w:rPr>
          <w:rFonts w:ascii="宋体" w:cs="宋体"/>
          <w:kern w:val="0"/>
          <w:sz w:val="24"/>
          <w:szCs w:val="24"/>
        </w:rPr>
        <w:t>方式授权代理投票的，应提供授权委托书原件以及相关公告规定的基金份额持有人的身份证明文件或机构主体资格证明文件等</w:t>
      </w:r>
      <w:r w:rsidR="00D47433">
        <w:rPr>
          <w:rFonts w:ascii="宋体" w:cs="宋体"/>
          <w:kern w:val="0"/>
          <w:sz w:val="24"/>
          <w:szCs w:val="24"/>
        </w:rPr>
        <w:t>相关文件的复印件</w:t>
      </w:r>
      <w:r w:rsidR="00D47433">
        <w:rPr>
          <w:rFonts w:ascii="宋体" w:cs="宋体" w:hint="eastAsia"/>
          <w:kern w:val="0"/>
          <w:sz w:val="24"/>
          <w:szCs w:val="24"/>
        </w:rPr>
        <w:t>。</w:t>
      </w:r>
    </w:p>
    <w:p w:rsidR="00F36303" w:rsidRPr="00F36303" w:rsidRDefault="00F36303" w:rsidP="00340485">
      <w:pPr>
        <w:autoSpaceDE w:val="0"/>
        <w:autoSpaceDN w:val="0"/>
        <w:adjustRightInd w:val="0"/>
        <w:spacing w:line="360" w:lineRule="auto"/>
        <w:ind w:firstLine="482"/>
        <w:rPr>
          <w:rFonts w:ascii="宋体" w:cs="宋体"/>
          <w:kern w:val="0"/>
          <w:sz w:val="24"/>
          <w:szCs w:val="24"/>
        </w:rPr>
      </w:pPr>
      <w:r w:rsidRPr="003D42AC">
        <w:rPr>
          <w:rFonts w:ascii="宋体" w:cs="宋体" w:hint="eastAsia"/>
          <w:kern w:val="0"/>
          <w:sz w:val="24"/>
          <w:szCs w:val="24"/>
        </w:rPr>
        <w:t>（</w:t>
      </w:r>
      <w:r w:rsidR="00BB4B8B">
        <w:rPr>
          <w:rFonts w:ascii="宋体" w:cs="宋体"/>
          <w:kern w:val="0"/>
          <w:sz w:val="24"/>
          <w:szCs w:val="24"/>
        </w:rPr>
        <w:t>4</w:t>
      </w:r>
      <w:r w:rsidRPr="003D42AC">
        <w:rPr>
          <w:rFonts w:ascii="宋体" w:cs="宋体" w:hint="eastAsia"/>
          <w:kern w:val="0"/>
          <w:sz w:val="24"/>
          <w:szCs w:val="24"/>
        </w:rPr>
        <w:t>）以上各项中的公章、批文、开户证明及登记证书</w:t>
      </w:r>
      <w:r w:rsidR="00BB4B8B">
        <w:rPr>
          <w:rFonts w:ascii="宋体" w:cs="宋体" w:hint="eastAsia"/>
          <w:kern w:val="0"/>
          <w:sz w:val="24"/>
          <w:szCs w:val="24"/>
        </w:rPr>
        <w:t>等</w:t>
      </w:r>
      <w:r w:rsidRPr="003D42AC">
        <w:rPr>
          <w:rFonts w:ascii="宋体" w:cs="宋体" w:hint="eastAsia"/>
          <w:kern w:val="0"/>
          <w:sz w:val="24"/>
          <w:szCs w:val="24"/>
        </w:rPr>
        <w:t>，以基金管理人的认可为准。</w:t>
      </w:r>
    </w:p>
    <w:p w:rsidR="00F36303"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3</w:t>
      </w:r>
      <w:r w:rsidRPr="00F756F9">
        <w:rPr>
          <w:rFonts w:ascii="宋体" w:cs="宋体" w:hint="eastAsia"/>
          <w:kern w:val="0"/>
          <w:sz w:val="24"/>
          <w:szCs w:val="24"/>
        </w:rPr>
        <w:t>、基金份额持有人或其代理人需将填妥的表决票和所需的相关文件于</w:t>
      </w:r>
      <w:r w:rsidR="001377EE" w:rsidRPr="00F756F9">
        <w:rPr>
          <w:rFonts w:ascii="宋体" w:cs="宋体" w:hint="eastAsia"/>
          <w:kern w:val="0"/>
          <w:sz w:val="24"/>
          <w:szCs w:val="24"/>
        </w:rPr>
        <w:t>前述</w:t>
      </w:r>
      <w:r w:rsidRPr="00F756F9">
        <w:rPr>
          <w:rFonts w:ascii="宋体" w:cs="宋体" w:hint="eastAsia"/>
          <w:kern w:val="0"/>
          <w:sz w:val="24"/>
          <w:szCs w:val="24"/>
        </w:rPr>
        <w:t>会议投票表决起止时间内</w:t>
      </w:r>
      <w:r w:rsidR="00BB4B8B" w:rsidRPr="00BB4B8B">
        <w:rPr>
          <w:rFonts w:ascii="宋体" w:cs="宋体"/>
          <w:kern w:val="0"/>
          <w:sz w:val="24"/>
          <w:szCs w:val="24"/>
        </w:rPr>
        <w:t>或召集人另行公告延迟后的最终投票表决截止时间以前</w:t>
      </w:r>
      <w:r w:rsidRPr="00F756F9">
        <w:rPr>
          <w:rFonts w:ascii="宋体" w:cs="宋体" w:hint="eastAsia"/>
          <w:kern w:val="0"/>
          <w:sz w:val="24"/>
          <w:szCs w:val="24"/>
        </w:rPr>
        <w:t>（</w:t>
      </w:r>
      <w:r w:rsidR="00EB3CB5" w:rsidRPr="00EB3CB5">
        <w:rPr>
          <w:rFonts w:ascii="宋体" w:cs="宋体" w:hint="eastAsia"/>
          <w:kern w:val="0"/>
          <w:sz w:val="24"/>
          <w:szCs w:val="24"/>
        </w:rPr>
        <w:t>投票表决时间</w:t>
      </w:r>
      <w:r w:rsidR="003D4FAC" w:rsidRPr="0096329D">
        <w:rPr>
          <w:rFonts w:ascii="宋体" w:cs="宋体" w:hint="eastAsia"/>
          <w:kern w:val="0"/>
          <w:sz w:val="24"/>
          <w:szCs w:val="24"/>
        </w:rPr>
        <w:t>以本公告列明的</w:t>
      </w:r>
      <w:r w:rsidR="00514A0E">
        <w:rPr>
          <w:rFonts w:ascii="宋体" w:cs="宋体" w:hint="eastAsia"/>
          <w:kern w:val="0"/>
          <w:sz w:val="24"/>
          <w:szCs w:val="24"/>
        </w:rPr>
        <w:t>纸质</w:t>
      </w:r>
      <w:r w:rsidR="003D4FAC">
        <w:rPr>
          <w:rFonts w:ascii="宋体" w:cs="宋体" w:hint="eastAsia"/>
          <w:kern w:val="0"/>
          <w:sz w:val="24"/>
          <w:szCs w:val="24"/>
        </w:rPr>
        <w:t>表决票的寄达地点</w:t>
      </w:r>
      <w:r w:rsidR="003D4FAC" w:rsidRPr="0096329D">
        <w:rPr>
          <w:rFonts w:ascii="宋体" w:cs="宋体" w:hint="eastAsia"/>
          <w:kern w:val="0"/>
          <w:sz w:val="24"/>
          <w:szCs w:val="24"/>
        </w:rPr>
        <w:t>收到表决票时间为准</w:t>
      </w:r>
      <w:r w:rsidRPr="00F756F9">
        <w:rPr>
          <w:rFonts w:ascii="宋体" w:cs="宋体" w:hint="eastAsia"/>
          <w:kern w:val="0"/>
          <w:sz w:val="24"/>
          <w:szCs w:val="24"/>
        </w:rPr>
        <w:t>）通过专人送交或邮寄的方式送达至</w:t>
      </w:r>
      <w:r w:rsidR="00933569">
        <w:rPr>
          <w:rFonts w:ascii="宋体" w:cs="宋体" w:hint="eastAsia"/>
          <w:kern w:val="0"/>
          <w:sz w:val="24"/>
          <w:szCs w:val="24"/>
        </w:rPr>
        <w:t>以下地址：</w:t>
      </w:r>
    </w:p>
    <w:p w:rsidR="00F36303" w:rsidRPr="00BD3714" w:rsidRDefault="00F36303"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基金管理人</w:t>
      </w:r>
      <w:r w:rsidRPr="00BD3714">
        <w:rPr>
          <w:rFonts w:ascii="宋体" w:cs="宋体" w:hint="eastAsia"/>
          <w:kern w:val="0"/>
          <w:sz w:val="24"/>
          <w:szCs w:val="24"/>
        </w:rPr>
        <w:t>：</w:t>
      </w:r>
      <w:r>
        <w:rPr>
          <w:rFonts w:ascii="宋体" w:cs="宋体" w:hint="eastAsia"/>
          <w:kern w:val="0"/>
          <w:sz w:val="24"/>
          <w:szCs w:val="24"/>
        </w:rPr>
        <w:t>上海东方证券资产管理有限公司</w:t>
      </w:r>
    </w:p>
    <w:p w:rsidR="00F36303" w:rsidRPr="00B9368A" w:rsidRDefault="00F36303"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收件人：</w:t>
      </w:r>
      <w:r w:rsidR="00DA06F9">
        <w:rPr>
          <w:rFonts w:ascii="宋体" w:cs="宋体" w:hint="eastAsia"/>
          <w:kern w:val="0"/>
          <w:sz w:val="24"/>
          <w:szCs w:val="24"/>
        </w:rPr>
        <w:t>吴比</w:t>
      </w:r>
    </w:p>
    <w:p w:rsidR="00F36303" w:rsidRPr="00B9368A" w:rsidRDefault="00F36303"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联系地址：</w:t>
      </w:r>
      <w:r w:rsidR="007A5C7F" w:rsidRPr="00C027CC">
        <w:rPr>
          <w:rFonts w:ascii="宋体" w:cs="宋体"/>
          <w:kern w:val="0"/>
          <w:sz w:val="24"/>
          <w:szCs w:val="24"/>
        </w:rPr>
        <w:t>上海市黄浦区外马路108号供销大厦</w:t>
      </w:r>
      <w:r w:rsidR="007A4ABA">
        <w:rPr>
          <w:rFonts w:ascii="宋体" w:cs="宋体"/>
          <w:kern w:val="0"/>
          <w:sz w:val="24"/>
          <w:szCs w:val="24"/>
        </w:rPr>
        <w:t>7</w:t>
      </w:r>
      <w:r w:rsidR="007A5C7F" w:rsidRPr="00C027CC">
        <w:rPr>
          <w:rFonts w:ascii="宋体" w:cs="宋体"/>
          <w:kern w:val="0"/>
          <w:sz w:val="24"/>
          <w:szCs w:val="24"/>
        </w:rPr>
        <w:t>层</w:t>
      </w:r>
    </w:p>
    <w:p w:rsidR="00F36303" w:rsidRPr="00B9368A" w:rsidRDefault="00F36303"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投票咨询电话：</w:t>
      </w:r>
      <w:r w:rsidR="00DA06F9" w:rsidRPr="003D42AC">
        <w:rPr>
          <w:rFonts w:ascii="宋体" w:cs="宋体" w:hint="eastAsia"/>
          <w:kern w:val="0"/>
          <w:sz w:val="24"/>
          <w:szCs w:val="24"/>
        </w:rPr>
        <w:t>4009200808</w:t>
      </w:r>
      <w:r w:rsidR="00894D98">
        <w:rPr>
          <w:rFonts w:ascii="宋体" w:cs="宋体" w:hint="eastAsia"/>
          <w:kern w:val="0"/>
          <w:sz w:val="24"/>
          <w:szCs w:val="24"/>
        </w:rPr>
        <w:t>（免长途通话费）</w:t>
      </w:r>
    </w:p>
    <w:p w:rsidR="00F36303" w:rsidRPr="00B9368A" w:rsidRDefault="00F36303" w:rsidP="00340485">
      <w:pPr>
        <w:autoSpaceDE w:val="0"/>
        <w:autoSpaceDN w:val="0"/>
        <w:spacing w:line="360" w:lineRule="auto"/>
        <w:ind w:firstLine="480"/>
        <w:rPr>
          <w:rFonts w:ascii="宋体" w:cs="宋体"/>
          <w:kern w:val="0"/>
          <w:sz w:val="24"/>
          <w:szCs w:val="24"/>
        </w:rPr>
      </w:pPr>
      <w:r w:rsidRPr="00B9368A">
        <w:rPr>
          <w:rFonts w:ascii="宋体" w:cs="宋体" w:hint="eastAsia"/>
          <w:kern w:val="0"/>
          <w:sz w:val="24"/>
          <w:szCs w:val="24"/>
        </w:rPr>
        <w:t>会议议案咨询电话：</w:t>
      </w:r>
      <w:r w:rsidR="00DA06F9" w:rsidRPr="00CF2801">
        <w:rPr>
          <w:rFonts w:ascii="宋体" w:cs="宋体" w:hint="eastAsia"/>
          <w:kern w:val="0"/>
          <w:sz w:val="24"/>
          <w:szCs w:val="24"/>
        </w:rPr>
        <w:t>4009200808</w:t>
      </w:r>
      <w:r w:rsidR="00894D98">
        <w:rPr>
          <w:rFonts w:ascii="宋体" w:cs="宋体" w:hint="eastAsia"/>
          <w:kern w:val="0"/>
          <w:sz w:val="24"/>
          <w:szCs w:val="24"/>
        </w:rPr>
        <w:t>（免长途通话费）</w:t>
      </w:r>
    </w:p>
    <w:p w:rsidR="00F36303" w:rsidRPr="00BD3714" w:rsidRDefault="00F36303"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邮政编码：</w:t>
      </w:r>
      <w:r w:rsidRPr="00964067">
        <w:rPr>
          <w:rFonts w:ascii="宋体" w:cs="宋体" w:hint="eastAsia"/>
          <w:kern w:val="0"/>
          <w:sz w:val="24"/>
          <w:szCs w:val="24"/>
        </w:rPr>
        <w:t>200010</w:t>
      </w:r>
    </w:p>
    <w:p w:rsidR="0085271E" w:rsidRDefault="004A5145" w:rsidP="00340485">
      <w:pPr>
        <w:autoSpaceDE w:val="0"/>
        <w:autoSpaceDN w:val="0"/>
        <w:adjustRightInd w:val="0"/>
        <w:spacing w:line="360" w:lineRule="auto"/>
        <w:ind w:firstLineChars="200" w:firstLine="480"/>
        <w:rPr>
          <w:rFonts w:ascii="宋体" w:cs="宋体"/>
          <w:kern w:val="0"/>
          <w:sz w:val="24"/>
          <w:szCs w:val="24"/>
        </w:rPr>
      </w:pPr>
      <w:r w:rsidRPr="00BD3714">
        <w:rPr>
          <w:rFonts w:ascii="宋体" w:cs="宋体" w:hint="eastAsia"/>
          <w:kern w:val="0"/>
          <w:sz w:val="24"/>
          <w:szCs w:val="24"/>
        </w:rPr>
        <w:t>请在信封表面注明：“</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Pr="00BD3714">
        <w:rPr>
          <w:rFonts w:ascii="宋体" w:cs="宋体" w:hint="eastAsia"/>
          <w:kern w:val="0"/>
          <w:sz w:val="24"/>
          <w:szCs w:val="24"/>
        </w:rPr>
        <w:t>基金份额持有人大会投票专用”</w:t>
      </w:r>
    </w:p>
    <w:p w:rsidR="00BB4B8B" w:rsidRPr="00BB4B8B" w:rsidRDefault="00BB4B8B" w:rsidP="00BB4B8B">
      <w:pPr>
        <w:autoSpaceDE w:val="0"/>
        <w:autoSpaceDN w:val="0"/>
        <w:adjustRightInd w:val="0"/>
        <w:spacing w:line="360" w:lineRule="auto"/>
        <w:ind w:firstLineChars="200" w:firstLine="480"/>
        <w:outlineLvl w:val="2"/>
        <w:rPr>
          <w:rFonts w:ascii="宋体" w:cs="宋体"/>
          <w:kern w:val="0"/>
          <w:sz w:val="24"/>
          <w:szCs w:val="24"/>
        </w:rPr>
      </w:pPr>
      <w:r>
        <w:rPr>
          <w:rFonts w:ascii="宋体" w:cs="宋体" w:hint="eastAsia"/>
          <w:kern w:val="0"/>
          <w:sz w:val="24"/>
          <w:szCs w:val="24"/>
        </w:rPr>
        <w:t>（二）</w:t>
      </w:r>
      <w:r w:rsidRPr="00BB4B8B">
        <w:rPr>
          <w:rFonts w:ascii="宋体" w:cs="宋体"/>
          <w:kern w:val="0"/>
          <w:sz w:val="24"/>
          <w:szCs w:val="24"/>
        </w:rPr>
        <w:t>基金份额持有人的表决意见代表该基金份额持有人在权益登记日所持全部基金份额的表决意见。</w:t>
      </w:r>
    </w:p>
    <w:p w:rsidR="000E17FF" w:rsidRPr="00630C57" w:rsidRDefault="000E17FF" w:rsidP="00340485">
      <w:pPr>
        <w:autoSpaceDE w:val="0"/>
        <w:autoSpaceDN w:val="0"/>
        <w:adjustRightInd w:val="0"/>
        <w:spacing w:line="360" w:lineRule="auto"/>
        <w:rPr>
          <w:rFonts w:ascii="宋体" w:cs="宋体"/>
          <w:kern w:val="0"/>
          <w:sz w:val="24"/>
          <w:szCs w:val="24"/>
        </w:rPr>
      </w:pPr>
    </w:p>
    <w:p w:rsidR="00E027A1" w:rsidRPr="003D42AC" w:rsidRDefault="00E027A1" w:rsidP="00340485">
      <w:pPr>
        <w:autoSpaceDE w:val="0"/>
        <w:autoSpaceDN w:val="0"/>
        <w:adjustRightInd w:val="0"/>
        <w:spacing w:line="360" w:lineRule="auto"/>
        <w:ind w:firstLineChars="200" w:firstLine="562"/>
        <w:outlineLvl w:val="1"/>
        <w:rPr>
          <w:rFonts w:ascii="宋体" w:cs="宋体"/>
          <w:b/>
          <w:kern w:val="0"/>
          <w:sz w:val="28"/>
          <w:szCs w:val="28"/>
        </w:rPr>
      </w:pPr>
      <w:r w:rsidRPr="003D42AC">
        <w:rPr>
          <w:rFonts w:ascii="宋体" w:cs="宋体"/>
          <w:b/>
          <w:kern w:val="0"/>
          <w:sz w:val="28"/>
          <w:szCs w:val="28"/>
        </w:rPr>
        <w:t>五</w:t>
      </w:r>
      <w:r w:rsidRPr="003D42AC">
        <w:rPr>
          <w:rFonts w:ascii="宋体" w:cs="宋体" w:hint="eastAsia"/>
          <w:b/>
          <w:kern w:val="0"/>
          <w:sz w:val="28"/>
          <w:szCs w:val="28"/>
        </w:rPr>
        <w:t>、授权</w:t>
      </w:r>
    </w:p>
    <w:p w:rsidR="0042398C" w:rsidRDefault="0042398C"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hint="eastAsia"/>
          <w:kern w:val="0"/>
          <w:sz w:val="24"/>
          <w:szCs w:val="24"/>
        </w:rPr>
        <w:t>本基金的基金份额持有人如不能亲自</w:t>
      </w:r>
      <w:r w:rsidR="00CD7982">
        <w:rPr>
          <w:rFonts w:ascii="宋体" w:cs="宋体" w:hint="eastAsia"/>
          <w:kern w:val="0"/>
          <w:sz w:val="24"/>
          <w:szCs w:val="24"/>
        </w:rPr>
        <w:t>参与</w:t>
      </w:r>
      <w:r w:rsidRPr="003D42AC">
        <w:rPr>
          <w:rFonts w:ascii="宋体" w:cs="宋体" w:hint="eastAsia"/>
          <w:kern w:val="0"/>
          <w:sz w:val="24"/>
          <w:szCs w:val="24"/>
        </w:rPr>
        <w:t>本次大会，</w:t>
      </w:r>
      <w:r w:rsidR="009513C3" w:rsidRPr="009513C3">
        <w:rPr>
          <w:rFonts w:ascii="宋体" w:cs="宋体" w:hint="eastAsia"/>
          <w:kern w:val="0"/>
          <w:sz w:val="24"/>
          <w:szCs w:val="24"/>
        </w:rPr>
        <w:t>自《预公告》发布之日起,</w:t>
      </w:r>
      <w:r w:rsidRPr="003D42AC">
        <w:rPr>
          <w:rFonts w:ascii="宋体" w:cs="宋体" w:hint="eastAsia"/>
          <w:kern w:val="0"/>
          <w:sz w:val="24"/>
          <w:szCs w:val="24"/>
        </w:rPr>
        <w:t>可以授权委托基金管理人</w:t>
      </w:r>
      <w:r w:rsidR="00316C54">
        <w:rPr>
          <w:rFonts w:ascii="宋体" w:cs="宋体" w:hint="eastAsia"/>
          <w:kern w:val="0"/>
          <w:sz w:val="24"/>
          <w:szCs w:val="24"/>
        </w:rPr>
        <w:t>、基金销售机构</w:t>
      </w:r>
      <w:r w:rsidRPr="003D42AC">
        <w:rPr>
          <w:rFonts w:ascii="宋体" w:cs="宋体" w:hint="eastAsia"/>
          <w:kern w:val="0"/>
          <w:sz w:val="24"/>
          <w:szCs w:val="24"/>
        </w:rPr>
        <w:t>或其他符合法律</w:t>
      </w:r>
      <w:r w:rsidR="00B44832">
        <w:rPr>
          <w:rFonts w:ascii="宋体" w:cs="宋体" w:hint="eastAsia"/>
          <w:kern w:val="0"/>
          <w:sz w:val="24"/>
          <w:szCs w:val="24"/>
        </w:rPr>
        <w:t>法规</w:t>
      </w:r>
      <w:r w:rsidRPr="003D42AC">
        <w:rPr>
          <w:rFonts w:ascii="宋体" w:cs="宋体" w:hint="eastAsia"/>
          <w:kern w:val="0"/>
          <w:sz w:val="24"/>
          <w:szCs w:val="24"/>
        </w:rPr>
        <w:t>规定的机构</w:t>
      </w:r>
      <w:r w:rsidR="003E34D1">
        <w:rPr>
          <w:rFonts w:ascii="宋体" w:cs="宋体" w:hint="eastAsia"/>
          <w:kern w:val="0"/>
          <w:sz w:val="24"/>
          <w:szCs w:val="24"/>
        </w:rPr>
        <w:t>或</w:t>
      </w:r>
      <w:r w:rsidRPr="003D42AC">
        <w:rPr>
          <w:rFonts w:ascii="宋体" w:cs="宋体" w:hint="eastAsia"/>
          <w:kern w:val="0"/>
          <w:sz w:val="24"/>
          <w:szCs w:val="24"/>
        </w:rPr>
        <w:t>个人等代理人</w:t>
      </w:r>
      <w:r w:rsidR="00CD7982">
        <w:rPr>
          <w:rFonts w:ascii="宋体" w:cs="宋体" w:hint="eastAsia"/>
          <w:kern w:val="0"/>
          <w:sz w:val="24"/>
          <w:szCs w:val="24"/>
        </w:rPr>
        <w:t>参与大会并</w:t>
      </w:r>
      <w:r w:rsidR="003E34D1" w:rsidRPr="003E34D1">
        <w:rPr>
          <w:rFonts w:ascii="宋体" w:cs="宋体" w:hint="eastAsia"/>
          <w:kern w:val="0"/>
          <w:sz w:val="24"/>
          <w:szCs w:val="24"/>
        </w:rPr>
        <w:t>行使表决权，</w:t>
      </w:r>
      <w:r w:rsidR="003E34D1">
        <w:rPr>
          <w:rFonts w:ascii="宋体" w:cs="宋体" w:hint="eastAsia"/>
          <w:kern w:val="0"/>
          <w:sz w:val="24"/>
          <w:szCs w:val="24"/>
        </w:rPr>
        <w:t>授权形式及程序应符合本</w:t>
      </w:r>
      <w:r w:rsidR="003E34D1" w:rsidRPr="003E34D1">
        <w:rPr>
          <w:rFonts w:ascii="宋体" w:cs="宋体" w:hint="eastAsia"/>
          <w:kern w:val="0"/>
          <w:sz w:val="24"/>
          <w:szCs w:val="24"/>
        </w:rPr>
        <w:t>公告的规定</w:t>
      </w:r>
      <w:r w:rsidRPr="003D42AC">
        <w:rPr>
          <w:rFonts w:ascii="宋体" w:cs="宋体" w:hint="eastAsia"/>
          <w:kern w:val="0"/>
          <w:sz w:val="24"/>
          <w:szCs w:val="24"/>
        </w:rPr>
        <w:t>。</w:t>
      </w:r>
    </w:p>
    <w:p w:rsidR="0042398C" w:rsidRPr="003D42AC" w:rsidRDefault="0042398C"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（一）</w:t>
      </w:r>
      <w:r w:rsidR="00514A0E">
        <w:rPr>
          <w:rFonts w:ascii="宋体" w:cs="宋体" w:hint="eastAsia"/>
          <w:kern w:val="0"/>
          <w:sz w:val="24"/>
          <w:szCs w:val="24"/>
        </w:rPr>
        <w:t>纸质</w:t>
      </w:r>
      <w:r w:rsidRPr="003D42AC">
        <w:rPr>
          <w:rFonts w:ascii="宋体" w:cs="宋体" w:hint="eastAsia"/>
          <w:kern w:val="0"/>
          <w:sz w:val="24"/>
          <w:szCs w:val="24"/>
        </w:rPr>
        <w:t>方式授权</w:t>
      </w:r>
    </w:p>
    <w:p w:rsidR="0057001F" w:rsidRDefault="0042398C" w:rsidP="0057001F">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1</w:t>
      </w:r>
      <w:r w:rsidRPr="003D42AC">
        <w:rPr>
          <w:rFonts w:ascii="宋体" w:cs="宋体" w:hint="eastAsia"/>
          <w:kern w:val="0"/>
          <w:sz w:val="24"/>
          <w:szCs w:val="24"/>
        </w:rPr>
        <w:t>、</w:t>
      </w:r>
      <w:r w:rsidR="0057001F" w:rsidRPr="0057001F">
        <w:rPr>
          <w:rFonts w:ascii="宋体" w:cs="宋体"/>
          <w:kern w:val="0"/>
          <w:sz w:val="24"/>
          <w:szCs w:val="24"/>
        </w:rPr>
        <w:t>授权委托书样本</w:t>
      </w:r>
    </w:p>
    <w:p w:rsidR="0057001F" w:rsidRPr="0057001F" w:rsidRDefault="0057001F" w:rsidP="00D47433">
      <w:pPr>
        <w:autoSpaceDE w:val="0"/>
        <w:autoSpaceDN w:val="0"/>
        <w:adjustRightInd w:val="0"/>
        <w:spacing w:line="360" w:lineRule="auto"/>
        <w:ind w:firstLineChars="200" w:firstLine="480"/>
        <w:rPr>
          <w:rFonts w:ascii="宋体" w:cs="宋体"/>
          <w:kern w:val="0"/>
          <w:sz w:val="24"/>
          <w:szCs w:val="24"/>
        </w:rPr>
      </w:pPr>
      <w:r w:rsidRPr="0057001F">
        <w:rPr>
          <w:rFonts w:ascii="宋体" w:cs="宋体"/>
          <w:kern w:val="0"/>
          <w:sz w:val="24"/>
          <w:szCs w:val="24"/>
        </w:rPr>
        <w:t>基金份额持有人通过</w:t>
      </w:r>
      <w:r w:rsidR="00514A0E">
        <w:rPr>
          <w:rFonts w:ascii="宋体" w:cs="宋体"/>
          <w:kern w:val="0"/>
          <w:sz w:val="24"/>
          <w:szCs w:val="24"/>
        </w:rPr>
        <w:t>纸质</w:t>
      </w:r>
      <w:r w:rsidRPr="0057001F">
        <w:rPr>
          <w:rFonts w:ascii="宋体" w:cs="宋体"/>
          <w:kern w:val="0"/>
          <w:sz w:val="24"/>
          <w:szCs w:val="24"/>
        </w:rPr>
        <w:t>方式授权的，授权委托书的样本请见本公告附件</w:t>
      </w:r>
      <w:r>
        <w:rPr>
          <w:rFonts w:ascii="宋体" w:cs="宋体" w:hint="eastAsia"/>
          <w:kern w:val="0"/>
          <w:sz w:val="24"/>
          <w:szCs w:val="24"/>
        </w:rPr>
        <w:t>五</w:t>
      </w:r>
      <w:r w:rsidRPr="0057001F">
        <w:rPr>
          <w:rFonts w:ascii="宋体" w:cs="宋体"/>
          <w:kern w:val="0"/>
          <w:sz w:val="24"/>
          <w:szCs w:val="24"/>
        </w:rPr>
        <w:t>。基金份额持有人</w:t>
      </w:r>
      <w:r w:rsidRPr="00F756F9">
        <w:rPr>
          <w:rFonts w:ascii="宋体" w:cs="宋体" w:hint="eastAsia"/>
          <w:kern w:val="0"/>
          <w:sz w:val="24"/>
          <w:szCs w:val="24"/>
        </w:rPr>
        <w:t>可</w:t>
      </w:r>
      <w:r w:rsidR="003E34D1" w:rsidRPr="003E34D1">
        <w:rPr>
          <w:rFonts w:ascii="宋体" w:cs="宋体" w:hint="eastAsia"/>
          <w:kern w:val="0"/>
          <w:sz w:val="24"/>
          <w:szCs w:val="24"/>
        </w:rPr>
        <w:t>通过</w:t>
      </w:r>
      <w:r w:rsidRPr="00F756F9">
        <w:rPr>
          <w:rFonts w:ascii="宋体" w:cs="宋体" w:hint="eastAsia"/>
          <w:kern w:val="0"/>
          <w:sz w:val="24"/>
          <w:szCs w:val="24"/>
        </w:rPr>
        <w:t>本基金管理人网站</w:t>
      </w:r>
      <w:r w:rsidRPr="0096329D">
        <w:rPr>
          <w:rFonts w:ascii="宋体" w:cs="宋体" w:hint="eastAsia"/>
          <w:kern w:val="0"/>
          <w:sz w:val="24"/>
          <w:szCs w:val="24"/>
        </w:rPr>
        <w:t>（www.</w:t>
      </w:r>
      <w:r>
        <w:rPr>
          <w:rFonts w:ascii="宋体" w:cs="宋体" w:hint="eastAsia"/>
          <w:kern w:val="0"/>
          <w:sz w:val="24"/>
          <w:szCs w:val="24"/>
        </w:rPr>
        <w:t>dfham</w:t>
      </w:r>
      <w:r w:rsidRPr="0096329D">
        <w:rPr>
          <w:rFonts w:ascii="宋体" w:cs="宋体" w:hint="eastAsia"/>
          <w:kern w:val="0"/>
          <w:sz w:val="24"/>
          <w:szCs w:val="24"/>
        </w:rPr>
        <w:t>.com）</w:t>
      </w:r>
      <w:r w:rsidR="00E033DD" w:rsidRPr="00E033DD">
        <w:rPr>
          <w:rFonts w:ascii="宋体" w:cs="宋体" w:hint="eastAsia"/>
          <w:kern w:val="0"/>
          <w:sz w:val="24"/>
          <w:szCs w:val="24"/>
        </w:rPr>
        <w:t>及中国证监会基金电子披露网站（http://eid.csrc.gov.cn/fund）</w:t>
      </w:r>
      <w:r w:rsidR="003E34D1">
        <w:rPr>
          <w:rFonts w:ascii="宋体" w:cs="宋体" w:hint="eastAsia"/>
          <w:kern w:val="0"/>
          <w:sz w:val="24"/>
          <w:szCs w:val="24"/>
        </w:rPr>
        <w:t>下载</w:t>
      </w:r>
      <w:r w:rsidRPr="007C7C36">
        <w:rPr>
          <w:rFonts w:ascii="宋体" w:cs="宋体" w:hint="eastAsia"/>
          <w:kern w:val="0"/>
          <w:sz w:val="24"/>
          <w:szCs w:val="24"/>
        </w:rPr>
        <w:t>等</w:t>
      </w:r>
      <w:r>
        <w:rPr>
          <w:rFonts w:ascii="宋体" w:cs="宋体" w:hint="eastAsia"/>
          <w:kern w:val="0"/>
          <w:sz w:val="24"/>
          <w:szCs w:val="24"/>
        </w:rPr>
        <w:t>方式</w:t>
      </w:r>
      <w:r w:rsidRPr="0057001F">
        <w:rPr>
          <w:rFonts w:ascii="宋体" w:cs="宋体"/>
          <w:kern w:val="0"/>
          <w:sz w:val="24"/>
          <w:szCs w:val="24"/>
        </w:rPr>
        <w:t>获取授权委托书样本。</w:t>
      </w:r>
    </w:p>
    <w:p w:rsidR="0057001F" w:rsidRPr="0057001F" w:rsidRDefault="0057001F" w:rsidP="0057001F">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514A0E">
        <w:rPr>
          <w:rFonts w:ascii="宋体" w:cs="宋体"/>
          <w:kern w:val="0"/>
          <w:sz w:val="24"/>
          <w:szCs w:val="24"/>
        </w:rPr>
        <w:t>纸质</w:t>
      </w:r>
      <w:r w:rsidRPr="0057001F">
        <w:rPr>
          <w:rFonts w:ascii="宋体" w:cs="宋体"/>
          <w:kern w:val="0"/>
          <w:sz w:val="24"/>
          <w:szCs w:val="24"/>
        </w:rPr>
        <w:t>授权所需提供的文件</w:t>
      </w:r>
    </w:p>
    <w:p w:rsidR="0057001F" w:rsidRPr="0057001F" w:rsidRDefault="0057001F" w:rsidP="0057001F">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w:t>
      </w:r>
      <w:r w:rsidRPr="0057001F">
        <w:rPr>
          <w:rFonts w:ascii="宋体" w:cs="宋体"/>
          <w:kern w:val="0"/>
          <w:sz w:val="24"/>
          <w:szCs w:val="24"/>
        </w:rPr>
        <w:t>个人基金份额持有人授权委托他人投票的，应由委托人填妥并签署授权委托书原件（授权委托书的格式可参考附件</w:t>
      </w:r>
      <w:r w:rsidR="00D47433">
        <w:rPr>
          <w:rFonts w:ascii="宋体" w:cs="宋体" w:hint="eastAsia"/>
          <w:kern w:val="0"/>
          <w:sz w:val="24"/>
          <w:szCs w:val="24"/>
        </w:rPr>
        <w:t>五</w:t>
      </w:r>
      <w:r w:rsidRPr="0057001F">
        <w:rPr>
          <w:rFonts w:ascii="宋体" w:cs="宋体"/>
          <w:kern w:val="0"/>
          <w:sz w:val="24"/>
          <w:szCs w:val="24"/>
        </w:rPr>
        <w:t>的样本），并提供个人有效身份证件正反面复印件。如受托人为个人，还需提供受托人的有效身份证件正反面复印件；如受托人为机构，还需提供该受托人加盖公章的营业执照复印件（事业单位、社会团体或其他单位可使用加盖公章的事业单位法人登记证书、有权部门的批文、</w:t>
      </w:r>
      <w:r w:rsidR="00D47433">
        <w:rPr>
          <w:rFonts w:ascii="宋体" w:cs="宋体"/>
          <w:kern w:val="0"/>
          <w:sz w:val="24"/>
          <w:szCs w:val="24"/>
        </w:rPr>
        <w:t>开户证明或登记证书复印件等）</w:t>
      </w:r>
      <w:r w:rsidR="00D47433">
        <w:rPr>
          <w:rFonts w:ascii="宋体" w:cs="宋体" w:hint="eastAsia"/>
          <w:kern w:val="0"/>
          <w:sz w:val="24"/>
          <w:szCs w:val="24"/>
        </w:rPr>
        <w:t>。</w:t>
      </w:r>
    </w:p>
    <w:p w:rsidR="0057001F" w:rsidRPr="0057001F" w:rsidRDefault="00D47433" w:rsidP="00630C57">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57001F" w:rsidRPr="0057001F">
        <w:rPr>
          <w:rFonts w:ascii="宋体" w:cs="宋体"/>
          <w:kern w:val="0"/>
          <w:sz w:val="24"/>
          <w:szCs w:val="24"/>
        </w:rPr>
        <w:t>机构基金份额持有人授权委托他人投票的，应由委托人填妥授权委托书原件（授权委托书的格式可参考附件</w:t>
      </w:r>
      <w:r>
        <w:rPr>
          <w:rFonts w:ascii="宋体" w:cs="宋体" w:hint="eastAsia"/>
          <w:kern w:val="0"/>
          <w:sz w:val="24"/>
          <w:szCs w:val="24"/>
        </w:rPr>
        <w:t>五</w:t>
      </w:r>
      <w:r w:rsidR="0057001F" w:rsidRPr="0057001F">
        <w:rPr>
          <w:rFonts w:ascii="宋体" w:cs="宋体"/>
          <w:kern w:val="0"/>
          <w:sz w:val="24"/>
          <w:szCs w:val="24"/>
        </w:rPr>
        <w:t>的样本）并在授权委托书上加盖该机构公章，并提供该机构持有人加盖公章的营业执照复印件（事业单位、社会团体或其他单位可使用加盖公章的事业单位法人登记证书、有权部门的批文、开户证明或登记证书复印件等）。如受托人为个人，还需提供受托人的有效身份证件正反面复印件；如受托人为机构，还需提供该受托人加盖公章的营业执照复印件（事业单位、社会团体或其他单位可使用加盖公章的事业单位法人登记证书、有权部门的批文、开户证明或登记证书复印件等）。</w:t>
      </w:r>
    </w:p>
    <w:p w:rsidR="0057001F" w:rsidRDefault="00D47433" w:rsidP="0057001F">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（3）</w:t>
      </w:r>
      <w:r w:rsidR="0057001F" w:rsidRPr="0057001F">
        <w:rPr>
          <w:rFonts w:ascii="宋体" w:cs="宋体"/>
          <w:kern w:val="0"/>
          <w:sz w:val="24"/>
          <w:szCs w:val="24"/>
        </w:rPr>
        <w:t>以上各项中的公章、批文、开户证明、登记证书等，以基金管理人的认可为准。</w:t>
      </w:r>
    </w:p>
    <w:p w:rsidR="00D47433" w:rsidRDefault="00D47433" w:rsidP="0057001F">
      <w:pPr>
        <w:autoSpaceDE w:val="0"/>
        <w:autoSpaceDN w:val="0"/>
        <w:adjustRightInd w:val="0"/>
        <w:spacing w:line="360" w:lineRule="auto"/>
        <w:ind w:firstLineChars="200" w:firstLine="480"/>
        <w:rPr>
          <w:rFonts w:ascii="宋体" w:cs="宋体"/>
          <w:kern w:val="0"/>
          <w:sz w:val="24"/>
          <w:szCs w:val="24"/>
        </w:rPr>
      </w:pPr>
      <w:r w:rsidRPr="00D47433">
        <w:rPr>
          <w:rFonts w:ascii="宋体" w:cs="宋体" w:hint="eastAsia"/>
          <w:kern w:val="0"/>
          <w:sz w:val="24"/>
          <w:szCs w:val="24"/>
        </w:rPr>
        <w:t>3、</w:t>
      </w:r>
      <w:r w:rsidR="00514A0E">
        <w:rPr>
          <w:rFonts w:ascii="宋体" w:cs="宋体"/>
          <w:kern w:val="0"/>
          <w:sz w:val="24"/>
          <w:szCs w:val="24"/>
        </w:rPr>
        <w:t>纸质</w:t>
      </w:r>
      <w:r w:rsidRPr="00D47433">
        <w:rPr>
          <w:rFonts w:ascii="宋体" w:cs="宋体"/>
          <w:kern w:val="0"/>
          <w:sz w:val="24"/>
          <w:szCs w:val="24"/>
        </w:rPr>
        <w:t>授权文件的送达</w:t>
      </w:r>
    </w:p>
    <w:p w:rsidR="005B5D4C" w:rsidRDefault="00514A0E" w:rsidP="002E4FC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纸质</w:t>
      </w:r>
      <w:r w:rsidR="002E4FC5" w:rsidRPr="002E4FC5">
        <w:rPr>
          <w:rFonts w:ascii="宋体" w:cs="宋体" w:hint="eastAsia"/>
          <w:kern w:val="0"/>
          <w:sz w:val="24"/>
          <w:szCs w:val="24"/>
        </w:rPr>
        <w:t>授权文件应与</w:t>
      </w:r>
      <w:r>
        <w:rPr>
          <w:rFonts w:ascii="宋体" w:cs="宋体" w:hint="eastAsia"/>
          <w:kern w:val="0"/>
          <w:sz w:val="24"/>
          <w:szCs w:val="24"/>
        </w:rPr>
        <w:t>纸质</w:t>
      </w:r>
      <w:r w:rsidR="002E4FC5" w:rsidRPr="002E4FC5">
        <w:rPr>
          <w:rFonts w:ascii="宋体" w:cs="宋体" w:hint="eastAsia"/>
          <w:kern w:val="0"/>
          <w:sz w:val="24"/>
          <w:szCs w:val="24"/>
        </w:rPr>
        <w:t>表决票一同于会议投票表决起止时间内</w:t>
      </w:r>
      <w:r w:rsidR="002E4FC5" w:rsidRPr="00BB4B8B">
        <w:rPr>
          <w:rFonts w:ascii="宋体" w:cs="宋体"/>
          <w:kern w:val="0"/>
          <w:sz w:val="24"/>
          <w:szCs w:val="24"/>
        </w:rPr>
        <w:t>或召集人另行公告延迟后的最终投票表决截止时间以前</w:t>
      </w:r>
      <w:r w:rsidR="002E4FC5" w:rsidRPr="00F756F9">
        <w:rPr>
          <w:rFonts w:ascii="宋体" w:cs="宋体" w:hint="eastAsia"/>
          <w:kern w:val="0"/>
          <w:sz w:val="24"/>
          <w:szCs w:val="24"/>
        </w:rPr>
        <w:t>（</w:t>
      </w:r>
      <w:r w:rsidR="00A74685">
        <w:rPr>
          <w:rFonts w:ascii="宋体" w:cs="宋体" w:hint="eastAsia"/>
          <w:kern w:val="0"/>
          <w:sz w:val="24"/>
          <w:szCs w:val="24"/>
        </w:rPr>
        <w:t>投票</w:t>
      </w:r>
      <w:r w:rsidR="00EB3CB5">
        <w:rPr>
          <w:rFonts w:ascii="宋体" w:cs="宋体" w:hint="eastAsia"/>
          <w:kern w:val="0"/>
          <w:sz w:val="24"/>
          <w:szCs w:val="24"/>
        </w:rPr>
        <w:t>表决</w:t>
      </w:r>
      <w:r w:rsidR="00A74685">
        <w:rPr>
          <w:rFonts w:ascii="宋体" w:cs="宋体" w:hint="eastAsia"/>
          <w:kern w:val="0"/>
          <w:sz w:val="24"/>
          <w:szCs w:val="24"/>
        </w:rPr>
        <w:t>时间</w:t>
      </w:r>
      <w:r w:rsidR="002E4FC5" w:rsidRPr="0096329D">
        <w:rPr>
          <w:rFonts w:ascii="宋体" w:cs="宋体" w:hint="eastAsia"/>
          <w:kern w:val="0"/>
          <w:sz w:val="24"/>
          <w:szCs w:val="24"/>
        </w:rPr>
        <w:t>以本公告列明的</w:t>
      </w:r>
      <w:r>
        <w:rPr>
          <w:rFonts w:ascii="宋体" w:cs="宋体" w:hint="eastAsia"/>
          <w:kern w:val="0"/>
          <w:sz w:val="24"/>
          <w:szCs w:val="24"/>
        </w:rPr>
        <w:t>纸质</w:t>
      </w:r>
      <w:r w:rsidR="002E4FC5">
        <w:rPr>
          <w:rFonts w:ascii="宋体" w:cs="宋体" w:hint="eastAsia"/>
          <w:kern w:val="0"/>
          <w:sz w:val="24"/>
          <w:szCs w:val="24"/>
        </w:rPr>
        <w:t>表决票的寄达地点</w:t>
      </w:r>
      <w:r w:rsidR="002E4FC5" w:rsidRPr="0096329D">
        <w:rPr>
          <w:rFonts w:ascii="宋体" w:cs="宋体" w:hint="eastAsia"/>
          <w:kern w:val="0"/>
          <w:sz w:val="24"/>
          <w:szCs w:val="24"/>
        </w:rPr>
        <w:t>收到表决票时间为准</w:t>
      </w:r>
      <w:r w:rsidR="002E4FC5" w:rsidRPr="00F756F9">
        <w:rPr>
          <w:rFonts w:ascii="宋体" w:cs="宋体" w:hint="eastAsia"/>
          <w:kern w:val="0"/>
          <w:sz w:val="24"/>
          <w:szCs w:val="24"/>
        </w:rPr>
        <w:t>）通过专人送交或邮寄的方式送达至</w:t>
      </w:r>
      <w:r w:rsidR="002E4FC5">
        <w:rPr>
          <w:rFonts w:ascii="宋体" w:cs="宋体" w:hint="eastAsia"/>
          <w:kern w:val="0"/>
          <w:sz w:val="24"/>
          <w:szCs w:val="24"/>
        </w:rPr>
        <w:t>本公告列明的寄达地点。</w:t>
      </w:r>
    </w:p>
    <w:p w:rsidR="00DF6EB6" w:rsidRDefault="005B5D4C" w:rsidP="002C2368">
      <w:pPr>
        <w:autoSpaceDE w:val="0"/>
        <w:autoSpaceDN w:val="0"/>
        <w:adjustRightInd w:val="0"/>
        <w:spacing w:line="360" w:lineRule="auto"/>
        <w:ind w:firstLineChars="200" w:firstLine="480"/>
        <w:rPr>
          <w:rFonts w:ascii="宋体" w:cs="宋体"/>
          <w:kern w:val="0"/>
          <w:sz w:val="24"/>
          <w:szCs w:val="24"/>
        </w:rPr>
      </w:pPr>
      <w:r w:rsidRPr="005B5D4C">
        <w:rPr>
          <w:rFonts w:ascii="宋体" w:cs="宋体" w:hint="eastAsia"/>
          <w:kern w:val="0"/>
          <w:sz w:val="24"/>
          <w:szCs w:val="24"/>
        </w:rPr>
        <w:t>基金份额持有人纸</w:t>
      </w:r>
      <w:r>
        <w:rPr>
          <w:rFonts w:ascii="宋体" w:cs="宋体" w:hint="eastAsia"/>
          <w:kern w:val="0"/>
          <w:sz w:val="24"/>
          <w:szCs w:val="24"/>
        </w:rPr>
        <w:t>质</w:t>
      </w:r>
      <w:r w:rsidRPr="005B5D4C">
        <w:rPr>
          <w:rFonts w:ascii="宋体" w:cs="宋体" w:hint="eastAsia"/>
          <w:kern w:val="0"/>
          <w:sz w:val="24"/>
          <w:szCs w:val="24"/>
        </w:rPr>
        <w:t>授权文件的送达方式、送达时间、收件地址、联系方式等与</w:t>
      </w:r>
      <w:r w:rsidR="007F4AE3">
        <w:rPr>
          <w:rFonts w:ascii="宋体" w:cs="宋体" w:hint="eastAsia"/>
          <w:kern w:val="0"/>
          <w:sz w:val="24"/>
          <w:szCs w:val="24"/>
        </w:rPr>
        <w:t>纸质</w:t>
      </w:r>
      <w:r w:rsidRPr="005B5D4C">
        <w:rPr>
          <w:rFonts w:ascii="宋体" w:cs="宋体" w:hint="eastAsia"/>
          <w:kern w:val="0"/>
          <w:sz w:val="24"/>
          <w:szCs w:val="24"/>
        </w:rPr>
        <w:t>表决票送达要求一致。</w:t>
      </w:r>
    </w:p>
    <w:p w:rsidR="00D47433" w:rsidRPr="0057001F" w:rsidRDefault="00D47433" w:rsidP="002E4FC5">
      <w:pPr>
        <w:autoSpaceDE w:val="0"/>
        <w:autoSpaceDN w:val="0"/>
        <w:adjustRightInd w:val="0"/>
        <w:spacing w:line="360" w:lineRule="auto"/>
        <w:ind w:firstLineChars="200" w:firstLine="480"/>
        <w:rPr>
          <w:rFonts w:ascii="宋体" w:cs="宋体"/>
          <w:kern w:val="0"/>
          <w:sz w:val="24"/>
          <w:szCs w:val="24"/>
        </w:rPr>
      </w:pPr>
    </w:p>
    <w:p w:rsidR="00E027A1" w:rsidRDefault="0042398C"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（二）</w:t>
      </w:r>
      <w:r w:rsidR="004C6B29" w:rsidRPr="003D42AC">
        <w:rPr>
          <w:rFonts w:ascii="宋体" w:cs="宋体" w:hint="eastAsia"/>
          <w:kern w:val="0"/>
          <w:sz w:val="24"/>
          <w:szCs w:val="24"/>
        </w:rPr>
        <w:t>录音电话</w:t>
      </w:r>
      <w:r w:rsidR="004C6B29">
        <w:rPr>
          <w:rFonts w:ascii="宋体" w:cs="宋体" w:hint="eastAsia"/>
          <w:kern w:val="0"/>
          <w:sz w:val="24"/>
          <w:szCs w:val="24"/>
        </w:rPr>
        <w:t>方式</w:t>
      </w:r>
      <w:r w:rsidR="004C6B29" w:rsidRPr="003D42AC">
        <w:rPr>
          <w:rFonts w:ascii="宋体" w:cs="宋体" w:hint="eastAsia"/>
          <w:kern w:val="0"/>
          <w:sz w:val="24"/>
          <w:szCs w:val="24"/>
        </w:rPr>
        <w:t>授权</w:t>
      </w:r>
      <w:r w:rsidR="00691FC8" w:rsidRPr="00652051">
        <w:rPr>
          <w:rFonts w:ascii="宋体" w:cs="宋体" w:hint="eastAsia"/>
          <w:kern w:val="0"/>
          <w:sz w:val="24"/>
          <w:szCs w:val="24"/>
        </w:rPr>
        <w:t>（仅适用于个人投资者）</w:t>
      </w:r>
    </w:p>
    <w:p w:rsidR="002A7AC7" w:rsidRDefault="0006449A" w:rsidP="00630C57">
      <w:pPr>
        <w:autoSpaceDE w:val="0"/>
        <w:autoSpaceDN w:val="0"/>
        <w:adjustRightInd w:val="0"/>
        <w:spacing w:line="360" w:lineRule="auto"/>
        <w:ind w:firstLineChars="200" w:firstLine="480"/>
        <w:rPr>
          <w:rFonts w:ascii="宋体" w:cs="宋体"/>
          <w:kern w:val="0"/>
          <w:sz w:val="24"/>
          <w:szCs w:val="24"/>
        </w:rPr>
      </w:pPr>
      <w:r w:rsidRPr="0006449A">
        <w:rPr>
          <w:rFonts w:ascii="宋体" w:cs="宋体" w:hint="eastAsia"/>
          <w:kern w:val="0"/>
          <w:sz w:val="24"/>
          <w:szCs w:val="24"/>
        </w:rPr>
        <w:t>1、基金份额持有人</w:t>
      </w:r>
      <w:r w:rsidR="002A7AC7" w:rsidRPr="002A7AC7">
        <w:rPr>
          <w:rFonts w:ascii="宋体" w:cs="宋体"/>
          <w:kern w:val="0"/>
          <w:sz w:val="24"/>
          <w:szCs w:val="24"/>
        </w:rPr>
        <w:t>可拨打基金管理人或基金销售机构客户服务电话，并按提示确认身份后授权</w:t>
      </w:r>
      <w:r w:rsidR="003E34D1" w:rsidRPr="003E34D1">
        <w:rPr>
          <w:rFonts w:ascii="宋体" w:cs="宋体"/>
          <w:kern w:val="0"/>
          <w:sz w:val="24"/>
          <w:szCs w:val="24"/>
        </w:rPr>
        <w:t>基金管理人或基金销售机构</w:t>
      </w:r>
      <w:r w:rsidR="003E34D1" w:rsidRPr="003E34D1">
        <w:rPr>
          <w:rFonts w:ascii="宋体" w:cs="宋体" w:hint="eastAsia"/>
          <w:kern w:val="0"/>
          <w:sz w:val="24"/>
          <w:szCs w:val="24"/>
        </w:rPr>
        <w:t>行使表决权</w:t>
      </w:r>
      <w:r w:rsidR="004901BE">
        <w:rPr>
          <w:rFonts w:ascii="宋体" w:cs="宋体" w:hint="eastAsia"/>
          <w:kern w:val="0"/>
          <w:sz w:val="24"/>
          <w:szCs w:val="24"/>
        </w:rPr>
        <w:t>，实际以基金管理人和各销售机构</w:t>
      </w:r>
      <w:r w:rsidR="00957D16">
        <w:rPr>
          <w:rFonts w:ascii="宋体" w:cs="宋体" w:hint="eastAsia"/>
          <w:kern w:val="0"/>
          <w:sz w:val="24"/>
          <w:szCs w:val="24"/>
        </w:rPr>
        <w:t>具体情况为准</w:t>
      </w:r>
      <w:r w:rsidR="002A7AC7" w:rsidRPr="002A7AC7">
        <w:rPr>
          <w:rFonts w:ascii="宋体" w:cs="宋体"/>
          <w:kern w:val="0"/>
          <w:sz w:val="24"/>
          <w:szCs w:val="24"/>
        </w:rPr>
        <w:t>。基金管理人及基金销售机构的呼叫中心也可主动与</w:t>
      </w:r>
      <w:r w:rsidR="002A7AC7">
        <w:rPr>
          <w:rFonts w:ascii="宋体" w:cs="宋体" w:hint="eastAsia"/>
          <w:kern w:val="0"/>
          <w:sz w:val="24"/>
          <w:szCs w:val="24"/>
        </w:rPr>
        <w:t>基金份额</w:t>
      </w:r>
      <w:r w:rsidR="002A7AC7" w:rsidRPr="002A7AC7">
        <w:rPr>
          <w:rFonts w:ascii="宋体" w:cs="宋体"/>
          <w:kern w:val="0"/>
          <w:sz w:val="24"/>
          <w:szCs w:val="24"/>
        </w:rPr>
        <w:t>持有人取得联系，在通话过程中以回答提问方式核实</w:t>
      </w:r>
      <w:r w:rsidR="002A7AC7">
        <w:rPr>
          <w:rFonts w:ascii="宋体" w:cs="宋体" w:hint="eastAsia"/>
          <w:kern w:val="0"/>
          <w:sz w:val="24"/>
          <w:szCs w:val="24"/>
        </w:rPr>
        <w:t>基金份额</w:t>
      </w:r>
      <w:r w:rsidR="002A7AC7" w:rsidRPr="002A7AC7">
        <w:rPr>
          <w:rFonts w:ascii="宋体" w:cs="宋体"/>
          <w:kern w:val="0"/>
          <w:sz w:val="24"/>
          <w:szCs w:val="24"/>
        </w:rPr>
        <w:t>持有人身份后，</w:t>
      </w:r>
      <w:r w:rsidR="003E34D1" w:rsidRPr="003E34D1">
        <w:rPr>
          <w:rFonts w:ascii="宋体" w:cs="宋体"/>
          <w:kern w:val="0"/>
          <w:sz w:val="24"/>
          <w:szCs w:val="24"/>
        </w:rPr>
        <w:t>基金管理人及基金销售机构</w:t>
      </w:r>
      <w:r w:rsidR="002A7AC7" w:rsidRPr="002A7AC7">
        <w:rPr>
          <w:rFonts w:ascii="宋体" w:cs="宋体"/>
          <w:kern w:val="0"/>
          <w:sz w:val="24"/>
          <w:szCs w:val="24"/>
        </w:rPr>
        <w:t>根据</w:t>
      </w:r>
      <w:r w:rsidR="002A7AC7">
        <w:rPr>
          <w:rFonts w:ascii="宋体" w:cs="宋体" w:hint="eastAsia"/>
          <w:kern w:val="0"/>
          <w:sz w:val="24"/>
          <w:szCs w:val="24"/>
        </w:rPr>
        <w:t>基金份额</w:t>
      </w:r>
      <w:r w:rsidR="002A7AC7" w:rsidRPr="002A7AC7">
        <w:rPr>
          <w:rFonts w:ascii="宋体" w:cs="宋体"/>
          <w:kern w:val="0"/>
          <w:sz w:val="24"/>
          <w:szCs w:val="24"/>
        </w:rPr>
        <w:t>持有人意愿进行授权记录并</w:t>
      </w:r>
      <w:r w:rsidR="003E34D1">
        <w:rPr>
          <w:rFonts w:ascii="宋体" w:cs="宋体" w:hint="eastAsia"/>
          <w:kern w:val="0"/>
          <w:sz w:val="24"/>
          <w:szCs w:val="24"/>
        </w:rPr>
        <w:t>获得</w:t>
      </w:r>
      <w:r w:rsidR="002A7AC7" w:rsidRPr="002A7AC7">
        <w:rPr>
          <w:rFonts w:ascii="宋体" w:cs="宋体"/>
          <w:kern w:val="0"/>
          <w:sz w:val="24"/>
          <w:szCs w:val="24"/>
        </w:rPr>
        <w:t>授权。为保护基金份额持有人利益，整个通话过程将被录音。</w:t>
      </w:r>
    </w:p>
    <w:p w:rsidR="0006449A" w:rsidRPr="0006449A"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06449A" w:rsidRPr="0006449A">
        <w:rPr>
          <w:rFonts w:ascii="宋体" w:cs="宋体" w:hint="eastAsia"/>
          <w:kern w:val="0"/>
          <w:sz w:val="24"/>
          <w:szCs w:val="24"/>
        </w:rPr>
        <w:t>此授权方式的</w:t>
      </w:r>
      <w:r w:rsidR="0027176C">
        <w:rPr>
          <w:rFonts w:ascii="宋体" w:cs="宋体" w:hint="eastAsia"/>
          <w:kern w:val="0"/>
          <w:sz w:val="24"/>
          <w:szCs w:val="24"/>
        </w:rPr>
        <w:t>截</w:t>
      </w:r>
      <w:r w:rsidR="0006449A" w:rsidRPr="0006449A">
        <w:rPr>
          <w:rFonts w:ascii="宋体" w:cs="宋体" w:hint="eastAsia"/>
          <w:kern w:val="0"/>
          <w:sz w:val="24"/>
          <w:szCs w:val="24"/>
        </w:rPr>
        <w:t>止时间为</w:t>
      </w:r>
      <w:r w:rsidR="00555CB8">
        <w:rPr>
          <w:rFonts w:ascii="宋体" w:cs="宋体" w:hint="eastAsia"/>
          <w:kern w:val="0"/>
          <w:sz w:val="24"/>
          <w:szCs w:val="24"/>
        </w:rPr>
        <w:t>202</w:t>
      </w:r>
      <w:r w:rsidR="00555CB8">
        <w:rPr>
          <w:rFonts w:ascii="宋体" w:cs="宋体"/>
          <w:kern w:val="0"/>
          <w:sz w:val="24"/>
          <w:szCs w:val="24"/>
        </w:rPr>
        <w:t>5</w:t>
      </w:r>
      <w:r w:rsidR="001A30B3" w:rsidRPr="001A30B3">
        <w:rPr>
          <w:rFonts w:ascii="宋体" w:cs="宋体" w:hint="eastAsia"/>
          <w:kern w:val="0"/>
          <w:sz w:val="24"/>
          <w:szCs w:val="24"/>
        </w:rPr>
        <w:t>年</w:t>
      </w:r>
      <w:r w:rsidR="00555CB8">
        <w:rPr>
          <w:rFonts w:ascii="宋体" w:cs="宋体"/>
          <w:kern w:val="0"/>
          <w:sz w:val="24"/>
          <w:szCs w:val="24"/>
        </w:rPr>
        <w:t>2</w:t>
      </w:r>
      <w:r w:rsidR="001A30B3" w:rsidRPr="001A30B3">
        <w:rPr>
          <w:rFonts w:ascii="宋体" w:cs="宋体" w:hint="eastAsia"/>
          <w:kern w:val="0"/>
          <w:sz w:val="24"/>
          <w:szCs w:val="24"/>
        </w:rPr>
        <w:t>月</w:t>
      </w:r>
      <w:r w:rsidR="00555CB8">
        <w:rPr>
          <w:rFonts w:ascii="宋体" w:cs="宋体"/>
          <w:kern w:val="0"/>
          <w:sz w:val="24"/>
          <w:szCs w:val="24"/>
        </w:rPr>
        <w:t>28</w:t>
      </w:r>
      <w:r w:rsidR="001A30B3" w:rsidRPr="001A30B3">
        <w:rPr>
          <w:rFonts w:ascii="宋体" w:cs="宋体" w:hint="eastAsia"/>
          <w:kern w:val="0"/>
          <w:sz w:val="24"/>
          <w:szCs w:val="24"/>
        </w:rPr>
        <w:t>日</w:t>
      </w:r>
      <w:r w:rsidR="006828C6" w:rsidRPr="006828C6">
        <w:rPr>
          <w:rFonts w:ascii="宋体" w:cs="宋体" w:hint="eastAsia"/>
          <w:kern w:val="0"/>
          <w:sz w:val="24"/>
          <w:szCs w:val="24"/>
        </w:rPr>
        <w:t>（投票截止日前3个工作日）</w:t>
      </w:r>
      <w:r w:rsidR="001A30B3" w:rsidRPr="001A30B3">
        <w:rPr>
          <w:rFonts w:ascii="宋体" w:cs="宋体" w:hint="eastAsia"/>
          <w:kern w:val="0"/>
          <w:sz w:val="24"/>
          <w:szCs w:val="24"/>
        </w:rPr>
        <w:t>1</w:t>
      </w:r>
      <w:r w:rsidR="001A30B3">
        <w:rPr>
          <w:rFonts w:ascii="宋体" w:cs="宋体"/>
          <w:kern w:val="0"/>
          <w:sz w:val="24"/>
          <w:szCs w:val="24"/>
        </w:rPr>
        <w:t>5</w:t>
      </w:r>
      <w:r w:rsidR="001A30B3" w:rsidRPr="001A30B3">
        <w:rPr>
          <w:rFonts w:ascii="宋体" w:cs="宋体" w:hint="eastAsia"/>
          <w:kern w:val="0"/>
          <w:sz w:val="24"/>
          <w:szCs w:val="24"/>
        </w:rPr>
        <w:t>:00止</w:t>
      </w:r>
      <w:r w:rsidR="0006449A" w:rsidRPr="0006449A">
        <w:rPr>
          <w:rFonts w:ascii="宋体" w:cs="宋体" w:hint="eastAsia"/>
          <w:kern w:val="0"/>
          <w:sz w:val="24"/>
          <w:szCs w:val="24"/>
        </w:rPr>
        <w:t>。</w:t>
      </w:r>
      <w:r w:rsidR="00014DA3" w:rsidRPr="00014DA3">
        <w:rPr>
          <w:rFonts w:ascii="宋体" w:cs="宋体" w:hint="eastAsia"/>
          <w:kern w:val="0"/>
          <w:sz w:val="24"/>
          <w:szCs w:val="24"/>
        </w:rPr>
        <w:t>如基金管理人决定延迟投票表决截止时间的，则</w:t>
      </w:r>
      <w:r w:rsidR="00014DA3">
        <w:rPr>
          <w:rFonts w:ascii="宋体" w:cs="宋体" w:hint="eastAsia"/>
          <w:kern w:val="0"/>
          <w:sz w:val="24"/>
          <w:szCs w:val="24"/>
        </w:rPr>
        <w:t>电话</w:t>
      </w:r>
      <w:r w:rsidR="00014DA3" w:rsidRPr="00014DA3">
        <w:rPr>
          <w:rFonts w:ascii="宋体" w:cs="宋体" w:hint="eastAsia"/>
          <w:kern w:val="0"/>
          <w:sz w:val="24"/>
          <w:szCs w:val="24"/>
        </w:rPr>
        <w:t>授权截止时间相应延迟，届时以相关公告为准</w:t>
      </w:r>
      <w:r w:rsidR="00691FC8" w:rsidRPr="00691FC8">
        <w:rPr>
          <w:rFonts w:ascii="宋体" w:cs="宋体" w:hint="eastAsia"/>
          <w:kern w:val="0"/>
          <w:sz w:val="24"/>
          <w:szCs w:val="24"/>
        </w:rPr>
        <w:t>（授权时间以系统记录时间为准）</w:t>
      </w:r>
      <w:r w:rsidR="00014DA3" w:rsidRPr="00014DA3">
        <w:rPr>
          <w:rFonts w:ascii="宋体" w:cs="宋体" w:hint="eastAsia"/>
          <w:kern w:val="0"/>
          <w:sz w:val="24"/>
          <w:szCs w:val="24"/>
        </w:rPr>
        <w:t>。</w:t>
      </w:r>
    </w:p>
    <w:p w:rsidR="0006449A" w:rsidRPr="0006449A" w:rsidRDefault="0006449A" w:rsidP="00340485">
      <w:pPr>
        <w:autoSpaceDE w:val="0"/>
        <w:autoSpaceDN w:val="0"/>
        <w:adjustRightInd w:val="0"/>
        <w:spacing w:line="360" w:lineRule="auto"/>
        <w:ind w:firstLineChars="200" w:firstLine="480"/>
        <w:rPr>
          <w:rFonts w:ascii="宋体" w:cs="宋体"/>
          <w:kern w:val="0"/>
          <w:sz w:val="24"/>
          <w:szCs w:val="24"/>
        </w:rPr>
      </w:pPr>
      <w:r w:rsidRPr="0006449A">
        <w:rPr>
          <w:rFonts w:ascii="宋体" w:cs="宋体"/>
          <w:kern w:val="0"/>
          <w:sz w:val="24"/>
          <w:szCs w:val="24"/>
        </w:rPr>
        <w:t>3</w:t>
      </w:r>
      <w:r w:rsidRPr="0006449A">
        <w:rPr>
          <w:rFonts w:ascii="宋体" w:cs="宋体" w:hint="eastAsia"/>
          <w:kern w:val="0"/>
          <w:sz w:val="24"/>
          <w:szCs w:val="24"/>
        </w:rPr>
        <w:t>、</w:t>
      </w:r>
      <w:r w:rsidRPr="0006449A">
        <w:rPr>
          <w:rFonts w:ascii="宋体" w:cs="宋体"/>
          <w:kern w:val="0"/>
          <w:sz w:val="24"/>
          <w:szCs w:val="24"/>
        </w:rPr>
        <w:t>基金份额持有人通过电话授权基金管理人</w:t>
      </w:r>
      <w:r w:rsidR="00014DA3">
        <w:rPr>
          <w:rFonts w:ascii="宋体" w:cs="宋体" w:hint="eastAsia"/>
          <w:kern w:val="0"/>
          <w:sz w:val="24"/>
          <w:szCs w:val="24"/>
        </w:rPr>
        <w:t>或基金销售机构</w:t>
      </w:r>
      <w:r w:rsidRPr="0006449A">
        <w:rPr>
          <w:rFonts w:ascii="宋体" w:cs="宋体"/>
          <w:kern w:val="0"/>
          <w:sz w:val="24"/>
          <w:szCs w:val="24"/>
        </w:rPr>
        <w:t>进行投票</w:t>
      </w:r>
      <w:r w:rsidR="008B192B">
        <w:rPr>
          <w:rFonts w:ascii="宋体" w:cs="宋体" w:hint="eastAsia"/>
          <w:kern w:val="0"/>
          <w:sz w:val="24"/>
          <w:szCs w:val="24"/>
        </w:rPr>
        <w:t>的</w:t>
      </w:r>
      <w:r w:rsidRPr="0006449A">
        <w:rPr>
          <w:rFonts w:ascii="宋体" w:cs="宋体"/>
          <w:kern w:val="0"/>
          <w:sz w:val="24"/>
          <w:szCs w:val="24"/>
        </w:rPr>
        <w:t>方式仅</w:t>
      </w:r>
      <w:r w:rsidRPr="0006449A">
        <w:rPr>
          <w:rFonts w:ascii="宋体" w:cs="宋体" w:hint="eastAsia"/>
          <w:kern w:val="0"/>
          <w:sz w:val="24"/>
          <w:szCs w:val="24"/>
        </w:rPr>
        <w:t>适用于</w:t>
      </w:r>
      <w:r w:rsidR="007A3031">
        <w:rPr>
          <w:rFonts w:ascii="宋体" w:cs="宋体" w:hint="eastAsia"/>
          <w:kern w:val="0"/>
          <w:sz w:val="24"/>
          <w:szCs w:val="24"/>
        </w:rPr>
        <w:t>个人投资者</w:t>
      </w:r>
      <w:r w:rsidRPr="0006449A">
        <w:rPr>
          <w:rFonts w:ascii="宋体" w:cs="宋体" w:hint="eastAsia"/>
          <w:kern w:val="0"/>
          <w:sz w:val="24"/>
          <w:szCs w:val="24"/>
        </w:rPr>
        <w:t>。</w:t>
      </w:r>
    </w:p>
    <w:p w:rsidR="00014DA3" w:rsidRDefault="00014DA3" w:rsidP="00340485">
      <w:pPr>
        <w:autoSpaceDE w:val="0"/>
        <w:autoSpaceDN w:val="0"/>
        <w:adjustRightInd w:val="0"/>
        <w:spacing w:line="360" w:lineRule="auto"/>
        <w:ind w:firstLineChars="200" w:firstLine="480"/>
        <w:rPr>
          <w:rFonts w:ascii="宋体" w:cs="宋体"/>
          <w:kern w:val="0"/>
          <w:sz w:val="24"/>
          <w:szCs w:val="24"/>
        </w:rPr>
      </w:pPr>
    </w:p>
    <w:p w:rsidR="000C5C17" w:rsidRDefault="00014DA3" w:rsidP="00340485">
      <w:pPr>
        <w:autoSpaceDE w:val="0"/>
        <w:autoSpaceDN w:val="0"/>
        <w:adjustRightInd w:val="0"/>
        <w:spacing w:line="360" w:lineRule="auto"/>
        <w:ind w:firstLineChars="200" w:firstLine="480"/>
        <w:outlineLvl w:val="2"/>
        <w:rPr>
          <w:rFonts w:ascii="宋体" w:cs="宋体"/>
          <w:kern w:val="0"/>
          <w:sz w:val="24"/>
          <w:szCs w:val="24"/>
        </w:rPr>
      </w:pPr>
      <w:r>
        <w:rPr>
          <w:rFonts w:ascii="宋体" w:cs="宋体" w:hint="eastAsia"/>
          <w:kern w:val="0"/>
          <w:sz w:val="24"/>
          <w:szCs w:val="24"/>
        </w:rPr>
        <w:t>（三）网络方式</w:t>
      </w:r>
      <w:r w:rsidR="0059632C">
        <w:rPr>
          <w:rFonts w:ascii="宋体" w:cs="宋体" w:hint="eastAsia"/>
          <w:kern w:val="0"/>
          <w:sz w:val="24"/>
          <w:szCs w:val="24"/>
        </w:rPr>
        <w:t>授权</w:t>
      </w:r>
      <w:r w:rsidR="00691FC8" w:rsidRPr="00652051">
        <w:rPr>
          <w:rFonts w:ascii="宋体" w:cs="宋体" w:hint="eastAsia"/>
          <w:kern w:val="0"/>
          <w:sz w:val="24"/>
          <w:szCs w:val="24"/>
        </w:rPr>
        <w:t>（仅适用于个人投资者）</w:t>
      </w:r>
    </w:p>
    <w:p w:rsidR="002F23E8" w:rsidRPr="002F23E8" w:rsidRDefault="007030E3" w:rsidP="00630C57">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w:t>
      </w:r>
      <w:r w:rsidR="002F23E8" w:rsidRPr="002F23E8">
        <w:rPr>
          <w:rFonts w:ascii="宋体" w:cs="宋体"/>
          <w:kern w:val="0"/>
          <w:sz w:val="24"/>
          <w:szCs w:val="24"/>
        </w:rPr>
        <w:t>基金管理人可在基金管理人官网</w:t>
      </w:r>
      <w:r w:rsidR="002A7AC7" w:rsidRPr="002A7AC7">
        <w:rPr>
          <w:rFonts w:ascii="宋体" w:cs="宋体" w:hint="eastAsia"/>
          <w:kern w:val="0"/>
          <w:sz w:val="24"/>
          <w:szCs w:val="24"/>
        </w:rPr>
        <w:t>（</w:t>
      </w:r>
      <w:r w:rsidR="002A7AC7" w:rsidRPr="002A7AC7">
        <w:rPr>
          <w:rFonts w:ascii="宋体" w:cs="宋体"/>
          <w:kern w:val="0"/>
          <w:sz w:val="24"/>
          <w:szCs w:val="24"/>
        </w:rPr>
        <w:t>www.</w:t>
      </w:r>
      <w:r w:rsidR="002A7AC7" w:rsidRPr="002A7AC7">
        <w:rPr>
          <w:rFonts w:ascii="宋体" w:cs="宋体" w:hint="eastAsia"/>
          <w:kern w:val="0"/>
          <w:sz w:val="24"/>
          <w:szCs w:val="24"/>
        </w:rPr>
        <w:t>dfham</w:t>
      </w:r>
      <w:r w:rsidR="002A7AC7" w:rsidRPr="002A7AC7">
        <w:rPr>
          <w:rFonts w:ascii="宋体" w:cs="宋体"/>
          <w:kern w:val="0"/>
          <w:sz w:val="24"/>
          <w:szCs w:val="24"/>
        </w:rPr>
        <w:t>.com</w:t>
      </w:r>
      <w:r w:rsidR="002A7AC7" w:rsidRPr="002A7AC7">
        <w:rPr>
          <w:rFonts w:ascii="宋体" w:cs="宋体" w:hint="eastAsia"/>
          <w:kern w:val="0"/>
          <w:sz w:val="24"/>
          <w:szCs w:val="24"/>
        </w:rPr>
        <w:t>）、官方微信平台（dfh_zcgl）、东方红资产管理APP</w:t>
      </w:r>
      <w:r w:rsidR="002F23E8" w:rsidRPr="002F23E8">
        <w:rPr>
          <w:rFonts w:ascii="宋体" w:cs="宋体"/>
          <w:kern w:val="0"/>
          <w:sz w:val="24"/>
          <w:szCs w:val="24"/>
        </w:rPr>
        <w:t>等官方平台设立网络授权专区，基金份额持有人可</w:t>
      </w:r>
      <w:r w:rsidR="003E34D1" w:rsidRPr="003E34D1">
        <w:rPr>
          <w:rFonts w:ascii="宋体" w:cs="宋体" w:hint="eastAsia"/>
          <w:kern w:val="0"/>
          <w:sz w:val="24"/>
          <w:szCs w:val="24"/>
        </w:rPr>
        <w:t>通过网络授权专区，或登录网址</w:t>
      </w:r>
      <w:r w:rsidR="006828C6" w:rsidRPr="006828C6">
        <w:rPr>
          <w:rFonts w:ascii="宋体" w:cs="宋体"/>
          <w:kern w:val="0"/>
          <w:sz w:val="24"/>
          <w:szCs w:val="24"/>
        </w:rPr>
        <w:t>https://dfham.com/s/y</w:t>
      </w:r>
      <w:r w:rsidR="003E34D1" w:rsidRPr="003E34D1">
        <w:rPr>
          <w:rFonts w:ascii="宋体" w:cs="宋体" w:hint="eastAsia"/>
          <w:kern w:val="0"/>
          <w:sz w:val="24"/>
          <w:szCs w:val="24"/>
        </w:rPr>
        <w:t>，</w:t>
      </w:r>
      <w:r w:rsidR="002F23E8" w:rsidRPr="002F23E8">
        <w:rPr>
          <w:rFonts w:ascii="宋体" w:cs="宋体"/>
          <w:kern w:val="0"/>
          <w:sz w:val="24"/>
          <w:szCs w:val="24"/>
        </w:rPr>
        <w:t>按提示进行网络授权操作，授权基金管理人代为行使表决权。基金份额持有人通过基金管理人官网或其他官方平台网络</w:t>
      </w:r>
      <w:r w:rsidR="002F23E8" w:rsidRPr="008764B2">
        <w:rPr>
          <w:rFonts w:ascii="宋体" w:cs="宋体"/>
          <w:kern w:val="0"/>
          <w:sz w:val="24"/>
          <w:szCs w:val="24"/>
        </w:rPr>
        <w:t>授权专区进行授权的</w:t>
      </w:r>
      <w:r w:rsidR="002F23E8" w:rsidRPr="002F23E8">
        <w:rPr>
          <w:rFonts w:ascii="宋体" w:cs="宋体"/>
          <w:kern w:val="0"/>
          <w:sz w:val="24"/>
          <w:szCs w:val="24"/>
        </w:rPr>
        <w:t>，基金管理人将核实基金份额持有人的身份，确保基金份额持有人权益。</w:t>
      </w:r>
    </w:p>
    <w:p w:rsidR="002F23E8" w:rsidRDefault="002A7AC7" w:rsidP="002F23E8">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2F23E8" w:rsidRPr="002F23E8">
        <w:rPr>
          <w:rFonts w:ascii="宋体" w:cs="宋体"/>
          <w:kern w:val="0"/>
          <w:sz w:val="24"/>
          <w:szCs w:val="24"/>
        </w:rPr>
        <w:t>本基金销售机构可在其指定网站或网络平台设立网络授权专区，基金份额持有人可按网页提示进行网络授权操作，授权基金管理人或基金销售机构代为行使表决权。基金份额持有人通过基金销售机构指定网站或网络平台进行授权的，基金销售机构将核实基金份额持有人的身份，确保基金份额持有人权益。</w:t>
      </w:r>
    </w:p>
    <w:p w:rsidR="006079BE"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3、</w:t>
      </w:r>
      <w:r w:rsidR="0027176C" w:rsidRPr="0006449A">
        <w:rPr>
          <w:rFonts w:ascii="宋体" w:cs="宋体" w:hint="eastAsia"/>
          <w:kern w:val="0"/>
          <w:sz w:val="24"/>
          <w:szCs w:val="24"/>
        </w:rPr>
        <w:t>此授权方式的</w:t>
      </w:r>
      <w:r w:rsidR="0027176C">
        <w:rPr>
          <w:rFonts w:ascii="宋体" w:cs="宋体" w:hint="eastAsia"/>
          <w:kern w:val="0"/>
          <w:sz w:val="24"/>
          <w:szCs w:val="24"/>
        </w:rPr>
        <w:t>截</w:t>
      </w:r>
      <w:r w:rsidR="0027176C" w:rsidRPr="0006449A">
        <w:rPr>
          <w:rFonts w:ascii="宋体" w:cs="宋体" w:hint="eastAsia"/>
          <w:kern w:val="0"/>
          <w:sz w:val="24"/>
          <w:szCs w:val="24"/>
        </w:rPr>
        <w:t>止时间为</w:t>
      </w:r>
      <w:r w:rsidR="006828C6">
        <w:rPr>
          <w:rFonts w:ascii="宋体" w:cs="宋体" w:hint="eastAsia"/>
          <w:kern w:val="0"/>
          <w:sz w:val="24"/>
          <w:szCs w:val="24"/>
        </w:rPr>
        <w:t>20</w:t>
      </w:r>
      <w:r w:rsidR="006828C6">
        <w:rPr>
          <w:rFonts w:ascii="宋体" w:cs="宋体"/>
          <w:kern w:val="0"/>
          <w:sz w:val="24"/>
          <w:szCs w:val="24"/>
        </w:rPr>
        <w:t>25</w:t>
      </w:r>
      <w:r w:rsidR="0027176C" w:rsidRPr="001A30B3">
        <w:rPr>
          <w:rFonts w:ascii="宋体" w:cs="宋体" w:hint="eastAsia"/>
          <w:kern w:val="0"/>
          <w:sz w:val="24"/>
          <w:szCs w:val="24"/>
        </w:rPr>
        <w:t>年</w:t>
      </w:r>
      <w:r w:rsidR="006828C6">
        <w:rPr>
          <w:rFonts w:ascii="宋体" w:cs="宋体"/>
          <w:kern w:val="0"/>
          <w:sz w:val="24"/>
          <w:szCs w:val="24"/>
        </w:rPr>
        <w:t>2</w:t>
      </w:r>
      <w:r w:rsidR="0027176C" w:rsidRPr="001A30B3">
        <w:rPr>
          <w:rFonts w:ascii="宋体" w:cs="宋体" w:hint="eastAsia"/>
          <w:kern w:val="0"/>
          <w:sz w:val="24"/>
          <w:szCs w:val="24"/>
        </w:rPr>
        <w:t>月</w:t>
      </w:r>
      <w:r w:rsidR="006828C6">
        <w:rPr>
          <w:rFonts w:ascii="宋体" w:cs="宋体"/>
          <w:kern w:val="0"/>
          <w:sz w:val="24"/>
          <w:szCs w:val="24"/>
        </w:rPr>
        <w:t>28</w:t>
      </w:r>
      <w:r w:rsidR="0027176C" w:rsidRPr="001A30B3">
        <w:rPr>
          <w:rFonts w:ascii="宋体" w:cs="宋体" w:hint="eastAsia"/>
          <w:kern w:val="0"/>
          <w:sz w:val="24"/>
          <w:szCs w:val="24"/>
        </w:rPr>
        <w:t>日</w:t>
      </w:r>
      <w:r w:rsidR="00882ABB" w:rsidRPr="006828C6">
        <w:rPr>
          <w:rFonts w:ascii="宋体" w:cs="宋体" w:hint="eastAsia"/>
          <w:kern w:val="0"/>
          <w:sz w:val="24"/>
          <w:szCs w:val="24"/>
        </w:rPr>
        <w:t>（投票截止日前3个工作日）</w:t>
      </w:r>
      <w:r w:rsidR="0027176C" w:rsidRPr="001A30B3">
        <w:rPr>
          <w:rFonts w:ascii="宋体" w:cs="宋体" w:hint="eastAsia"/>
          <w:kern w:val="0"/>
          <w:sz w:val="24"/>
          <w:szCs w:val="24"/>
        </w:rPr>
        <w:t>1</w:t>
      </w:r>
      <w:r w:rsidR="0027176C">
        <w:rPr>
          <w:rFonts w:ascii="宋体" w:cs="宋体"/>
          <w:kern w:val="0"/>
          <w:sz w:val="24"/>
          <w:szCs w:val="24"/>
        </w:rPr>
        <w:t>5</w:t>
      </w:r>
      <w:r w:rsidR="0027176C" w:rsidRPr="001A30B3">
        <w:rPr>
          <w:rFonts w:ascii="宋体" w:cs="宋体" w:hint="eastAsia"/>
          <w:kern w:val="0"/>
          <w:sz w:val="24"/>
          <w:szCs w:val="24"/>
        </w:rPr>
        <w:t>:00止</w:t>
      </w:r>
      <w:r w:rsidR="00BC0426" w:rsidRPr="0006449A">
        <w:rPr>
          <w:rFonts w:ascii="宋体" w:cs="宋体" w:hint="eastAsia"/>
          <w:kern w:val="0"/>
          <w:sz w:val="24"/>
          <w:szCs w:val="24"/>
        </w:rPr>
        <w:t>。</w:t>
      </w:r>
      <w:r w:rsidR="00BC0426" w:rsidRPr="00014DA3">
        <w:rPr>
          <w:rFonts w:ascii="宋体" w:cs="宋体" w:hint="eastAsia"/>
          <w:kern w:val="0"/>
          <w:sz w:val="24"/>
          <w:szCs w:val="24"/>
        </w:rPr>
        <w:t>如基金管理人决定延迟投票表决截止时间的，则</w:t>
      </w:r>
      <w:r w:rsidR="00BC0426">
        <w:rPr>
          <w:rFonts w:ascii="宋体" w:cs="宋体" w:hint="eastAsia"/>
          <w:kern w:val="0"/>
          <w:sz w:val="24"/>
          <w:szCs w:val="24"/>
        </w:rPr>
        <w:t>网络</w:t>
      </w:r>
      <w:r w:rsidR="00BC0426" w:rsidRPr="00014DA3">
        <w:rPr>
          <w:rFonts w:ascii="宋体" w:cs="宋体" w:hint="eastAsia"/>
          <w:kern w:val="0"/>
          <w:sz w:val="24"/>
          <w:szCs w:val="24"/>
        </w:rPr>
        <w:t>授权截止时间相应延迟，届时以相关公告为准</w:t>
      </w:r>
      <w:r w:rsidR="00691FC8" w:rsidRPr="00691FC8">
        <w:rPr>
          <w:rFonts w:ascii="宋体" w:cs="宋体" w:hint="eastAsia"/>
          <w:kern w:val="0"/>
          <w:sz w:val="24"/>
          <w:szCs w:val="24"/>
        </w:rPr>
        <w:t>（授权时间以系统记录时间为准）</w:t>
      </w:r>
      <w:r w:rsidR="00BC0426" w:rsidRPr="00014DA3">
        <w:rPr>
          <w:rFonts w:ascii="宋体" w:cs="宋体" w:hint="eastAsia"/>
          <w:kern w:val="0"/>
          <w:sz w:val="24"/>
          <w:szCs w:val="24"/>
        </w:rPr>
        <w:t>。</w:t>
      </w:r>
    </w:p>
    <w:p w:rsidR="00691FC8"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4</w:t>
      </w:r>
      <w:r>
        <w:rPr>
          <w:rFonts w:ascii="宋体" w:cs="宋体" w:hint="eastAsia"/>
          <w:kern w:val="0"/>
          <w:sz w:val="24"/>
          <w:szCs w:val="24"/>
        </w:rPr>
        <w:t>、</w:t>
      </w:r>
      <w:r w:rsidR="0059632C" w:rsidRPr="0006449A">
        <w:rPr>
          <w:rFonts w:ascii="宋体" w:cs="宋体"/>
          <w:kern w:val="0"/>
          <w:sz w:val="24"/>
          <w:szCs w:val="24"/>
        </w:rPr>
        <w:t>基金份额持有人通过</w:t>
      </w:r>
      <w:r w:rsidR="0059632C">
        <w:rPr>
          <w:rFonts w:ascii="宋体" w:cs="宋体" w:hint="eastAsia"/>
          <w:kern w:val="0"/>
          <w:sz w:val="24"/>
          <w:szCs w:val="24"/>
        </w:rPr>
        <w:t>网络</w:t>
      </w:r>
      <w:r w:rsidR="0059632C" w:rsidRPr="0006449A">
        <w:rPr>
          <w:rFonts w:ascii="宋体" w:cs="宋体"/>
          <w:kern w:val="0"/>
          <w:sz w:val="24"/>
          <w:szCs w:val="24"/>
        </w:rPr>
        <w:t>授权</w:t>
      </w:r>
      <w:r w:rsidR="00AD3586" w:rsidRPr="0006449A">
        <w:rPr>
          <w:rFonts w:ascii="宋体" w:cs="宋体"/>
          <w:kern w:val="0"/>
          <w:sz w:val="24"/>
          <w:szCs w:val="24"/>
        </w:rPr>
        <w:t>基金管理人</w:t>
      </w:r>
      <w:r w:rsidR="00AD3586">
        <w:rPr>
          <w:rFonts w:ascii="宋体" w:cs="宋体" w:hint="eastAsia"/>
          <w:kern w:val="0"/>
          <w:sz w:val="24"/>
          <w:szCs w:val="24"/>
        </w:rPr>
        <w:t>或基金销售机构</w:t>
      </w:r>
      <w:r w:rsidR="00AD16B5" w:rsidRPr="00AD16B5">
        <w:rPr>
          <w:rFonts w:ascii="宋体" w:cs="宋体" w:hint="eastAsia"/>
          <w:kern w:val="0"/>
          <w:sz w:val="24"/>
          <w:szCs w:val="24"/>
        </w:rPr>
        <w:t>进行投票</w:t>
      </w:r>
      <w:r w:rsidR="008B192B">
        <w:rPr>
          <w:rFonts w:ascii="宋体" w:cs="宋体" w:hint="eastAsia"/>
          <w:kern w:val="0"/>
          <w:sz w:val="24"/>
          <w:szCs w:val="24"/>
        </w:rPr>
        <w:t>的</w:t>
      </w:r>
      <w:r w:rsidR="0059632C" w:rsidRPr="0006449A">
        <w:rPr>
          <w:rFonts w:ascii="宋体" w:cs="宋体"/>
          <w:kern w:val="0"/>
          <w:sz w:val="24"/>
          <w:szCs w:val="24"/>
        </w:rPr>
        <w:t>方式仅</w:t>
      </w:r>
      <w:r w:rsidR="0059632C" w:rsidRPr="0006449A">
        <w:rPr>
          <w:rFonts w:ascii="宋体" w:cs="宋体" w:hint="eastAsia"/>
          <w:kern w:val="0"/>
          <w:sz w:val="24"/>
          <w:szCs w:val="24"/>
        </w:rPr>
        <w:t>适用于</w:t>
      </w:r>
      <w:r w:rsidR="0059632C">
        <w:rPr>
          <w:rFonts w:ascii="宋体" w:cs="宋体" w:hint="eastAsia"/>
          <w:kern w:val="0"/>
          <w:sz w:val="24"/>
          <w:szCs w:val="24"/>
        </w:rPr>
        <w:t>个人投资者</w:t>
      </w:r>
      <w:r w:rsidR="0059632C" w:rsidRPr="0006449A">
        <w:rPr>
          <w:rFonts w:ascii="宋体" w:cs="宋体" w:hint="eastAsia"/>
          <w:kern w:val="0"/>
          <w:sz w:val="24"/>
          <w:szCs w:val="24"/>
        </w:rPr>
        <w:t>。</w:t>
      </w:r>
    </w:p>
    <w:p w:rsidR="00691FC8" w:rsidRPr="00420652" w:rsidRDefault="00691FC8" w:rsidP="00340485">
      <w:pPr>
        <w:autoSpaceDE w:val="0"/>
        <w:autoSpaceDN w:val="0"/>
        <w:adjustRightInd w:val="0"/>
        <w:spacing w:line="360" w:lineRule="auto"/>
        <w:ind w:firstLineChars="200" w:firstLine="480"/>
        <w:rPr>
          <w:rFonts w:ascii="宋体" w:cs="宋体"/>
          <w:kern w:val="0"/>
          <w:sz w:val="24"/>
          <w:szCs w:val="24"/>
        </w:rPr>
      </w:pPr>
    </w:p>
    <w:p w:rsidR="00691FC8" w:rsidRDefault="00691FC8" w:rsidP="00340485">
      <w:pPr>
        <w:autoSpaceDE w:val="0"/>
        <w:autoSpaceDN w:val="0"/>
        <w:adjustRightInd w:val="0"/>
        <w:spacing w:line="360" w:lineRule="auto"/>
        <w:ind w:firstLineChars="200" w:firstLine="480"/>
        <w:outlineLvl w:val="2"/>
        <w:rPr>
          <w:rFonts w:ascii="宋体" w:cs="宋体"/>
          <w:kern w:val="0"/>
          <w:sz w:val="24"/>
          <w:szCs w:val="24"/>
        </w:rPr>
      </w:pPr>
      <w:r w:rsidRPr="00691FC8">
        <w:rPr>
          <w:rFonts w:ascii="宋体" w:cs="宋体" w:hint="eastAsia"/>
          <w:kern w:val="0"/>
          <w:sz w:val="24"/>
          <w:szCs w:val="24"/>
        </w:rPr>
        <w:t>（四）短信授权（仅适用于个人投资者）</w:t>
      </w:r>
    </w:p>
    <w:p w:rsidR="002A7AC7"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1</w:t>
      </w:r>
      <w:r>
        <w:rPr>
          <w:rFonts w:ascii="宋体" w:cs="宋体" w:hint="eastAsia"/>
          <w:kern w:val="0"/>
          <w:sz w:val="24"/>
          <w:szCs w:val="24"/>
        </w:rPr>
        <w:t>、</w:t>
      </w:r>
      <w:r w:rsidR="00691FC8" w:rsidRPr="00691FC8">
        <w:rPr>
          <w:rFonts w:ascii="宋体" w:cs="宋体" w:hint="eastAsia"/>
          <w:kern w:val="0"/>
          <w:sz w:val="24"/>
          <w:szCs w:val="24"/>
        </w:rPr>
        <w:t>基金管理人和基金销售机构可通过短信平台向预留手机号码的</w:t>
      </w:r>
      <w:r>
        <w:rPr>
          <w:rFonts w:ascii="宋体" w:cs="宋体" w:hint="eastAsia"/>
          <w:kern w:val="0"/>
          <w:sz w:val="24"/>
          <w:szCs w:val="24"/>
        </w:rPr>
        <w:t>基金份额</w:t>
      </w:r>
      <w:r w:rsidR="00691FC8" w:rsidRPr="00691FC8">
        <w:rPr>
          <w:rFonts w:ascii="宋体" w:cs="宋体" w:hint="eastAsia"/>
          <w:kern w:val="0"/>
          <w:sz w:val="24"/>
          <w:szCs w:val="24"/>
        </w:rPr>
        <w:t>持有人发送征集授权短信，基金份额持有人根据征集授权短信的提示以回复短信表明授权意见</w:t>
      </w:r>
      <w:r w:rsidR="003E34D1" w:rsidRPr="003E34D1">
        <w:rPr>
          <w:rFonts w:ascii="宋体" w:cs="宋体" w:hint="eastAsia"/>
          <w:kern w:val="0"/>
          <w:sz w:val="24"/>
          <w:szCs w:val="24"/>
        </w:rPr>
        <w:t>，未回复意见的视为未授权</w:t>
      </w:r>
      <w:r w:rsidR="00691FC8" w:rsidRPr="00691FC8">
        <w:rPr>
          <w:rFonts w:ascii="宋体" w:cs="宋体" w:hint="eastAsia"/>
          <w:kern w:val="0"/>
          <w:sz w:val="24"/>
          <w:szCs w:val="24"/>
        </w:rPr>
        <w:t>。</w:t>
      </w:r>
    </w:p>
    <w:p w:rsidR="00691FC8" w:rsidRPr="00691FC8"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2</w:t>
      </w:r>
      <w:r>
        <w:rPr>
          <w:rFonts w:ascii="宋体" w:cs="宋体" w:hint="eastAsia"/>
          <w:kern w:val="0"/>
          <w:sz w:val="24"/>
          <w:szCs w:val="24"/>
        </w:rPr>
        <w:t>、</w:t>
      </w:r>
      <w:r w:rsidR="0027176C" w:rsidRPr="0006449A">
        <w:rPr>
          <w:rFonts w:ascii="宋体" w:cs="宋体" w:hint="eastAsia"/>
          <w:kern w:val="0"/>
          <w:sz w:val="24"/>
          <w:szCs w:val="24"/>
        </w:rPr>
        <w:t>此授权方式的</w:t>
      </w:r>
      <w:r w:rsidR="0027176C">
        <w:rPr>
          <w:rFonts w:ascii="宋体" w:cs="宋体" w:hint="eastAsia"/>
          <w:kern w:val="0"/>
          <w:sz w:val="24"/>
          <w:szCs w:val="24"/>
        </w:rPr>
        <w:t>截</w:t>
      </w:r>
      <w:r w:rsidR="0027176C" w:rsidRPr="0006449A">
        <w:rPr>
          <w:rFonts w:ascii="宋体" w:cs="宋体" w:hint="eastAsia"/>
          <w:kern w:val="0"/>
          <w:sz w:val="24"/>
          <w:szCs w:val="24"/>
        </w:rPr>
        <w:t>止时间为</w:t>
      </w:r>
      <w:r w:rsidR="00882ABB">
        <w:rPr>
          <w:rFonts w:ascii="宋体" w:cs="宋体" w:hint="eastAsia"/>
          <w:kern w:val="0"/>
          <w:sz w:val="24"/>
          <w:szCs w:val="24"/>
        </w:rPr>
        <w:t>20</w:t>
      </w:r>
      <w:r w:rsidR="00882ABB">
        <w:rPr>
          <w:rFonts w:ascii="宋体" w:cs="宋体"/>
          <w:kern w:val="0"/>
          <w:sz w:val="24"/>
          <w:szCs w:val="24"/>
        </w:rPr>
        <w:t>25</w:t>
      </w:r>
      <w:r w:rsidR="00882ABB" w:rsidRPr="001A30B3">
        <w:rPr>
          <w:rFonts w:ascii="宋体" w:cs="宋体" w:hint="eastAsia"/>
          <w:kern w:val="0"/>
          <w:sz w:val="24"/>
          <w:szCs w:val="24"/>
        </w:rPr>
        <w:t>年</w:t>
      </w:r>
      <w:r w:rsidR="00882ABB">
        <w:rPr>
          <w:rFonts w:ascii="宋体" w:cs="宋体"/>
          <w:kern w:val="0"/>
          <w:sz w:val="24"/>
          <w:szCs w:val="24"/>
        </w:rPr>
        <w:t>2</w:t>
      </w:r>
      <w:r w:rsidR="00882ABB" w:rsidRPr="001A30B3">
        <w:rPr>
          <w:rFonts w:ascii="宋体" w:cs="宋体" w:hint="eastAsia"/>
          <w:kern w:val="0"/>
          <w:sz w:val="24"/>
          <w:szCs w:val="24"/>
        </w:rPr>
        <w:t>月</w:t>
      </w:r>
      <w:r w:rsidR="00882ABB">
        <w:rPr>
          <w:rFonts w:ascii="宋体" w:cs="宋体"/>
          <w:kern w:val="0"/>
          <w:sz w:val="24"/>
          <w:szCs w:val="24"/>
        </w:rPr>
        <w:t>28</w:t>
      </w:r>
      <w:r w:rsidR="00882ABB" w:rsidRPr="001A30B3">
        <w:rPr>
          <w:rFonts w:ascii="宋体" w:cs="宋体" w:hint="eastAsia"/>
          <w:kern w:val="0"/>
          <w:sz w:val="24"/>
          <w:szCs w:val="24"/>
        </w:rPr>
        <w:t>日</w:t>
      </w:r>
      <w:r w:rsidR="00882ABB" w:rsidRPr="006828C6">
        <w:rPr>
          <w:rFonts w:ascii="宋体" w:cs="宋体" w:hint="eastAsia"/>
          <w:kern w:val="0"/>
          <w:sz w:val="24"/>
          <w:szCs w:val="24"/>
        </w:rPr>
        <w:t>（投票截止日前3个工作日）</w:t>
      </w:r>
      <w:r w:rsidR="0027176C" w:rsidRPr="001A30B3">
        <w:rPr>
          <w:rFonts w:ascii="宋体" w:cs="宋体" w:hint="eastAsia"/>
          <w:kern w:val="0"/>
          <w:sz w:val="24"/>
          <w:szCs w:val="24"/>
        </w:rPr>
        <w:t>1</w:t>
      </w:r>
      <w:r w:rsidR="0027176C">
        <w:rPr>
          <w:rFonts w:ascii="宋体" w:cs="宋体"/>
          <w:kern w:val="0"/>
          <w:sz w:val="24"/>
          <w:szCs w:val="24"/>
        </w:rPr>
        <w:t>5</w:t>
      </w:r>
      <w:r w:rsidR="0027176C" w:rsidRPr="001A30B3">
        <w:rPr>
          <w:rFonts w:ascii="宋体" w:cs="宋体" w:hint="eastAsia"/>
          <w:kern w:val="0"/>
          <w:sz w:val="24"/>
          <w:szCs w:val="24"/>
        </w:rPr>
        <w:t>:00止</w:t>
      </w:r>
      <w:r w:rsidR="00691FC8" w:rsidRPr="0006449A">
        <w:rPr>
          <w:rFonts w:ascii="宋体" w:cs="宋体" w:hint="eastAsia"/>
          <w:kern w:val="0"/>
          <w:sz w:val="24"/>
          <w:szCs w:val="24"/>
        </w:rPr>
        <w:t>。</w:t>
      </w:r>
      <w:r w:rsidR="00691FC8" w:rsidRPr="00014DA3">
        <w:rPr>
          <w:rFonts w:ascii="宋体" w:cs="宋体" w:hint="eastAsia"/>
          <w:kern w:val="0"/>
          <w:sz w:val="24"/>
          <w:szCs w:val="24"/>
        </w:rPr>
        <w:t>如基金管理人决定延迟投票表决截止时间的，则</w:t>
      </w:r>
      <w:r w:rsidR="00691FC8">
        <w:rPr>
          <w:rFonts w:ascii="宋体" w:cs="宋体" w:hint="eastAsia"/>
          <w:kern w:val="0"/>
          <w:sz w:val="24"/>
          <w:szCs w:val="24"/>
        </w:rPr>
        <w:t>短信</w:t>
      </w:r>
      <w:r w:rsidR="00691FC8" w:rsidRPr="00014DA3">
        <w:rPr>
          <w:rFonts w:ascii="宋体" w:cs="宋体" w:hint="eastAsia"/>
          <w:kern w:val="0"/>
          <w:sz w:val="24"/>
          <w:szCs w:val="24"/>
        </w:rPr>
        <w:t>授权截止时间相应延迟，届时以相关公告为准</w:t>
      </w:r>
      <w:r w:rsidR="00691FC8" w:rsidRPr="00691FC8">
        <w:rPr>
          <w:rFonts w:ascii="宋体" w:cs="宋体" w:hint="eastAsia"/>
          <w:kern w:val="0"/>
          <w:sz w:val="24"/>
          <w:szCs w:val="24"/>
        </w:rPr>
        <w:t>（授权时间以系统记录时间为准）</w:t>
      </w:r>
      <w:r w:rsidR="00691FC8" w:rsidRPr="00014DA3">
        <w:rPr>
          <w:rFonts w:ascii="宋体" w:cs="宋体" w:hint="eastAsia"/>
          <w:kern w:val="0"/>
          <w:sz w:val="24"/>
          <w:szCs w:val="24"/>
        </w:rPr>
        <w:t>。</w:t>
      </w:r>
    </w:p>
    <w:p w:rsidR="00691FC8" w:rsidRPr="00691FC8"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3</w:t>
      </w:r>
      <w:r w:rsidR="00691FC8">
        <w:rPr>
          <w:rFonts w:ascii="宋体" w:cs="宋体" w:hint="eastAsia"/>
          <w:kern w:val="0"/>
          <w:sz w:val="24"/>
          <w:szCs w:val="24"/>
        </w:rPr>
        <w:t>、</w:t>
      </w:r>
      <w:r>
        <w:rPr>
          <w:rFonts w:ascii="宋体" w:cs="宋体" w:hint="eastAsia"/>
          <w:kern w:val="0"/>
          <w:sz w:val="24"/>
          <w:szCs w:val="24"/>
        </w:rPr>
        <w:t>基金份额</w:t>
      </w:r>
      <w:r w:rsidR="00691FC8" w:rsidRPr="00691FC8">
        <w:rPr>
          <w:rFonts w:ascii="宋体" w:cs="宋体" w:hint="eastAsia"/>
          <w:kern w:val="0"/>
          <w:sz w:val="24"/>
          <w:szCs w:val="24"/>
        </w:rPr>
        <w:t>持有人原预留手机号码已变更或已不再实际使用的，可选择其他方式进行授权。</w:t>
      </w:r>
    </w:p>
    <w:p w:rsidR="00691FC8" w:rsidRPr="00691FC8"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4</w:t>
      </w:r>
      <w:r w:rsidR="00691FC8">
        <w:rPr>
          <w:rFonts w:ascii="宋体" w:cs="宋体" w:hint="eastAsia"/>
          <w:kern w:val="0"/>
          <w:sz w:val="24"/>
          <w:szCs w:val="24"/>
        </w:rPr>
        <w:t>、</w:t>
      </w:r>
      <w:r w:rsidR="00691FC8" w:rsidRPr="00691FC8">
        <w:rPr>
          <w:rFonts w:ascii="宋体" w:cs="宋体" w:hint="eastAsia"/>
          <w:kern w:val="0"/>
          <w:sz w:val="24"/>
          <w:szCs w:val="24"/>
        </w:rPr>
        <w:t>基金份额持有人通过短信授权</w:t>
      </w:r>
      <w:r w:rsidR="001B005A" w:rsidRPr="0006449A">
        <w:rPr>
          <w:rFonts w:ascii="宋体" w:cs="宋体"/>
          <w:kern w:val="0"/>
          <w:sz w:val="24"/>
          <w:szCs w:val="24"/>
        </w:rPr>
        <w:t>基金管理人</w:t>
      </w:r>
      <w:r w:rsidR="001B005A">
        <w:rPr>
          <w:rFonts w:ascii="宋体" w:cs="宋体" w:hint="eastAsia"/>
          <w:kern w:val="0"/>
          <w:sz w:val="24"/>
          <w:szCs w:val="24"/>
        </w:rPr>
        <w:t>或基金销售机构</w:t>
      </w:r>
      <w:r w:rsidR="001B005A" w:rsidRPr="00AD16B5">
        <w:rPr>
          <w:rFonts w:ascii="宋体" w:cs="宋体" w:hint="eastAsia"/>
          <w:kern w:val="0"/>
          <w:sz w:val="24"/>
          <w:szCs w:val="24"/>
        </w:rPr>
        <w:t>进行投票</w:t>
      </w:r>
      <w:r w:rsidR="00691FC8" w:rsidRPr="00691FC8">
        <w:rPr>
          <w:rFonts w:ascii="宋体" w:cs="宋体" w:hint="eastAsia"/>
          <w:kern w:val="0"/>
          <w:sz w:val="24"/>
          <w:szCs w:val="24"/>
        </w:rPr>
        <w:t>的方式仅适用于个人</w:t>
      </w:r>
      <w:r>
        <w:rPr>
          <w:rFonts w:ascii="宋体" w:cs="宋体" w:hint="eastAsia"/>
          <w:kern w:val="0"/>
          <w:sz w:val="24"/>
          <w:szCs w:val="24"/>
        </w:rPr>
        <w:t>投资</w:t>
      </w:r>
      <w:r w:rsidR="003E34D1">
        <w:rPr>
          <w:rFonts w:ascii="宋体" w:cs="宋体" w:hint="eastAsia"/>
          <w:kern w:val="0"/>
          <w:sz w:val="24"/>
          <w:szCs w:val="24"/>
        </w:rPr>
        <w:t>者</w:t>
      </w:r>
      <w:r w:rsidR="00691FC8" w:rsidRPr="00691FC8">
        <w:rPr>
          <w:rFonts w:ascii="宋体" w:cs="宋体" w:hint="eastAsia"/>
          <w:kern w:val="0"/>
          <w:sz w:val="24"/>
          <w:szCs w:val="24"/>
        </w:rPr>
        <w:t>。</w:t>
      </w:r>
    </w:p>
    <w:p w:rsidR="00691FC8" w:rsidRPr="008A038B" w:rsidRDefault="00691FC8" w:rsidP="00340485">
      <w:pPr>
        <w:autoSpaceDE w:val="0"/>
        <w:autoSpaceDN w:val="0"/>
        <w:adjustRightInd w:val="0"/>
        <w:spacing w:line="360" w:lineRule="auto"/>
        <w:ind w:firstLineChars="200" w:firstLine="480"/>
        <w:rPr>
          <w:rFonts w:ascii="宋体" w:cs="宋体"/>
          <w:kern w:val="0"/>
          <w:sz w:val="24"/>
          <w:szCs w:val="24"/>
        </w:rPr>
      </w:pPr>
    </w:p>
    <w:p w:rsidR="0042398C" w:rsidRPr="003D42AC" w:rsidRDefault="0042398C"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w:t>
      </w:r>
      <w:r w:rsidR="00691FC8">
        <w:rPr>
          <w:rFonts w:ascii="宋体" w:cs="宋体" w:hint="eastAsia"/>
          <w:kern w:val="0"/>
          <w:sz w:val="24"/>
          <w:szCs w:val="24"/>
        </w:rPr>
        <w:t>五</w:t>
      </w:r>
      <w:r w:rsidRPr="003D42AC">
        <w:rPr>
          <w:rFonts w:ascii="宋体" w:cs="宋体" w:hint="eastAsia"/>
          <w:kern w:val="0"/>
          <w:sz w:val="24"/>
          <w:szCs w:val="24"/>
        </w:rPr>
        <w:t>）授权效力确定规则</w:t>
      </w:r>
    </w:p>
    <w:p w:rsidR="0044416D" w:rsidRDefault="0044416D" w:rsidP="003872EC">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w:t>
      </w:r>
      <w:r w:rsidRPr="003D42AC">
        <w:rPr>
          <w:rFonts w:ascii="宋体" w:cs="宋体" w:hint="eastAsia"/>
          <w:kern w:val="0"/>
          <w:sz w:val="24"/>
          <w:szCs w:val="24"/>
        </w:rPr>
        <w:t>基金份额持有人</w:t>
      </w:r>
      <w:r w:rsidRPr="00E57464">
        <w:rPr>
          <w:rFonts w:ascii="宋体" w:cs="宋体"/>
          <w:kern w:val="0"/>
          <w:sz w:val="24"/>
          <w:szCs w:val="24"/>
        </w:rPr>
        <w:t>送达了有效表决票</w:t>
      </w:r>
      <w:r w:rsidRPr="003D42AC">
        <w:rPr>
          <w:rFonts w:ascii="宋体" w:cs="宋体" w:hint="eastAsia"/>
          <w:kern w:val="0"/>
          <w:sz w:val="24"/>
          <w:szCs w:val="24"/>
        </w:rPr>
        <w:t>，又存在有效</w:t>
      </w:r>
      <w:r w:rsidR="00514A0E">
        <w:rPr>
          <w:rFonts w:ascii="宋体" w:cs="宋体" w:hint="eastAsia"/>
          <w:kern w:val="0"/>
          <w:sz w:val="24"/>
          <w:szCs w:val="24"/>
        </w:rPr>
        <w:t>纸质</w:t>
      </w:r>
      <w:r w:rsidRPr="003D42AC">
        <w:rPr>
          <w:rFonts w:ascii="宋体" w:cs="宋体" w:hint="eastAsia"/>
          <w:kern w:val="0"/>
          <w:sz w:val="24"/>
          <w:szCs w:val="24"/>
        </w:rPr>
        <w:t>授权或有效的其他方式授权的，</w:t>
      </w:r>
      <w:r w:rsidR="007A3031">
        <w:rPr>
          <w:rFonts w:ascii="宋体" w:cs="宋体" w:hint="eastAsia"/>
          <w:kern w:val="0"/>
          <w:sz w:val="24"/>
          <w:szCs w:val="24"/>
        </w:rPr>
        <w:t>除另有规定外，</w:t>
      </w:r>
      <w:r w:rsidRPr="003D42AC">
        <w:rPr>
          <w:rFonts w:ascii="宋体" w:cs="宋体" w:hint="eastAsia"/>
          <w:kern w:val="0"/>
          <w:sz w:val="24"/>
          <w:szCs w:val="24"/>
        </w:rPr>
        <w:t>以其</w:t>
      </w:r>
      <w:r>
        <w:rPr>
          <w:rFonts w:ascii="宋体" w:cs="宋体" w:hint="eastAsia"/>
          <w:kern w:val="0"/>
          <w:sz w:val="24"/>
          <w:szCs w:val="24"/>
        </w:rPr>
        <w:t>送达</w:t>
      </w:r>
      <w:r w:rsidRPr="003D42AC">
        <w:rPr>
          <w:rFonts w:ascii="宋体" w:cs="宋体" w:hint="eastAsia"/>
          <w:kern w:val="0"/>
          <w:sz w:val="24"/>
          <w:szCs w:val="24"/>
        </w:rPr>
        <w:t>的</w:t>
      </w:r>
      <w:r>
        <w:rPr>
          <w:rFonts w:ascii="宋体" w:cs="宋体" w:hint="eastAsia"/>
          <w:kern w:val="0"/>
          <w:sz w:val="24"/>
          <w:szCs w:val="24"/>
        </w:rPr>
        <w:t>有效表决票</w:t>
      </w:r>
      <w:r w:rsidRPr="003D42AC">
        <w:rPr>
          <w:rFonts w:ascii="宋体" w:cs="宋体" w:hint="eastAsia"/>
          <w:kern w:val="0"/>
          <w:sz w:val="24"/>
          <w:szCs w:val="24"/>
        </w:rPr>
        <w:t>为准。</w:t>
      </w:r>
      <w:r w:rsidR="003872EC">
        <w:rPr>
          <w:rFonts w:ascii="宋体" w:cs="宋体" w:hint="eastAsia"/>
          <w:kern w:val="0"/>
          <w:sz w:val="24"/>
          <w:szCs w:val="24"/>
        </w:rPr>
        <w:t>相关授权均视为无效。</w:t>
      </w:r>
    </w:p>
    <w:p w:rsidR="00894D98" w:rsidRDefault="00894D98" w:rsidP="005A2BF4">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2</w:t>
      </w:r>
      <w:r w:rsidRPr="003D42AC">
        <w:rPr>
          <w:rFonts w:ascii="宋体" w:cs="宋体" w:hint="eastAsia"/>
          <w:kern w:val="0"/>
          <w:sz w:val="24"/>
          <w:szCs w:val="24"/>
        </w:rPr>
        <w:t>、同一基金份额存在有效的</w:t>
      </w:r>
      <w:r w:rsidR="00514A0E">
        <w:rPr>
          <w:rFonts w:ascii="宋体" w:cs="宋体" w:hint="eastAsia"/>
          <w:kern w:val="0"/>
          <w:sz w:val="24"/>
          <w:szCs w:val="24"/>
        </w:rPr>
        <w:t>纸质</w:t>
      </w:r>
      <w:r w:rsidRPr="003D42AC">
        <w:rPr>
          <w:rFonts w:ascii="宋体" w:cs="宋体" w:hint="eastAsia"/>
          <w:kern w:val="0"/>
          <w:sz w:val="24"/>
          <w:szCs w:val="24"/>
        </w:rPr>
        <w:t>授权和有效的其他方式授权的，</w:t>
      </w:r>
      <w:r w:rsidR="005A2BF4">
        <w:rPr>
          <w:rFonts w:ascii="宋体" w:cs="宋体" w:hint="eastAsia"/>
          <w:kern w:val="0"/>
          <w:sz w:val="24"/>
          <w:szCs w:val="24"/>
        </w:rPr>
        <w:t>不论授权时间先后，均</w:t>
      </w:r>
      <w:r w:rsidRPr="003D42AC">
        <w:rPr>
          <w:rFonts w:ascii="宋体" w:cs="宋体" w:hint="eastAsia"/>
          <w:kern w:val="0"/>
          <w:sz w:val="24"/>
          <w:szCs w:val="24"/>
        </w:rPr>
        <w:t>以有效的</w:t>
      </w:r>
      <w:r w:rsidR="00514A0E">
        <w:rPr>
          <w:rFonts w:ascii="宋体" w:cs="宋体" w:hint="eastAsia"/>
          <w:kern w:val="0"/>
          <w:sz w:val="24"/>
          <w:szCs w:val="24"/>
        </w:rPr>
        <w:t>纸质</w:t>
      </w:r>
      <w:r w:rsidRPr="003D42AC">
        <w:rPr>
          <w:rFonts w:ascii="宋体" w:cs="宋体" w:hint="eastAsia"/>
          <w:kern w:val="0"/>
          <w:sz w:val="24"/>
          <w:szCs w:val="24"/>
        </w:rPr>
        <w:t>授权为准。</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3</w:t>
      </w:r>
      <w:r w:rsidRPr="003D42AC">
        <w:rPr>
          <w:rFonts w:ascii="宋体" w:cs="宋体" w:hint="eastAsia"/>
          <w:kern w:val="0"/>
          <w:sz w:val="24"/>
          <w:szCs w:val="24"/>
        </w:rPr>
        <w:t>、同一基金份额存在多次</w:t>
      </w:r>
      <w:r w:rsidR="00514A0E">
        <w:rPr>
          <w:rFonts w:ascii="宋体" w:cs="宋体" w:hint="eastAsia"/>
          <w:kern w:val="0"/>
          <w:sz w:val="24"/>
          <w:szCs w:val="24"/>
        </w:rPr>
        <w:t>纸质</w:t>
      </w:r>
      <w:r w:rsidRPr="003D42AC">
        <w:rPr>
          <w:rFonts w:ascii="宋体" w:cs="宋体" w:hint="eastAsia"/>
          <w:kern w:val="0"/>
          <w:sz w:val="24"/>
          <w:szCs w:val="24"/>
        </w:rPr>
        <w:t>授权的，以</w:t>
      </w:r>
      <w:r>
        <w:rPr>
          <w:rFonts w:ascii="宋体" w:cs="宋体" w:hint="eastAsia"/>
          <w:kern w:val="0"/>
          <w:sz w:val="24"/>
          <w:szCs w:val="24"/>
        </w:rPr>
        <w:t>代理人</w:t>
      </w:r>
      <w:r w:rsidRPr="003D42AC">
        <w:rPr>
          <w:rFonts w:ascii="宋体" w:cs="宋体" w:hint="eastAsia"/>
          <w:kern w:val="0"/>
          <w:sz w:val="24"/>
          <w:szCs w:val="24"/>
        </w:rPr>
        <w:t>收到的最后一次</w:t>
      </w:r>
      <w:r w:rsidR="008A038B">
        <w:rPr>
          <w:rFonts w:ascii="宋体" w:cs="宋体" w:hint="eastAsia"/>
          <w:kern w:val="0"/>
          <w:sz w:val="24"/>
          <w:szCs w:val="24"/>
        </w:rPr>
        <w:t>有效</w:t>
      </w:r>
      <w:r w:rsidR="00514A0E">
        <w:rPr>
          <w:rFonts w:ascii="宋体" w:cs="宋体" w:hint="eastAsia"/>
          <w:kern w:val="0"/>
          <w:sz w:val="24"/>
          <w:szCs w:val="24"/>
        </w:rPr>
        <w:t>纸质</w:t>
      </w:r>
      <w:r w:rsidRPr="003D42AC">
        <w:rPr>
          <w:rFonts w:ascii="宋体" w:cs="宋体" w:hint="eastAsia"/>
          <w:kern w:val="0"/>
          <w:sz w:val="24"/>
          <w:szCs w:val="24"/>
        </w:rPr>
        <w:t>授权为准</w:t>
      </w:r>
      <w:r>
        <w:rPr>
          <w:rFonts w:ascii="宋体" w:cs="宋体" w:hint="eastAsia"/>
          <w:kern w:val="0"/>
          <w:sz w:val="24"/>
          <w:szCs w:val="24"/>
        </w:rPr>
        <w:t>。</w:t>
      </w:r>
      <w:r w:rsidRPr="003D42AC">
        <w:rPr>
          <w:rFonts w:ascii="宋体" w:cs="宋体" w:hint="eastAsia"/>
          <w:kern w:val="0"/>
          <w:sz w:val="24"/>
          <w:szCs w:val="24"/>
        </w:rPr>
        <w:t>如最后时间收到的</w:t>
      </w:r>
      <w:r w:rsidR="008A038B">
        <w:rPr>
          <w:rFonts w:ascii="宋体" w:cs="宋体" w:hint="eastAsia"/>
          <w:kern w:val="0"/>
          <w:sz w:val="24"/>
          <w:szCs w:val="24"/>
        </w:rPr>
        <w:t>有效</w:t>
      </w:r>
      <w:r w:rsidR="00514A0E">
        <w:rPr>
          <w:rFonts w:ascii="宋体" w:cs="宋体" w:hint="eastAsia"/>
          <w:kern w:val="0"/>
          <w:sz w:val="24"/>
          <w:szCs w:val="24"/>
        </w:rPr>
        <w:t>纸质</w:t>
      </w:r>
      <w:r w:rsidRPr="003D42AC">
        <w:rPr>
          <w:rFonts w:ascii="宋体" w:cs="宋体" w:hint="eastAsia"/>
          <w:kern w:val="0"/>
          <w:sz w:val="24"/>
          <w:szCs w:val="24"/>
        </w:rPr>
        <w:t>授权有多次，不能确定最后一次</w:t>
      </w:r>
      <w:r w:rsidR="008A038B">
        <w:rPr>
          <w:rFonts w:ascii="宋体" w:cs="宋体" w:hint="eastAsia"/>
          <w:kern w:val="0"/>
          <w:sz w:val="24"/>
          <w:szCs w:val="24"/>
        </w:rPr>
        <w:t>有效</w:t>
      </w:r>
      <w:r w:rsidR="00514A0E">
        <w:rPr>
          <w:rFonts w:ascii="宋体" w:cs="宋体" w:hint="eastAsia"/>
          <w:kern w:val="0"/>
          <w:sz w:val="24"/>
          <w:szCs w:val="24"/>
        </w:rPr>
        <w:t>纸质</w:t>
      </w:r>
      <w:r w:rsidRPr="003D42AC">
        <w:rPr>
          <w:rFonts w:ascii="宋体" w:cs="宋体" w:hint="eastAsia"/>
          <w:kern w:val="0"/>
          <w:sz w:val="24"/>
          <w:szCs w:val="24"/>
        </w:rPr>
        <w:t>授权的</w:t>
      </w:r>
      <w:r>
        <w:rPr>
          <w:rFonts w:ascii="宋体" w:cs="宋体" w:hint="eastAsia"/>
          <w:kern w:val="0"/>
          <w:sz w:val="24"/>
          <w:szCs w:val="24"/>
        </w:rPr>
        <w:t>，按以下原则处理：若多次授权的</w:t>
      </w:r>
      <w:r w:rsidRPr="003D42AC">
        <w:rPr>
          <w:rFonts w:ascii="宋体" w:cs="宋体" w:hint="eastAsia"/>
          <w:kern w:val="0"/>
          <w:sz w:val="24"/>
          <w:szCs w:val="24"/>
        </w:rPr>
        <w:t>授权</w:t>
      </w:r>
      <w:r>
        <w:rPr>
          <w:rFonts w:ascii="宋体" w:cs="宋体" w:hint="eastAsia"/>
          <w:kern w:val="0"/>
          <w:sz w:val="24"/>
          <w:szCs w:val="24"/>
        </w:rPr>
        <w:t>表示一致</w:t>
      </w:r>
      <w:r w:rsidRPr="003D42AC">
        <w:rPr>
          <w:rFonts w:ascii="宋体" w:cs="宋体" w:hint="eastAsia"/>
          <w:kern w:val="0"/>
          <w:sz w:val="24"/>
          <w:szCs w:val="24"/>
        </w:rPr>
        <w:t>的，</w:t>
      </w:r>
      <w:r w:rsidR="000D102F" w:rsidRPr="000D102F">
        <w:rPr>
          <w:rFonts w:ascii="宋体" w:cs="宋体" w:hint="eastAsia"/>
          <w:kern w:val="0"/>
          <w:sz w:val="24"/>
          <w:szCs w:val="24"/>
        </w:rPr>
        <w:t>以一致的授权表示为准</w:t>
      </w:r>
      <w:r>
        <w:rPr>
          <w:rFonts w:ascii="宋体" w:cs="宋体" w:hint="eastAsia"/>
          <w:kern w:val="0"/>
          <w:sz w:val="24"/>
          <w:szCs w:val="24"/>
        </w:rPr>
        <w:t>；</w:t>
      </w:r>
      <w:r w:rsidRPr="004D1032">
        <w:rPr>
          <w:rFonts w:ascii="宋体" w:cs="宋体" w:hint="eastAsia"/>
          <w:kern w:val="0"/>
          <w:sz w:val="24"/>
          <w:szCs w:val="24"/>
        </w:rPr>
        <w:t>若多次授权同一</w:t>
      </w:r>
      <w:r>
        <w:rPr>
          <w:rFonts w:ascii="宋体" w:cs="宋体" w:hint="eastAsia"/>
          <w:kern w:val="0"/>
          <w:sz w:val="24"/>
          <w:szCs w:val="24"/>
        </w:rPr>
        <w:t>代理人</w:t>
      </w:r>
      <w:r w:rsidRPr="004D1032">
        <w:rPr>
          <w:rFonts w:ascii="宋体" w:cs="宋体" w:hint="eastAsia"/>
          <w:kern w:val="0"/>
          <w:sz w:val="24"/>
          <w:szCs w:val="24"/>
        </w:rPr>
        <w:t>但授权表示不一致的，视为</w:t>
      </w:r>
      <w:r w:rsidRPr="004D1032">
        <w:rPr>
          <w:rFonts w:ascii="宋体" w:cs="宋体"/>
          <w:kern w:val="0"/>
          <w:sz w:val="24"/>
          <w:szCs w:val="24"/>
        </w:rPr>
        <w:t>委托人授权</w:t>
      </w:r>
      <w:r>
        <w:rPr>
          <w:rFonts w:ascii="宋体" w:cs="宋体"/>
          <w:kern w:val="0"/>
          <w:sz w:val="24"/>
          <w:szCs w:val="24"/>
        </w:rPr>
        <w:t>代理人</w:t>
      </w:r>
      <w:r>
        <w:rPr>
          <w:rFonts w:ascii="宋体" w:cs="宋体" w:hint="eastAsia"/>
          <w:kern w:val="0"/>
          <w:sz w:val="24"/>
          <w:szCs w:val="24"/>
        </w:rPr>
        <w:t>投</w:t>
      </w:r>
      <w:r>
        <w:rPr>
          <w:rFonts w:ascii="宋体" w:cs="宋体"/>
          <w:kern w:val="0"/>
          <w:sz w:val="24"/>
          <w:szCs w:val="24"/>
        </w:rPr>
        <w:t>弃权票</w:t>
      </w:r>
      <w:r>
        <w:rPr>
          <w:rFonts w:ascii="宋体" w:cs="宋体" w:hint="eastAsia"/>
          <w:kern w:val="0"/>
          <w:sz w:val="24"/>
          <w:szCs w:val="24"/>
        </w:rPr>
        <w:t>；</w:t>
      </w:r>
      <w:r w:rsidRPr="004D1032">
        <w:rPr>
          <w:rFonts w:ascii="宋体" w:cs="宋体" w:hint="eastAsia"/>
          <w:kern w:val="0"/>
          <w:sz w:val="24"/>
          <w:szCs w:val="24"/>
        </w:rPr>
        <w:t>若授权不同</w:t>
      </w:r>
      <w:r>
        <w:rPr>
          <w:rFonts w:ascii="宋体" w:cs="宋体" w:hint="eastAsia"/>
          <w:kern w:val="0"/>
          <w:sz w:val="24"/>
          <w:szCs w:val="24"/>
        </w:rPr>
        <w:t>代理人</w:t>
      </w:r>
      <w:r w:rsidRPr="004D1032">
        <w:rPr>
          <w:rFonts w:ascii="宋体" w:cs="宋体" w:hint="eastAsia"/>
          <w:kern w:val="0"/>
          <w:sz w:val="24"/>
          <w:szCs w:val="24"/>
        </w:rPr>
        <w:t>且授权表示不一致的，视为授权无效。</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4</w:t>
      </w:r>
      <w:r w:rsidRPr="003D42AC">
        <w:rPr>
          <w:rFonts w:ascii="宋体" w:cs="宋体" w:hint="eastAsia"/>
          <w:kern w:val="0"/>
          <w:sz w:val="24"/>
          <w:szCs w:val="24"/>
        </w:rPr>
        <w:t>、同一基金份额只存在</w:t>
      </w:r>
      <w:r w:rsidR="00514A0E">
        <w:rPr>
          <w:rFonts w:ascii="宋体" w:cs="宋体" w:hint="eastAsia"/>
          <w:kern w:val="0"/>
          <w:sz w:val="24"/>
          <w:szCs w:val="24"/>
        </w:rPr>
        <w:t>纸质</w:t>
      </w:r>
      <w:r>
        <w:rPr>
          <w:rFonts w:ascii="宋体" w:cs="宋体" w:hint="eastAsia"/>
          <w:kern w:val="0"/>
          <w:sz w:val="24"/>
          <w:szCs w:val="24"/>
        </w:rPr>
        <w:t>授权以外的</w:t>
      </w:r>
      <w:r w:rsidRPr="003D42AC">
        <w:rPr>
          <w:rFonts w:ascii="宋体" w:cs="宋体" w:hint="eastAsia"/>
          <w:kern w:val="0"/>
          <w:sz w:val="24"/>
          <w:szCs w:val="24"/>
        </w:rPr>
        <w:t>有效的其他方式授权时，以有效的该种授权方式为准</w:t>
      </w:r>
      <w:r>
        <w:rPr>
          <w:rFonts w:ascii="宋体" w:cs="宋体" w:hint="eastAsia"/>
          <w:kern w:val="0"/>
          <w:sz w:val="24"/>
          <w:szCs w:val="24"/>
        </w:rPr>
        <w:t>。</w:t>
      </w:r>
      <w:r w:rsidRPr="003D42AC">
        <w:rPr>
          <w:rFonts w:ascii="宋体" w:cs="宋体" w:hint="eastAsia"/>
          <w:kern w:val="0"/>
          <w:sz w:val="24"/>
          <w:szCs w:val="24"/>
        </w:rPr>
        <w:t>多次以</w:t>
      </w:r>
      <w:r w:rsidR="00514A0E">
        <w:rPr>
          <w:rFonts w:ascii="宋体" w:cs="宋体" w:hint="eastAsia"/>
          <w:kern w:val="0"/>
          <w:sz w:val="24"/>
          <w:szCs w:val="24"/>
        </w:rPr>
        <w:t>纸质</w:t>
      </w:r>
      <w:r>
        <w:rPr>
          <w:rFonts w:ascii="宋体" w:cs="宋体" w:hint="eastAsia"/>
          <w:kern w:val="0"/>
          <w:sz w:val="24"/>
          <w:szCs w:val="24"/>
        </w:rPr>
        <w:t>授权以外的</w:t>
      </w:r>
      <w:r w:rsidRPr="003D42AC">
        <w:rPr>
          <w:rFonts w:ascii="宋体" w:cs="宋体" w:hint="eastAsia"/>
          <w:kern w:val="0"/>
          <w:sz w:val="24"/>
          <w:szCs w:val="24"/>
        </w:rPr>
        <w:t>其他方式</w:t>
      </w:r>
      <w:r w:rsidR="005B3BB6">
        <w:rPr>
          <w:rFonts w:ascii="宋体" w:cs="宋体" w:hint="eastAsia"/>
          <w:kern w:val="0"/>
          <w:sz w:val="24"/>
          <w:szCs w:val="24"/>
        </w:rPr>
        <w:t>进行有效</w:t>
      </w:r>
      <w:r w:rsidRPr="003D42AC">
        <w:rPr>
          <w:rFonts w:ascii="宋体" w:cs="宋体" w:hint="eastAsia"/>
          <w:kern w:val="0"/>
          <w:sz w:val="24"/>
          <w:szCs w:val="24"/>
        </w:rPr>
        <w:t>授权的，以时间在最后的授权为准</w:t>
      </w:r>
      <w:r>
        <w:rPr>
          <w:rFonts w:ascii="宋体" w:cs="宋体" w:hint="eastAsia"/>
          <w:kern w:val="0"/>
          <w:sz w:val="24"/>
          <w:szCs w:val="24"/>
        </w:rPr>
        <w:t>。如</w:t>
      </w:r>
      <w:r w:rsidRPr="003D42AC">
        <w:rPr>
          <w:rFonts w:ascii="宋体" w:cs="宋体" w:hint="eastAsia"/>
          <w:kern w:val="0"/>
          <w:sz w:val="24"/>
          <w:szCs w:val="24"/>
        </w:rPr>
        <w:t>最后时间收到的</w:t>
      </w:r>
      <w:r w:rsidR="00114F34">
        <w:rPr>
          <w:rFonts w:ascii="宋体" w:cs="宋体" w:hint="eastAsia"/>
          <w:kern w:val="0"/>
          <w:sz w:val="24"/>
          <w:szCs w:val="24"/>
        </w:rPr>
        <w:t>有效</w:t>
      </w:r>
      <w:r w:rsidRPr="003D42AC">
        <w:rPr>
          <w:rFonts w:ascii="宋体" w:cs="宋体" w:hint="eastAsia"/>
          <w:kern w:val="0"/>
          <w:sz w:val="24"/>
          <w:szCs w:val="24"/>
        </w:rPr>
        <w:t>授权委托有多次，不能确定最后一次授权的</w:t>
      </w:r>
      <w:r>
        <w:rPr>
          <w:rFonts w:ascii="宋体" w:cs="宋体" w:hint="eastAsia"/>
          <w:kern w:val="0"/>
          <w:sz w:val="24"/>
          <w:szCs w:val="24"/>
        </w:rPr>
        <w:t>，按以下原则处理：若多次授权的</w:t>
      </w:r>
      <w:r w:rsidRPr="003D42AC">
        <w:rPr>
          <w:rFonts w:ascii="宋体" w:cs="宋体" w:hint="eastAsia"/>
          <w:kern w:val="0"/>
          <w:sz w:val="24"/>
          <w:szCs w:val="24"/>
        </w:rPr>
        <w:t>授权</w:t>
      </w:r>
      <w:r>
        <w:rPr>
          <w:rFonts w:ascii="宋体" w:cs="宋体" w:hint="eastAsia"/>
          <w:kern w:val="0"/>
          <w:sz w:val="24"/>
          <w:szCs w:val="24"/>
        </w:rPr>
        <w:t>表示一致</w:t>
      </w:r>
      <w:r w:rsidRPr="003D42AC">
        <w:rPr>
          <w:rFonts w:ascii="宋体" w:cs="宋体" w:hint="eastAsia"/>
          <w:kern w:val="0"/>
          <w:sz w:val="24"/>
          <w:szCs w:val="24"/>
        </w:rPr>
        <w:t>的，</w:t>
      </w:r>
      <w:r w:rsidR="005B3BB6" w:rsidRPr="000D102F">
        <w:rPr>
          <w:rFonts w:ascii="宋体" w:cs="宋体" w:hint="eastAsia"/>
          <w:kern w:val="0"/>
          <w:sz w:val="24"/>
          <w:szCs w:val="24"/>
        </w:rPr>
        <w:t>以一致的授权表示为准</w:t>
      </w:r>
      <w:r>
        <w:rPr>
          <w:rFonts w:ascii="宋体" w:cs="宋体" w:hint="eastAsia"/>
          <w:kern w:val="0"/>
          <w:sz w:val="24"/>
          <w:szCs w:val="24"/>
        </w:rPr>
        <w:t>；若多次授权同一代理人但</w:t>
      </w:r>
      <w:r w:rsidRPr="003D42AC">
        <w:rPr>
          <w:rFonts w:ascii="宋体" w:cs="宋体" w:hint="eastAsia"/>
          <w:kern w:val="0"/>
          <w:sz w:val="24"/>
          <w:szCs w:val="24"/>
        </w:rPr>
        <w:t>授权</w:t>
      </w:r>
      <w:r>
        <w:rPr>
          <w:rFonts w:ascii="宋体" w:cs="宋体" w:hint="eastAsia"/>
          <w:kern w:val="0"/>
          <w:sz w:val="24"/>
          <w:szCs w:val="24"/>
        </w:rPr>
        <w:t>表示</w:t>
      </w:r>
      <w:r w:rsidRPr="003D42AC">
        <w:rPr>
          <w:rFonts w:ascii="宋体" w:cs="宋体" w:hint="eastAsia"/>
          <w:kern w:val="0"/>
          <w:sz w:val="24"/>
          <w:szCs w:val="24"/>
        </w:rPr>
        <w:t>不一致的，</w:t>
      </w:r>
      <w:r w:rsidRPr="004D1032">
        <w:rPr>
          <w:rFonts w:ascii="宋体" w:cs="宋体" w:hint="eastAsia"/>
          <w:kern w:val="0"/>
          <w:sz w:val="24"/>
          <w:szCs w:val="24"/>
        </w:rPr>
        <w:t>视为委</w:t>
      </w:r>
      <w:r w:rsidRPr="004D1032">
        <w:rPr>
          <w:rFonts w:ascii="宋体" w:cs="宋体"/>
          <w:kern w:val="0"/>
          <w:sz w:val="24"/>
          <w:szCs w:val="24"/>
        </w:rPr>
        <w:t>托人授权</w:t>
      </w:r>
      <w:r>
        <w:rPr>
          <w:rFonts w:ascii="宋体" w:cs="宋体"/>
          <w:kern w:val="0"/>
          <w:sz w:val="24"/>
          <w:szCs w:val="24"/>
        </w:rPr>
        <w:t>代理人</w:t>
      </w:r>
      <w:r>
        <w:rPr>
          <w:rFonts w:ascii="宋体" w:cs="宋体" w:hint="eastAsia"/>
          <w:kern w:val="0"/>
          <w:sz w:val="24"/>
          <w:szCs w:val="24"/>
        </w:rPr>
        <w:t>投弃权票；若授权不同代理人且</w:t>
      </w:r>
      <w:r w:rsidRPr="003D42AC">
        <w:rPr>
          <w:rFonts w:ascii="宋体" w:cs="宋体" w:hint="eastAsia"/>
          <w:kern w:val="0"/>
          <w:sz w:val="24"/>
          <w:szCs w:val="24"/>
        </w:rPr>
        <w:t>授权</w:t>
      </w:r>
      <w:r>
        <w:rPr>
          <w:rFonts w:ascii="宋体" w:cs="宋体" w:hint="eastAsia"/>
          <w:kern w:val="0"/>
          <w:sz w:val="24"/>
          <w:szCs w:val="24"/>
        </w:rPr>
        <w:t>表示</w:t>
      </w:r>
      <w:r w:rsidRPr="003D42AC">
        <w:rPr>
          <w:rFonts w:ascii="宋体" w:cs="宋体" w:hint="eastAsia"/>
          <w:kern w:val="0"/>
          <w:sz w:val="24"/>
          <w:szCs w:val="24"/>
        </w:rPr>
        <w:t>不一致的，</w:t>
      </w:r>
      <w:r>
        <w:rPr>
          <w:rFonts w:ascii="宋体" w:cs="宋体" w:hint="eastAsia"/>
          <w:kern w:val="0"/>
          <w:sz w:val="24"/>
          <w:szCs w:val="24"/>
        </w:rPr>
        <w:t>视为授权无效。</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5</w:t>
      </w:r>
      <w:r w:rsidRPr="003D42AC">
        <w:rPr>
          <w:rFonts w:ascii="宋体" w:cs="宋体" w:hint="eastAsia"/>
          <w:kern w:val="0"/>
          <w:sz w:val="24"/>
          <w:szCs w:val="24"/>
        </w:rPr>
        <w:t>、如果委托人在授权委托书中明确其表决意见的，以委托人的表决意见为准；如果授权委托书中未明确委托人的表决意见的，即视为授权</w:t>
      </w:r>
      <w:r>
        <w:rPr>
          <w:rFonts w:ascii="宋体" w:cs="宋体" w:hint="eastAsia"/>
          <w:kern w:val="0"/>
          <w:sz w:val="24"/>
          <w:szCs w:val="24"/>
        </w:rPr>
        <w:t>代理人</w:t>
      </w:r>
      <w:r w:rsidRPr="003D42AC">
        <w:rPr>
          <w:rFonts w:ascii="宋体" w:cs="宋体" w:hint="eastAsia"/>
          <w:kern w:val="0"/>
          <w:sz w:val="24"/>
          <w:szCs w:val="24"/>
        </w:rPr>
        <w:t>按照</w:t>
      </w:r>
      <w:r>
        <w:rPr>
          <w:rFonts w:ascii="宋体" w:cs="宋体" w:hint="eastAsia"/>
          <w:kern w:val="0"/>
          <w:sz w:val="24"/>
          <w:szCs w:val="24"/>
        </w:rPr>
        <w:t>代理人</w:t>
      </w:r>
      <w:r w:rsidRPr="003D42AC">
        <w:rPr>
          <w:rFonts w:ascii="宋体" w:cs="宋体" w:hint="eastAsia"/>
          <w:kern w:val="0"/>
          <w:sz w:val="24"/>
          <w:szCs w:val="24"/>
        </w:rPr>
        <w:t>的意志全权行使表决权；</w:t>
      </w:r>
      <w:r w:rsidRPr="004D1032">
        <w:rPr>
          <w:rFonts w:ascii="宋体" w:cs="宋体" w:hint="eastAsia"/>
          <w:kern w:val="0"/>
          <w:sz w:val="24"/>
          <w:szCs w:val="24"/>
        </w:rPr>
        <w:t>如委托人在同一授权委托表示中表达多种表决意见的，视为委托人授权</w:t>
      </w:r>
      <w:r>
        <w:rPr>
          <w:rFonts w:ascii="宋体" w:cs="宋体" w:hint="eastAsia"/>
          <w:kern w:val="0"/>
          <w:sz w:val="24"/>
          <w:szCs w:val="24"/>
        </w:rPr>
        <w:t>代理人投弃权票</w:t>
      </w:r>
      <w:r w:rsidRPr="004D1032">
        <w:rPr>
          <w:rFonts w:ascii="宋体" w:cs="宋体" w:hint="eastAsia"/>
          <w:kern w:val="0"/>
          <w:sz w:val="24"/>
          <w:szCs w:val="24"/>
        </w:rPr>
        <w:t>。</w:t>
      </w:r>
    </w:p>
    <w:p w:rsidR="002A7AC7" w:rsidRPr="002A7AC7" w:rsidRDefault="002A7AC7" w:rsidP="002A7AC7">
      <w:pPr>
        <w:autoSpaceDE w:val="0"/>
        <w:autoSpaceDN w:val="0"/>
        <w:adjustRightInd w:val="0"/>
        <w:spacing w:line="360" w:lineRule="auto"/>
        <w:ind w:firstLineChars="200" w:firstLine="480"/>
        <w:rPr>
          <w:rFonts w:ascii="宋体" w:cs="宋体"/>
          <w:kern w:val="0"/>
          <w:sz w:val="24"/>
          <w:szCs w:val="24"/>
        </w:rPr>
      </w:pPr>
      <w:r w:rsidRPr="002A7AC7">
        <w:rPr>
          <w:rFonts w:ascii="宋体" w:cs="宋体"/>
          <w:kern w:val="0"/>
          <w:sz w:val="24"/>
          <w:szCs w:val="24"/>
        </w:rPr>
        <w:t>6、基金份额持有人的授权意见代表基金份额持有人在权益登记日所持全部基金份额的授权意见。</w:t>
      </w:r>
      <w:r w:rsidR="003E34D1" w:rsidRPr="003E34D1">
        <w:rPr>
          <w:rFonts w:ascii="宋体" w:cs="宋体" w:hint="eastAsia"/>
          <w:kern w:val="0"/>
          <w:sz w:val="24"/>
          <w:szCs w:val="24"/>
        </w:rPr>
        <w:t>投资者在权益登记日未持有本基金基金份额的，授权无效。</w:t>
      </w:r>
    </w:p>
    <w:p w:rsidR="002A7AC7" w:rsidRPr="003D42AC" w:rsidRDefault="002A7AC7" w:rsidP="002A7AC7">
      <w:pPr>
        <w:autoSpaceDE w:val="0"/>
        <w:autoSpaceDN w:val="0"/>
        <w:adjustRightInd w:val="0"/>
        <w:spacing w:line="360" w:lineRule="auto"/>
        <w:ind w:firstLineChars="200" w:firstLine="480"/>
        <w:rPr>
          <w:rFonts w:ascii="宋体" w:cs="宋体"/>
          <w:kern w:val="0"/>
          <w:sz w:val="24"/>
          <w:szCs w:val="24"/>
        </w:rPr>
      </w:pPr>
      <w:r w:rsidRPr="002A7AC7">
        <w:rPr>
          <w:rFonts w:ascii="宋体" w:cs="宋体"/>
          <w:kern w:val="0"/>
          <w:sz w:val="24"/>
          <w:szCs w:val="24"/>
        </w:rPr>
        <w:t>7、上述授权有效期自授权之日起至本次基金份额持有人大会</w:t>
      </w:r>
      <w:r w:rsidRPr="002A7AC7">
        <w:rPr>
          <w:rFonts w:ascii="宋体" w:cs="宋体" w:hint="eastAsia"/>
          <w:kern w:val="0"/>
          <w:sz w:val="24"/>
          <w:szCs w:val="24"/>
        </w:rPr>
        <w:t>会议结束</w:t>
      </w:r>
      <w:r w:rsidRPr="002A7AC7">
        <w:rPr>
          <w:rFonts w:ascii="宋体" w:cs="宋体"/>
          <w:kern w:val="0"/>
          <w:sz w:val="24"/>
          <w:szCs w:val="24"/>
        </w:rPr>
        <w:t>之日止；但如果本基金根据本公告</w:t>
      </w:r>
      <w:r w:rsidR="00776910">
        <w:rPr>
          <w:rFonts w:ascii="宋体" w:cs="宋体" w:hint="eastAsia"/>
          <w:kern w:val="0"/>
          <w:sz w:val="24"/>
          <w:szCs w:val="24"/>
        </w:rPr>
        <w:t>“</w:t>
      </w:r>
      <w:r w:rsidRPr="002A7AC7">
        <w:rPr>
          <w:rFonts w:ascii="宋体" w:cs="宋体"/>
          <w:kern w:val="0"/>
          <w:sz w:val="24"/>
          <w:szCs w:val="24"/>
        </w:rPr>
        <w:t>八、</w:t>
      </w:r>
      <w:r w:rsidR="00776910" w:rsidRPr="00776910">
        <w:rPr>
          <w:rFonts w:ascii="宋体" w:cs="宋体" w:hint="eastAsia"/>
          <w:kern w:val="0"/>
          <w:sz w:val="24"/>
          <w:szCs w:val="24"/>
        </w:rPr>
        <w:t>二次召集基金份额持有人大会</w:t>
      </w:r>
      <w:r w:rsidR="00776910">
        <w:rPr>
          <w:rFonts w:ascii="宋体" w:cs="宋体" w:hint="eastAsia"/>
          <w:kern w:val="0"/>
          <w:sz w:val="24"/>
          <w:szCs w:val="24"/>
        </w:rPr>
        <w:t>”</w:t>
      </w:r>
      <w:r w:rsidRPr="002A7AC7">
        <w:rPr>
          <w:rFonts w:ascii="宋体" w:cs="宋体"/>
          <w:kern w:val="0"/>
          <w:sz w:val="24"/>
          <w:szCs w:val="24"/>
        </w:rPr>
        <w:t>章节的规定就相同审议事项重新召集持有人大会的，上述授权继续有效。</w:t>
      </w:r>
    </w:p>
    <w:p w:rsidR="00E027A1" w:rsidRPr="003D42AC" w:rsidRDefault="00E027A1"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E027A1"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六</w:t>
      </w:r>
      <w:r w:rsidR="00D33331" w:rsidRPr="00F756F9">
        <w:rPr>
          <w:rFonts w:ascii="宋体" w:cs="宋体" w:hint="eastAsia"/>
          <w:b/>
          <w:kern w:val="0"/>
          <w:sz w:val="28"/>
          <w:szCs w:val="28"/>
        </w:rPr>
        <w:t>、计票</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、本次</w:t>
      </w:r>
      <w:r w:rsidR="003D42AC">
        <w:rPr>
          <w:rFonts w:ascii="宋体" w:cs="宋体" w:hint="eastAsia"/>
          <w:kern w:val="0"/>
          <w:sz w:val="24"/>
          <w:szCs w:val="24"/>
        </w:rPr>
        <w:t>持有人大会</w:t>
      </w:r>
      <w:r w:rsidRPr="00F756F9">
        <w:rPr>
          <w:rFonts w:ascii="宋体" w:cs="宋体" w:hint="eastAsia"/>
          <w:kern w:val="0"/>
          <w:sz w:val="24"/>
          <w:szCs w:val="24"/>
        </w:rPr>
        <w:t>的计票方式为</w:t>
      </w:r>
      <w:r w:rsidRPr="0006449A">
        <w:rPr>
          <w:rFonts w:ascii="宋体" w:cs="宋体" w:hint="eastAsia"/>
          <w:kern w:val="0"/>
          <w:sz w:val="24"/>
          <w:szCs w:val="24"/>
        </w:rPr>
        <w:t>：由本基金管理人授权的两名</w:t>
      </w:r>
      <w:r w:rsidR="00C204E4" w:rsidRPr="0006449A">
        <w:rPr>
          <w:rFonts w:ascii="宋体" w:cs="宋体" w:hint="eastAsia"/>
          <w:kern w:val="0"/>
          <w:sz w:val="24"/>
          <w:szCs w:val="24"/>
        </w:rPr>
        <w:t>监督员</w:t>
      </w:r>
      <w:r w:rsidRPr="0006449A">
        <w:rPr>
          <w:rFonts w:ascii="宋体" w:cs="宋体" w:hint="eastAsia"/>
          <w:kern w:val="0"/>
          <w:sz w:val="24"/>
          <w:szCs w:val="24"/>
        </w:rPr>
        <w:t>在基金托管人（</w:t>
      </w:r>
      <w:r w:rsidR="003A1D15">
        <w:rPr>
          <w:rFonts w:ascii="宋体" w:cs="宋体" w:hint="eastAsia"/>
          <w:kern w:val="0"/>
          <w:sz w:val="24"/>
          <w:szCs w:val="24"/>
        </w:rPr>
        <w:t>招商</w:t>
      </w:r>
      <w:r w:rsidR="00FD4CAB">
        <w:rPr>
          <w:rFonts w:ascii="宋体" w:cs="宋体" w:hint="eastAsia"/>
          <w:kern w:val="0"/>
          <w:sz w:val="24"/>
          <w:szCs w:val="24"/>
        </w:rPr>
        <w:t>银行股份有限公司</w:t>
      </w:r>
      <w:r w:rsidRPr="0006449A">
        <w:rPr>
          <w:rFonts w:ascii="宋体" w:cs="宋体" w:hint="eastAsia"/>
          <w:kern w:val="0"/>
          <w:sz w:val="24"/>
          <w:szCs w:val="24"/>
        </w:rPr>
        <w:t>）授权代表的监督下在</w:t>
      </w:r>
      <w:r w:rsidR="00C710A5" w:rsidRPr="0006449A">
        <w:rPr>
          <w:rFonts w:ascii="宋体" w:cs="宋体" w:hint="eastAsia"/>
          <w:kern w:val="0"/>
          <w:sz w:val="24"/>
          <w:szCs w:val="24"/>
        </w:rPr>
        <w:t>本公告的表决截止日期后2个工作日内</w:t>
      </w:r>
      <w:r w:rsidRPr="0006449A">
        <w:rPr>
          <w:rFonts w:ascii="宋体" w:cs="宋体" w:hint="eastAsia"/>
          <w:kern w:val="0"/>
          <w:sz w:val="24"/>
          <w:szCs w:val="24"/>
        </w:rPr>
        <w:t>进行计票，并由公证机构对其计票过程予以公证并形成决议。</w:t>
      </w:r>
    </w:p>
    <w:p w:rsidR="00D33331" w:rsidRPr="00C204E4"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2</w:t>
      </w:r>
      <w:r w:rsidRPr="00F756F9">
        <w:rPr>
          <w:rFonts w:ascii="宋体" w:cs="宋体" w:hint="eastAsia"/>
          <w:kern w:val="0"/>
          <w:sz w:val="24"/>
          <w:szCs w:val="24"/>
        </w:rPr>
        <w:t>、基金份额持有人所持每份基金份额享有一票表决权</w:t>
      </w:r>
      <w:r w:rsidR="00A20FC6" w:rsidRPr="00F756F9">
        <w:rPr>
          <w:rFonts w:ascii="宋体" w:cs="宋体" w:hint="eastAsia"/>
          <w:kern w:val="0"/>
          <w:sz w:val="24"/>
          <w:szCs w:val="24"/>
        </w:rPr>
        <w:t>，且每一基金份额享有平等的表决权</w:t>
      </w:r>
      <w:r w:rsidRPr="00F756F9">
        <w:rPr>
          <w:rFonts w:ascii="宋体" w:cs="宋体" w:hint="eastAsia"/>
          <w:kern w:val="0"/>
          <w:sz w:val="24"/>
          <w:szCs w:val="24"/>
        </w:rPr>
        <w:t>。</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40281">
        <w:rPr>
          <w:rFonts w:ascii="宋体" w:cs="宋体"/>
          <w:kern w:val="0"/>
          <w:sz w:val="24"/>
          <w:szCs w:val="24"/>
        </w:rPr>
        <w:t>3</w:t>
      </w:r>
      <w:r w:rsidRPr="00F40281">
        <w:rPr>
          <w:rFonts w:ascii="宋体" w:cs="宋体" w:hint="eastAsia"/>
          <w:kern w:val="0"/>
          <w:sz w:val="24"/>
          <w:szCs w:val="24"/>
        </w:rPr>
        <w:t>、表决票效力的认定</w:t>
      </w:r>
      <w:r w:rsidR="00C204E4" w:rsidRPr="00F40281">
        <w:rPr>
          <w:rFonts w:ascii="宋体" w:cs="宋体" w:hint="eastAsia"/>
          <w:kern w:val="0"/>
          <w:sz w:val="24"/>
          <w:szCs w:val="24"/>
        </w:rPr>
        <w:t>详见附件三。</w:t>
      </w:r>
    </w:p>
    <w:p w:rsidR="00F0623D" w:rsidRPr="00F756F9" w:rsidRDefault="00F0623D" w:rsidP="00340485">
      <w:pPr>
        <w:autoSpaceDE w:val="0"/>
        <w:autoSpaceDN w:val="0"/>
        <w:adjustRightInd w:val="0"/>
        <w:spacing w:line="360" w:lineRule="auto"/>
        <w:rPr>
          <w:rFonts w:ascii="宋体" w:cs="宋体"/>
          <w:b/>
          <w:kern w:val="0"/>
          <w:sz w:val="28"/>
          <w:szCs w:val="28"/>
        </w:rPr>
      </w:pPr>
    </w:p>
    <w:p w:rsidR="00F0623D" w:rsidRPr="00F756F9" w:rsidRDefault="00E2653D"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七</w:t>
      </w:r>
      <w:r w:rsidR="003C31C0" w:rsidRPr="00F756F9">
        <w:rPr>
          <w:rFonts w:ascii="宋体" w:cs="宋体" w:hint="eastAsia"/>
          <w:b/>
          <w:kern w:val="0"/>
          <w:sz w:val="28"/>
          <w:szCs w:val="28"/>
        </w:rPr>
        <w:t>、决议生效</w:t>
      </w:r>
      <w:r w:rsidR="00514A0E">
        <w:rPr>
          <w:rFonts w:ascii="宋体" w:cs="宋体" w:hint="eastAsia"/>
          <w:b/>
          <w:kern w:val="0"/>
          <w:sz w:val="28"/>
          <w:szCs w:val="28"/>
        </w:rPr>
        <w:t>与备案</w:t>
      </w:r>
    </w:p>
    <w:p w:rsidR="003C31C0" w:rsidRPr="00F756F9"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w:t>
      </w:r>
      <w:r w:rsidR="00C204E4" w:rsidRPr="00C204E4">
        <w:rPr>
          <w:rFonts w:ascii="宋体" w:cs="宋体" w:hint="eastAsia"/>
          <w:kern w:val="0"/>
          <w:sz w:val="24"/>
          <w:szCs w:val="24"/>
        </w:rPr>
        <w:t>本人直接出具</w:t>
      </w:r>
      <w:r w:rsidR="00A11D5A">
        <w:rPr>
          <w:rFonts w:ascii="宋体" w:cs="宋体" w:hint="eastAsia"/>
          <w:kern w:val="0"/>
          <w:sz w:val="24"/>
          <w:szCs w:val="24"/>
        </w:rPr>
        <w:t>表决</w:t>
      </w:r>
      <w:r w:rsidR="00C204E4" w:rsidRPr="00C204E4">
        <w:rPr>
          <w:rFonts w:ascii="宋体" w:cs="宋体" w:hint="eastAsia"/>
          <w:kern w:val="0"/>
          <w:sz w:val="24"/>
          <w:szCs w:val="24"/>
        </w:rPr>
        <w:t>意见或授权他人代表出具</w:t>
      </w:r>
      <w:r w:rsidR="00A11D5A">
        <w:rPr>
          <w:rFonts w:ascii="宋体" w:cs="宋体" w:hint="eastAsia"/>
          <w:kern w:val="0"/>
          <w:sz w:val="24"/>
          <w:szCs w:val="24"/>
        </w:rPr>
        <w:t>表决</w:t>
      </w:r>
      <w:r w:rsidR="00C204E4" w:rsidRPr="00C204E4">
        <w:rPr>
          <w:rFonts w:ascii="宋体" w:cs="宋体" w:hint="eastAsia"/>
          <w:kern w:val="0"/>
          <w:sz w:val="24"/>
          <w:szCs w:val="24"/>
        </w:rPr>
        <w:t>意见的基金份额持有人所持有的基金份额不小于在权益登记日基金总份额的50％（含50％）</w:t>
      </w:r>
      <w:r w:rsidR="00586BB2" w:rsidRPr="00F756F9">
        <w:rPr>
          <w:rFonts w:ascii="宋体" w:cs="宋体" w:hint="eastAsia"/>
          <w:kern w:val="0"/>
          <w:sz w:val="24"/>
          <w:szCs w:val="24"/>
        </w:rPr>
        <w:t>,则本次通讯开会视为有效</w:t>
      </w:r>
      <w:r w:rsidR="00A63036" w:rsidRPr="00F756F9">
        <w:rPr>
          <w:rFonts w:ascii="宋体" w:cs="宋体" w:hint="eastAsia"/>
          <w:kern w:val="0"/>
          <w:sz w:val="24"/>
          <w:szCs w:val="24"/>
        </w:rPr>
        <w:t>；</w:t>
      </w:r>
    </w:p>
    <w:p w:rsidR="00C204E4" w:rsidRPr="008565B8"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2</w:t>
      </w:r>
      <w:r w:rsidRPr="00F756F9">
        <w:rPr>
          <w:rFonts w:ascii="宋体" w:cs="宋体" w:hint="eastAsia"/>
          <w:kern w:val="0"/>
          <w:sz w:val="24"/>
          <w:szCs w:val="24"/>
        </w:rPr>
        <w:t>、</w:t>
      </w:r>
      <w:r w:rsidR="00586BB2" w:rsidRPr="00F756F9">
        <w:rPr>
          <w:rFonts w:ascii="宋体" w:cs="宋体" w:hint="eastAsia"/>
          <w:kern w:val="0"/>
          <w:sz w:val="24"/>
          <w:szCs w:val="24"/>
        </w:rPr>
        <w:t>本次</w:t>
      </w:r>
      <w:r w:rsidR="00A63036" w:rsidRPr="00F756F9">
        <w:rPr>
          <w:rFonts w:ascii="宋体" w:cs="宋体" w:hint="eastAsia"/>
          <w:kern w:val="0"/>
          <w:sz w:val="24"/>
          <w:szCs w:val="24"/>
        </w:rPr>
        <w:t>议案</w:t>
      </w:r>
      <w:r w:rsidR="00C204E4" w:rsidRPr="007304AF">
        <w:rPr>
          <w:rFonts w:ascii="宋体" w:cs="宋体"/>
          <w:kern w:val="0"/>
          <w:sz w:val="24"/>
          <w:szCs w:val="24"/>
        </w:rPr>
        <w:t>经参加大会的基金份额持有人</w:t>
      </w:r>
      <w:r w:rsidR="00C204E4" w:rsidRPr="007304AF">
        <w:rPr>
          <w:rFonts w:ascii="宋体" w:cs="宋体" w:hint="eastAsia"/>
          <w:kern w:val="0"/>
          <w:sz w:val="24"/>
          <w:szCs w:val="24"/>
        </w:rPr>
        <w:t>或其代理人</w:t>
      </w:r>
      <w:r w:rsidR="00C204E4" w:rsidRPr="007304AF">
        <w:rPr>
          <w:rFonts w:ascii="宋体" w:cs="宋体"/>
          <w:kern w:val="0"/>
          <w:sz w:val="24"/>
          <w:szCs w:val="24"/>
        </w:rPr>
        <w:t>所持表决权的</w:t>
      </w:r>
      <w:r w:rsidR="00C12241" w:rsidRPr="00C12241">
        <w:rPr>
          <w:rFonts w:ascii="宋体" w:cs="宋体" w:hint="eastAsia"/>
          <w:kern w:val="0"/>
          <w:sz w:val="24"/>
          <w:szCs w:val="24"/>
        </w:rPr>
        <w:t>三分之二</w:t>
      </w:r>
      <w:r w:rsidR="00C204E4" w:rsidRPr="007304AF">
        <w:rPr>
          <w:rFonts w:ascii="宋体" w:cs="宋体"/>
          <w:kern w:val="0"/>
          <w:sz w:val="24"/>
          <w:szCs w:val="24"/>
        </w:rPr>
        <w:t>以上（含</w:t>
      </w:r>
      <w:r w:rsidR="00C12241" w:rsidRPr="00C12241">
        <w:rPr>
          <w:rFonts w:ascii="宋体" w:cs="宋体" w:hint="eastAsia"/>
          <w:kern w:val="0"/>
          <w:sz w:val="24"/>
          <w:szCs w:val="24"/>
        </w:rPr>
        <w:t>三分之二</w:t>
      </w:r>
      <w:r w:rsidR="00C204E4" w:rsidRPr="007304AF">
        <w:rPr>
          <w:rFonts w:ascii="宋体" w:cs="宋体"/>
          <w:kern w:val="0"/>
          <w:sz w:val="24"/>
          <w:szCs w:val="24"/>
        </w:rPr>
        <w:t>）通过方为有效</w:t>
      </w:r>
      <w:r w:rsidR="00C204E4" w:rsidRPr="0096329D">
        <w:rPr>
          <w:rFonts w:ascii="宋体" w:cs="宋体" w:hint="eastAsia"/>
          <w:kern w:val="0"/>
          <w:sz w:val="24"/>
          <w:szCs w:val="24"/>
        </w:rPr>
        <w:t>；</w:t>
      </w:r>
    </w:p>
    <w:p w:rsidR="003C31C0" w:rsidRPr="00F756F9"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3</w:t>
      </w:r>
      <w:r w:rsidRPr="00F756F9">
        <w:rPr>
          <w:rFonts w:ascii="宋体" w:cs="宋体" w:hint="eastAsia"/>
          <w:kern w:val="0"/>
          <w:sz w:val="24"/>
          <w:szCs w:val="24"/>
        </w:rPr>
        <w:t>、基金份额持有人大会</w:t>
      </w:r>
      <w:r w:rsidR="0085271E">
        <w:rPr>
          <w:rFonts w:ascii="宋体" w:cs="宋体" w:hint="eastAsia"/>
          <w:kern w:val="0"/>
          <w:sz w:val="24"/>
          <w:szCs w:val="24"/>
        </w:rPr>
        <w:t>决议自</w:t>
      </w:r>
      <w:r w:rsidRPr="00F756F9">
        <w:rPr>
          <w:rFonts w:ascii="宋体" w:cs="宋体" w:hint="eastAsia"/>
          <w:kern w:val="0"/>
          <w:sz w:val="24"/>
          <w:szCs w:val="24"/>
        </w:rPr>
        <w:t>表决</w:t>
      </w:r>
      <w:r w:rsidR="00011485">
        <w:rPr>
          <w:rFonts w:ascii="宋体" w:cs="宋体" w:hint="eastAsia"/>
          <w:kern w:val="0"/>
          <w:sz w:val="24"/>
          <w:szCs w:val="24"/>
        </w:rPr>
        <w:t>通过</w:t>
      </w:r>
      <w:r w:rsidR="0085271E">
        <w:rPr>
          <w:rFonts w:ascii="宋体" w:cs="宋体" w:hint="eastAsia"/>
          <w:kern w:val="0"/>
          <w:sz w:val="24"/>
          <w:szCs w:val="24"/>
        </w:rPr>
        <w:t>之日起</w:t>
      </w:r>
      <w:r w:rsidR="00C204E4">
        <w:rPr>
          <w:rFonts w:ascii="宋体" w:cs="宋体" w:hint="eastAsia"/>
          <w:kern w:val="0"/>
          <w:sz w:val="24"/>
          <w:szCs w:val="24"/>
        </w:rPr>
        <w:t>生效，</w:t>
      </w:r>
      <w:r w:rsidR="00C00B8B">
        <w:rPr>
          <w:rFonts w:ascii="宋体" w:cs="宋体" w:hint="eastAsia"/>
          <w:kern w:val="0"/>
          <w:sz w:val="24"/>
          <w:szCs w:val="24"/>
        </w:rPr>
        <w:t>该决议将由本基金管理人在生效后</w:t>
      </w:r>
      <w:r w:rsidR="00872141">
        <w:rPr>
          <w:rFonts w:ascii="宋体" w:cs="宋体" w:hint="eastAsia"/>
          <w:kern w:val="0"/>
          <w:sz w:val="24"/>
          <w:szCs w:val="24"/>
        </w:rPr>
        <w:t>2</w:t>
      </w:r>
      <w:r w:rsidR="00C00B8B">
        <w:rPr>
          <w:rFonts w:ascii="宋体" w:cs="宋体" w:hint="eastAsia"/>
          <w:kern w:val="0"/>
          <w:sz w:val="24"/>
          <w:szCs w:val="24"/>
        </w:rPr>
        <w:t>日内在</w:t>
      </w:r>
      <w:r w:rsidR="00957D16">
        <w:rPr>
          <w:rFonts w:ascii="宋体" w:cs="宋体" w:hint="eastAsia"/>
          <w:kern w:val="0"/>
          <w:sz w:val="24"/>
          <w:szCs w:val="24"/>
        </w:rPr>
        <w:t>规</w:t>
      </w:r>
      <w:r w:rsidR="00C00B8B">
        <w:rPr>
          <w:rFonts w:ascii="宋体" w:cs="宋体" w:hint="eastAsia"/>
          <w:kern w:val="0"/>
          <w:sz w:val="24"/>
          <w:szCs w:val="24"/>
        </w:rPr>
        <w:t>定媒介公告，</w:t>
      </w:r>
      <w:r w:rsidR="00C00B8B" w:rsidRPr="00F756F9">
        <w:rPr>
          <w:rFonts w:ascii="宋体" w:cs="宋体" w:hint="eastAsia"/>
          <w:kern w:val="0"/>
          <w:sz w:val="24"/>
          <w:szCs w:val="24"/>
        </w:rPr>
        <w:t>将</w:t>
      </w:r>
      <w:r w:rsidR="00C00B8B">
        <w:rPr>
          <w:rFonts w:ascii="宋体" w:cs="宋体" w:hint="eastAsia"/>
          <w:kern w:val="0"/>
          <w:sz w:val="24"/>
          <w:szCs w:val="24"/>
        </w:rPr>
        <w:t>在生效后</w:t>
      </w:r>
      <w:r w:rsidR="00872141">
        <w:rPr>
          <w:rFonts w:ascii="宋体" w:cs="宋体" w:hint="eastAsia"/>
          <w:kern w:val="0"/>
          <w:sz w:val="24"/>
          <w:szCs w:val="24"/>
        </w:rPr>
        <w:t>5</w:t>
      </w:r>
      <w:r w:rsidR="00C00B8B" w:rsidRPr="00F756F9">
        <w:rPr>
          <w:rFonts w:ascii="宋体" w:cs="宋体" w:hint="eastAsia"/>
          <w:kern w:val="0"/>
          <w:sz w:val="24"/>
          <w:szCs w:val="24"/>
        </w:rPr>
        <w:t>日内报中国证监会备案。</w:t>
      </w:r>
    </w:p>
    <w:p w:rsidR="00F0623D" w:rsidRPr="00F756F9" w:rsidRDefault="00F0623D" w:rsidP="00340485">
      <w:pPr>
        <w:autoSpaceDE w:val="0"/>
        <w:autoSpaceDN w:val="0"/>
        <w:adjustRightInd w:val="0"/>
        <w:spacing w:line="360" w:lineRule="auto"/>
        <w:rPr>
          <w:rFonts w:ascii="宋体" w:cs="宋体"/>
          <w:b/>
          <w:kern w:val="0"/>
          <w:sz w:val="28"/>
          <w:szCs w:val="28"/>
        </w:rPr>
      </w:pPr>
    </w:p>
    <w:p w:rsidR="00A63036" w:rsidRPr="00F756F9" w:rsidRDefault="00E2653D"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八</w:t>
      </w:r>
      <w:r w:rsidR="00A63036" w:rsidRPr="00F756F9">
        <w:rPr>
          <w:rFonts w:ascii="宋体" w:cs="宋体" w:hint="eastAsia"/>
          <w:b/>
          <w:kern w:val="0"/>
          <w:sz w:val="28"/>
          <w:szCs w:val="28"/>
        </w:rPr>
        <w:t>、</w:t>
      </w:r>
      <w:r w:rsidR="00BE4FD4" w:rsidRPr="00BE4FD4">
        <w:rPr>
          <w:rFonts w:ascii="宋体" w:cs="宋体" w:hint="eastAsia"/>
          <w:b/>
          <w:kern w:val="0"/>
          <w:sz w:val="28"/>
          <w:szCs w:val="28"/>
        </w:rPr>
        <w:t>二次召集基金份额持有人大会</w:t>
      </w:r>
    </w:p>
    <w:p w:rsidR="00F71023" w:rsidRDefault="00BE4FD4" w:rsidP="00630C57">
      <w:pPr>
        <w:autoSpaceDE w:val="0"/>
        <w:autoSpaceDN w:val="0"/>
        <w:adjustRightInd w:val="0"/>
        <w:spacing w:line="360" w:lineRule="auto"/>
        <w:ind w:firstLineChars="200" w:firstLine="480"/>
        <w:rPr>
          <w:rFonts w:ascii="宋体" w:cs="宋体"/>
          <w:kern w:val="0"/>
          <w:sz w:val="24"/>
          <w:szCs w:val="24"/>
        </w:rPr>
      </w:pPr>
      <w:r w:rsidRPr="00BE4FD4">
        <w:rPr>
          <w:rFonts w:ascii="宋体" w:cs="宋体" w:hint="eastAsia"/>
          <w:kern w:val="0"/>
          <w:sz w:val="24"/>
          <w:szCs w:val="24"/>
        </w:rPr>
        <w:t>根据《基金法》及《基金合同》的规定，本次持有人大会需要本人直接出具</w:t>
      </w:r>
      <w:r w:rsidR="00A11D5A">
        <w:rPr>
          <w:rFonts w:ascii="宋体" w:cs="宋体" w:hint="eastAsia"/>
          <w:kern w:val="0"/>
          <w:sz w:val="24"/>
          <w:szCs w:val="24"/>
        </w:rPr>
        <w:t>表决意见或授权他人代表出具表决</w:t>
      </w:r>
      <w:r w:rsidRPr="00BE4FD4">
        <w:rPr>
          <w:rFonts w:ascii="宋体" w:cs="宋体" w:hint="eastAsia"/>
          <w:kern w:val="0"/>
          <w:sz w:val="24"/>
          <w:szCs w:val="24"/>
        </w:rPr>
        <w:t>意见的基金份额持有人所代表的本基金基金份额占权益登记日基金总份额的50%以上（含50%）</w:t>
      </w:r>
      <w:r w:rsidR="003E34D1" w:rsidRPr="003E34D1">
        <w:rPr>
          <w:rFonts w:ascii="宋体" w:cs="宋体" w:hint="eastAsia"/>
          <w:kern w:val="0"/>
          <w:sz w:val="24"/>
          <w:szCs w:val="24"/>
        </w:rPr>
        <w:t>方可召开</w:t>
      </w:r>
      <w:r w:rsidRPr="00BE4FD4">
        <w:rPr>
          <w:rFonts w:ascii="宋体" w:cs="宋体" w:hint="eastAsia"/>
          <w:kern w:val="0"/>
          <w:sz w:val="24"/>
          <w:szCs w:val="24"/>
        </w:rPr>
        <w:t>。如果本次基金份额持有人大会不符合前述要求而不能够成功召开，本基金管理人可在</w:t>
      </w:r>
      <w:r w:rsidR="003E34D1" w:rsidRPr="003E34D1">
        <w:rPr>
          <w:rFonts w:ascii="宋体" w:cs="宋体" w:hint="eastAsia"/>
          <w:kern w:val="0"/>
          <w:sz w:val="24"/>
          <w:szCs w:val="24"/>
        </w:rPr>
        <w:t>《基金合同》</w:t>
      </w:r>
      <w:r w:rsidRPr="00BE4FD4">
        <w:rPr>
          <w:rFonts w:ascii="宋体" w:cs="宋体" w:hint="eastAsia"/>
          <w:kern w:val="0"/>
          <w:sz w:val="24"/>
          <w:szCs w:val="24"/>
        </w:rPr>
        <w:t>规定时间内就同一议案重新召集基金份额持有人大会。重新召</w:t>
      </w:r>
      <w:r w:rsidR="009E61D9">
        <w:rPr>
          <w:rFonts w:ascii="宋体" w:cs="宋体" w:hint="eastAsia"/>
          <w:kern w:val="0"/>
          <w:sz w:val="24"/>
          <w:szCs w:val="24"/>
        </w:rPr>
        <w:t>集</w:t>
      </w:r>
      <w:r w:rsidRPr="00BE4FD4">
        <w:rPr>
          <w:rFonts w:ascii="宋体" w:cs="宋体" w:hint="eastAsia"/>
          <w:kern w:val="0"/>
          <w:sz w:val="24"/>
          <w:szCs w:val="24"/>
        </w:rPr>
        <w:t>基金份额持有人大会时</w:t>
      </w:r>
      <w:r w:rsidR="00776910" w:rsidRPr="00776910">
        <w:rPr>
          <w:rFonts w:ascii="宋体" w:cs="宋体"/>
          <w:kern w:val="0"/>
          <w:sz w:val="24"/>
          <w:szCs w:val="24"/>
        </w:rPr>
        <w:t>，对于投票而言，基金份额持有人在本次基金份额持有人大会所投的有效表决票依然有效</w:t>
      </w:r>
      <w:r w:rsidR="00E15D33">
        <w:rPr>
          <w:rFonts w:ascii="宋体" w:cs="宋体" w:hint="eastAsia"/>
          <w:kern w:val="0"/>
          <w:sz w:val="24"/>
          <w:szCs w:val="24"/>
        </w:rPr>
        <w:t>；</w:t>
      </w:r>
      <w:r w:rsidR="00E15D33" w:rsidRPr="00E15D33">
        <w:rPr>
          <w:rFonts w:ascii="宋体" w:cs="宋体" w:hint="eastAsia"/>
          <w:kern w:val="0"/>
          <w:sz w:val="24"/>
          <w:szCs w:val="24"/>
        </w:rPr>
        <w:t>如果基金份额持有人在本次基金份额持有人大会中提供了不愿意参加二次大会的说明（具体需以基金管理人认可为准），其在本次基金份额持有人大会所投的有效表决票不计入参加二次大会表决的基金份额总数；</w:t>
      </w:r>
      <w:r w:rsidR="00776910" w:rsidRPr="00776910">
        <w:rPr>
          <w:rFonts w:ascii="宋体" w:cs="宋体"/>
          <w:kern w:val="0"/>
          <w:sz w:val="24"/>
          <w:szCs w:val="24"/>
        </w:rPr>
        <w:t>如果基金份额持有人重新进行投票的，则以最新的有效表决票为准</w:t>
      </w:r>
      <w:r w:rsidR="00E15D33">
        <w:rPr>
          <w:rFonts w:ascii="宋体" w:cs="宋体" w:hint="eastAsia"/>
          <w:kern w:val="0"/>
          <w:sz w:val="24"/>
          <w:szCs w:val="24"/>
        </w:rPr>
        <w:t>。</w:t>
      </w:r>
      <w:r w:rsidR="00776910" w:rsidRPr="00776910">
        <w:rPr>
          <w:rFonts w:ascii="宋体" w:cs="宋体"/>
          <w:kern w:val="0"/>
          <w:sz w:val="24"/>
          <w:szCs w:val="24"/>
        </w:rPr>
        <w:t>对于授权而言，</w:t>
      </w:r>
      <w:r w:rsidRPr="00BE4FD4">
        <w:rPr>
          <w:rFonts w:ascii="宋体" w:cs="宋体" w:hint="eastAsia"/>
          <w:kern w:val="0"/>
          <w:sz w:val="24"/>
          <w:szCs w:val="24"/>
        </w:rPr>
        <w:t>除非授权文件另有载明，本次基金份额持有人大会授权期间基金份额持有人</w:t>
      </w:r>
      <w:r w:rsidR="003E34D1">
        <w:rPr>
          <w:rFonts w:ascii="宋体" w:cs="宋体" w:hint="eastAsia"/>
          <w:kern w:val="0"/>
          <w:sz w:val="24"/>
          <w:szCs w:val="24"/>
        </w:rPr>
        <w:t>已</w:t>
      </w:r>
      <w:r w:rsidRPr="00BE4FD4">
        <w:rPr>
          <w:rFonts w:ascii="宋体" w:cs="宋体" w:hint="eastAsia"/>
          <w:kern w:val="0"/>
          <w:sz w:val="24"/>
          <w:szCs w:val="24"/>
        </w:rPr>
        <w:t>作出的各类授权依然有效，但</w:t>
      </w:r>
      <w:r w:rsidR="00EB3CB5">
        <w:rPr>
          <w:rFonts w:ascii="宋体" w:cs="宋体" w:hint="eastAsia"/>
          <w:kern w:val="0"/>
          <w:sz w:val="24"/>
          <w:szCs w:val="24"/>
        </w:rPr>
        <w:t>如果</w:t>
      </w:r>
      <w:r w:rsidRPr="00BE4FD4">
        <w:rPr>
          <w:rFonts w:ascii="宋体" w:cs="宋体" w:hint="eastAsia"/>
          <w:kern w:val="0"/>
          <w:sz w:val="24"/>
          <w:szCs w:val="24"/>
        </w:rPr>
        <w:t>基金份额持有人重新作出授权，则以最新授权为准，详细说明见届时发布的重新召集基金份额持有人大会的通知。</w:t>
      </w:r>
    </w:p>
    <w:p w:rsidR="00CC10E3" w:rsidRPr="00F756F9" w:rsidRDefault="00CC10E3" w:rsidP="00340485">
      <w:pPr>
        <w:autoSpaceDE w:val="0"/>
        <w:autoSpaceDN w:val="0"/>
        <w:adjustRightInd w:val="0"/>
        <w:spacing w:line="360" w:lineRule="auto"/>
        <w:ind w:firstLine="420"/>
        <w:rPr>
          <w:rFonts w:ascii="宋体" w:cs="宋体"/>
          <w:b/>
          <w:kern w:val="0"/>
          <w:sz w:val="28"/>
          <w:szCs w:val="28"/>
        </w:rPr>
      </w:pPr>
    </w:p>
    <w:p w:rsidR="00F0623D" w:rsidRPr="00F756F9" w:rsidRDefault="00E2653D"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九</w:t>
      </w:r>
      <w:r w:rsidR="003C31C0" w:rsidRPr="00F756F9">
        <w:rPr>
          <w:rFonts w:ascii="宋体" w:cs="宋体" w:hint="eastAsia"/>
          <w:b/>
          <w:kern w:val="0"/>
          <w:sz w:val="28"/>
          <w:szCs w:val="28"/>
        </w:rPr>
        <w:t>、本次大会相关机构</w:t>
      </w:r>
    </w:p>
    <w:p w:rsidR="003C31C0" w:rsidRPr="00F756F9"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0021697B" w:rsidRPr="00F756F9">
        <w:rPr>
          <w:rFonts w:ascii="宋体" w:cs="宋体" w:hint="eastAsia"/>
          <w:kern w:val="0"/>
          <w:sz w:val="24"/>
          <w:szCs w:val="24"/>
        </w:rPr>
        <w:t>、召集人（基金管理人）：</w:t>
      </w:r>
      <w:r w:rsidR="002068F4">
        <w:rPr>
          <w:rFonts w:ascii="宋体" w:cs="宋体" w:hint="eastAsia"/>
          <w:kern w:val="0"/>
          <w:sz w:val="24"/>
          <w:szCs w:val="24"/>
        </w:rPr>
        <w:t>上海东方证券资产</w:t>
      </w:r>
      <w:r w:rsidR="00431D23" w:rsidRPr="00F756F9">
        <w:rPr>
          <w:rFonts w:ascii="宋体" w:cs="宋体" w:hint="eastAsia"/>
          <w:kern w:val="0"/>
          <w:sz w:val="24"/>
          <w:szCs w:val="24"/>
        </w:rPr>
        <w:t>管理有限公司</w:t>
      </w:r>
    </w:p>
    <w:p w:rsidR="00DD2AFE" w:rsidRPr="00B9368A"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持有人大会专线/客服电话：</w:t>
      </w:r>
      <w:r w:rsidR="002068F4" w:rsidRPr="00B9368A">
        <w:rPr>
          <w:rFonts w:ascii="宋体" w:cs="宋体" w:hint="eastAsia"/>
          <w:kern w:val="0"/>
          <w:sz w:val="24"/>
          <w:szCs w:val="24"/>
        </w:rPr>
        <w:t>4009200808</w:t>
      </w:r>
      <w:r w:rsidR="00894D98">
        <w:rPr>
          <w:rFonts w:ascii="宋体" w:cs="宋体" w:hint="eastAsia"/>
          <w:kern w:val="0"/>
          <w:sz w:val="24"/>
          <w:szCs w:val="24"/>
        </w:rPr>
        <w:t>（免长途通话费）</w:t>
      </w:r>
    </w:p>
    <w:p w:rsidR="00DD2AFE" w:rsidRPr="00B9368A" w:rsidRDefault="002B244A"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联系人：</w:t>
      </w:r>
      <w:r w:rsidR="002068F4" w:rsidRPr="00B9368A">
        <w:rPr>
          <w:rFonts w:ascii="宋体" w:cs="宋体" w:hint="eastAsia"/>
          <w:kern w:val="0"/>
          <w:sz w:val="24"/>
          <w:szCs w:val="24"/>
        </w:rPr>
        <w:t>吴比</w:t>
      </w:r>
    </w:p>
    <w:p w:rsidR="00DD2AFE" w:rsidRPr="00B9368A"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传真：</w:t>
      </w:r>
      <w:r w:rsidR="00025696" w:rsidRPr="00B9368A">
        <w:rPr>
          <w:rFonts w:ascii="宋体" w:cs="宋体" w:hint="eastAsia"/>
          <w:kern w:val="0"/>
          <w:sz w:val="24"/>
          <w:szCs w:val="24"/>
        </w:rPr>
        <w:t>0</w:t>
      </w:r>
      <w:r w:rsidR="002068F4" w:rsidRPr="00B9368A">
        <w:rPr>
          <w:rFonts w:ascii="宋体" w:cs="宋体" w:hint="eastAsia"/>
          <w:kern w:val="0"/>
          <w:sz w:val="24"/>
          <w:szCs w:val="24"/>
        </w:rPr>
        <w:t>21</w:t>
      </w:r>
      <w:r w:rsidR="00025696" w:rsidRPr="00B9368A">
        <w:rPr>
          <w:rFonts w:ascii="宋体" w:cs="宋体" w:hint="eastAsia"/>
          <w:kern w:val="0"/>
          <w:sz w:val="24"/>
          <w:szCs w:val="24"/>
        </w:rPr>
        <w:t>-</w:t>
      </w:r>
      <w:r w:rsidR="002068F4" w:rsidRPr="00B9368A">
        <w:rPr>
          <w:rFonts w:ascii="宋体" w:cs="宋体" w:hint="eastAsia"/>
          <w:kern w:val="0"/>
          <w:sz w:val="24"/>
          <w:szCs w:val="24"/>
        </w:rPr>
        <w:t>63326981</w:t>
      </w:r>
    </w:p>
    <w:p w:rsidR="00DD2AFE" w:rsidRPr="00B9368A"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网址：</w:t>
      </w:r>
      <w:r w:rsidR="003A4734" w:rsidRPr="00B9368A">
        <w:rPr>
          <w:rFonts w:ascii="宋体" w:cs="宋体" w:hint="eastAsia"/>
          <w:kern w:val="0"/>
          <w:sz w:val="24"/>
          <w:szCs w:val="24"/>
        </w:rPr>
        <w:t>www.</w:t>
      </w:r>
      <w:r w:rsidR="002068F4" w:rsidRPr="00B9368A">
        <w:rPr>
          <w:rFonts w:ascii="宋体" w:cs="宋体" w:hint="eastAsia"/>
          <w:kern w:val="0"/>
          <w:sz w:val="24"/>
          <w:szCs w:val="24"/>
        </w:rPr>
        <w:t>dfham</w:t>
      </w:r>
      <w:r w:rsidR="003A4734" w:rsidRPr="00B9368A">
        <w:rPr>
          <w:rFonts w:ascii="宋体" w:cs="宋体" w:hint="eastAsia"/>
          <w:kern w:val="0"/>
          <w:sz w:val="24"/>
          <w:szCs w:val="24"/>
        </w:rPr>
        <w:t>.com</w:t>
      </w:r>
    </w:p>
    <w:p w:rsidR="00DD2AFE" w:rsidRPr="00964067"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电子邮件：</w:t>
      </w:r>
      <w:r w:rsidR="008275AD" w:rsidRPr="00F40281">
        <w:rPr>
          <w:rFonts w:ascii="宋体" w:cs="宋体" w:hint="eastAsia"/>
          <w:kern w:val="0"/>
          <w:sz w:val="24"/>
          <w:szCs w:val="24"/>
        </w:rPr>
        <w:t>service@dfham.com</w:t>
      </w:r>
    </w:p>
    <w:p w:rsidR="003C31C0" w:rsidRPr="00312302" w:rsidRDefault="003C31C0" w:rsidP="00340485">
      <w:pPr>
        <w:autoSpaceDE w:val="0"/>
        <w:autoSpaceDN w:val="0"/>
        <w:adjustRightInd w:val="0"/>
        <w:spacing w:line="360" w:lineRule="auto"/>
        <w:ind w:firstLineChars="200" w:firstLine="480"/>
        <w:rPr>
          <w:rFonts w:ascii="宋体" w:cs="宋体"/>
          <w:kern w:val="0"/>
          <w:sz w:val="24"/>
          <w:szCs w:val="24"/>
        </w:rPr>
      </w:pPr>
      <w:r w:rsidRPr="00D36274">
        <w:rPr>
          <w:rFonts w:ascii="宋体" w:cs="宋体"/>
          <w:kern w:val="0"/>
          <w:sz w:val="24"/>
          <w:szCs w:val="24"/>
        </w:rPr>
        <w:t>2</w:t>
      </w:r>
      <w:r w:rsidRPr="00D36274">
        <w:rPr>
          <w:rFonts w:ascii="宋体" w:cs="宋体" w:hint="eastAsia"/>
          <w:kern w:val="0"/>
          <w:sz w:val="24"/>
          <w:szCs w:val="24"/>
        </w:rPr>
        <w:t>、</w:t>
      </w:r>
      <w:r w:rsidR="00742ADF">
        <w:rPr>
          <w:rFonts w:ascii="宋体" w:cs="宋体" w:hint="eastAsia"/>
          <w:kern w:val="0"/>
          <w:sz w:val="24"/>
          <w:szCs w:val="24"/>
        </w:rPr>
        <w:t>基金托管人</w:t>
      </w:r>
      <w:r w:rsidRPr="00D36274">
        <w:rPr>
          <w:rFonts w:ascii="宋体" w:cs="宋体" w:hint="eastAsia"/>
          <w:kern w:val="0"/>
          <w:sz w:val="24"/>
          <w:szCs w:val="24"/>
        </w:rPr>
        <w:t>：</w:t>
      </w:r>
      <w:r w:rsidR="003A1D15">
        <w:rPr>
          <w:rFonts w:ascii="宋体" w:cs="宋体" w:hint="eastAsia"/>
          <w:kern w:val="0"/>
          <w:sz w:val="24"/>
          <w:szCs w:val="24"/>
        </w:rPr>
        <w:t>招商</w:t>
      </w:r>
      <w:r w:rsidR="00FD4CAB">
        <w:rPr>
          <w:rFonts w:ascii="宋体" w:cs="宋体" w:hint="eastAsia"/>
          <w:kern w:val="0"/>
          <w:sz w:val="24"/>
          <w:szCs w:val="24"/>
        </w:rPr>
        <w:t>银行股份有限公司</w:t>
      </w:r>
    </w:p>
    <w:p w:rsidR="00671544" w:rsidRPr="00671544" w:rsidRDefault="00671544" w:rsidP="00671544">
      <w:pPr>
        <w:autoSpaceDE w:val="0"/>
        <w:autoSpaceDN w:val="0"/>
        <w:adjustRightInd w:val="0"/>
        <w:spacing w:line="360" w:lineRule="auto"/>
        <w:ind w:firstLineChars="200" w:firstLine="480"/>
        <w:rPr>
          <w:rFonts w:ascii="宋体" w:cs="宋体"/>
          <w:kern w:val="0"/>
          <w:sz w:val="24"/>
          <w:szCs w:val="24"/>
        </w:rPr>
      </w:pPr>
      <w:r w:rsidRPr="00671544">
        <w:rPr>
          <w:rFonts w:ascii="宋体" w:cs="宋体" w:hint="eastAsia"/>
          <w:kern w:val="0"/>
          <w:sz w:val="24"/>
          <w:szCs w:val="24"/>
        </w:rPr>
        <w:t>3、公证机构：上海市徐汇公证处</w:t>
      </w:r>
    </w:p>
    <w:p w:rsidR="0029767E" w:rsidRPr="0029767E" w:rsidRDefault="0029767E" w:rsidP="0029767E">
      <w:pPr>
        <w:autoSpaceDE w:val="0"/>
        <w:autoSpaceDN w:val="0"/>
        <w:adjustRightInd w:val="0"/>
        <w:spacing w:line="360" w:lineRule="auto"/>
        <w:ind w:firstLineChars="200" w:firstLine="480"/>
        <w:rPr>
          <w:rFonts w:ascii="宋体" w:cs="宋体"/>
          <w:kern w:val="0"/>
          <w:sz w:val="24"/>
          <w:szCs w:val="24"/>
        </w:rPr>
      </w:pPr>
      <w:r w:rsidRPr="0029767E">
        <w:rPr>
          <w:rFonts w:ascii="宋体" w:cs="宋体" w:hint="eastAsia"/>
          <w:kern w:val="0"/>
          <w:sz w:val="24"/>
          <w:szCs w:val="24"/>
        </w:rPr>
        <w:t>联系人:许周莹</w:t>
      </w:r>
    </w:p>
    <w:p w:rsidR="00BC48E6" w:rsidRPr="00BC48E6" w:rsidRDefault="00BC48E6" w:rsidP="00BC48E6">
      <w:pPr>
        <w:autoSpaceDE w:val="0"/>
        <w:autoSpaceDN w:val="0"/>
        <w:adjustRightInd w:val="0"/>
        <w:spacing w:line="360" w:lineRule="auto"/>
        <w:ind w:firstLineChars="200" w:firstLine="480"/>
        <w:rPr>
          <w:rFonts w:ascii="宋体" w:cs="宋体"/>
          <w:kern w:val="0"/>
          <w:sz w:val="24"/>
          <w:szCs w:val="24"/>
        </w:rPr>
      </w:pPr>
      <w:r w:rsidRPr="00BC48E6">
        <w:rPr>
          <w:rFonts w:ascii="宋体" w:cs="宋体" w:hint="eastAsia"/>
          <w:kern w:val="0"/>
          <w:sz w:val="24"/>
          <w:szCs w:val="24"/>
        </w:rPr>
        <w:t>联系电话：021-</w:t>
      </w:r>
      <w:r w:rsidRPr="00BC48E6">
        <w:rPr>
          <w:rFonts w:ascii="宋体" w:cs="宋体"/>
          <w:kern w:val="0"/>
          <w:sz w:val="24"/>
          <w:szCs w:val="24"/>
        </w:rPr>
        <w:t>64310286</w:t>
      </w:r>
    </w:p>
    <w:p w:rsidR="0093764F" w:rsidRPr="00F756F9" w:rsidRDefault="0093764F" w:rsidP="00340485">
      <w:pPr>
        <w:autoSpaceDE w:val="0"/>
        <w:autoSpaceDN w:val="0"/>
        <w:adjustRightInd w:val="0"/>
        <w:spacing w:line="360" w:lineRule="auto"/>
        <w:ind w:firstLineChars="200" w:firstLine="480"/>
        <w:rPr>
          <w:rFonts w:ascii="宋体" w:cs="宋体"/>
          <w:kern w:val="0"/>
          <w:sz w:val="24"/>
          <w:szCs w:val="24"/>
        </w:rPr>
      </w:pPr>
      <w:r w:rsidRPr="00D36274">
        <w:rPr>
          <w:rFonts w:ascii="宋体" w:cs="宋体" w:hint="eastAsia"/>
          <w:kern w:val="0"/>
          <w:sz w:val="24"/>
          <w:szCs w:val="24"/>
        </w:rPr>
        <w:t>4、</w:t>
      </w:r>
      <w:r w:rsidR="00511756" w:rsidRPr="00D36274">
        <w:rPr>
          <w:rFonts w:ascii="宋体" w:cs="宋体" w:hint="eastAsia"/>
          <w:kern w:val="0"/>
          <w:sz w:val="24"/>
          <w:szCs w:val="24"/>
        </w:rPr>
        <w:t>见证</w:t>
      </w:r>
      <w:r w:rsidRPr="00D36274">
        <w:rPr>
          <w:rFonts w:ascii="宋体" w:cs="宋体" w:hint="eastAsia"/>
          <w:kern w:val="0"/>
          <w:sz w:val="24"/>
          <w:szCs w:val="24"/>
        </w:rPr>
        <w:t>律师</w:t>
      </w:r>
      <w:r w:rsidR="00B779FF" w:rsidRPr="00D36274">
        <w:rPr>
          <w:rFonts w:ascii="宋体" w:cs="宋体" w:hint="eastAsia"/>
          <w:kern w:val="0"/>
          <w:sz w:val="24"/>
          <w:szCs w:val="24"/>
        </w:rPr>
        <w:t>事务所</w:t>
      </w:r>
      <w:r w:rsidRPr="00D36274">
        <w:rPr>
          <w:rFonts w:ascii="宋体" w:cs="宋体" w:hint="eastAsia"/>
          <w:kern w:val="0"/>
          <w:sz w:val="24"/>
          <w:szCs w:val="24"/>
        </w:rPr>
        <w:t>：</w:t>
      </w:r>
      <w:r w:rsidR="00590ED8" w:rsidRPr="00312302">
        <w:rPr>
          <w:rFonts w:ascii="宋体" w:cs="宋体" w:hint="eastAsia"/>
          <w:kern w:val="0"/>
          <w:sz w:val="24"/>
          <w:szCs w:val="24"/>
        </w:rPr>
        <w:t>上海</w:t>
      </w:r>
      <w:r w:rsidR="00011485" w:rsidRPr="00312302">
        <w:rPr>
          <w:rFonts w:ascii="宋体" w:cs="宋体" w:hint="eastAsia"/>
          <w:kern w:val="0"/>
          <w:sz w:val="24"/>
          <w:szCs w:val="24"/>
        </w:rPr>
        <w:t>市</w:t>
      </w:r>
      <w:r w:rsidR="00590ED8" w:rsidRPr="00824E5B">
        <w:rPr>
          <w:rFonts w:ascii="宋体" w:cs="宋体" w:hint="eastAsia"/>
          <w:kern w:val="0"/>
          <w:sz w:val="24"/>
          <w:szCs w:val="24"/>
        </w:rPr>
        <w:t>通力律师事务所</w:t>
      </w:r>
    </w:p>
    <w:p w:rsidR="00F0623D" w:rsidRPr="00F756F9" w:rsidRDefault="00F0623D" w:rsidP="00340485">
      <w:pPr>
        <w:autoSpaceDE w:val="0"/>
        <w:autoSpaceDN w:val="0"/>
        <w:adjustRightInd w:val="0"/>
        <w:spacing w:line="360" w:lineRule="auto"/>
        <w:rPr>
          <w:rFonts w:ascii="宋体" w:cs="宋体"/>
          <w:b/>
          <w:kern w:val="0"/>
          <w:sz w:val="28"/>
          <w:szCs w:val="28"/>
        </w:rPr>
      </w:pPr>
    </w:p>
    <w:p w:rsidR="00F0623D" w:rsidRPr="00F756F9" w:rsidRDefault="00E2653D"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十</w:t>
      </w:r>
      <w:r w:rsidR="003C31C0" w:rsidRPr="00F756F9">
        <w:rPr>
          <w:rFonts w:ascii="宋体" w:cs="宋体" w:hint="eastAsia"/>
          <w:b/>
          <w:kern w:val="0"/>
          <w:sz w:val="28"/>
          <w:szCs w:val="28"/>
        </w:rPr>
        <w:t>、重要提示</w:t>
      </w:r>
    </w:p>
    <w:p w:rsidR="00894D98" w:rsidRPr="00F756F9" w:rsidRDefault="00894D98"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、请基金份额持有人</w:t>
      </w:r>
      <w:r>
        <w:rPr>
          <w:rFonts w:ascii="宋体" w:cs="宋体" w:hint="eastAsia"/>
          <w:kern w:val="0"/>
          <w:sz w:val="24"/>
          <w:szCs w:val="24"/>
        </w:rPr>
        <w:t>认真阅读</w:t>
      </w:r>
      <w:r w:rsidRPr="00F756F9">
        <w:rPr>
          <w:rFonts w:ascii="宋体" w:cs="宋体" w:hint="eastAsia"/>
          <w:kern w:val="0"/>
          <w:sz w:val="24"/>
          <w:szCs w:val="24"/>
        </w:rPr>
        <w:t>本次</w:t>
      </w:r>
      <w:r>
        <w:rPr>
          <w:rFonts w:ascii="宋体" w:cs="宋体" w:hint="eastAsia"/>
          <w:kern w:val="0"/>
          <w:sz w:val="24"/>
          <w:szCs w:val="24"/>
        </w:rPr>
        <w:t>持有人大会的</w:t>
      </w:r>
      <w:r w:rsidRPr="00F756F9">
        <w:rPr>
          <w:rFonts w:ascii="宋体" w:cs="宋体" w:hint="eastAsia"/>
          <w:kern w:val="0"/>
          <w:sz w:val="24"/>
          <w:szCs w:val="24"/>
        </w:rPr>
        <w:t>议案</w:t>
      </w:r>
      <w:r>
        <w:rPr>
          <w:rFonts w:ascii="宋体" w:cs="宋体" w:hint="eastAsia"/>
          <w:kern w:val="0"/>
          <w:sz w:val="24"/>
          <w:szCs w:val="24"/>
        </w:rPr>
        <w:t>及其</w:t>
      </w:r>
      <w:r w:rsidRPr="00F756F9">
        <w:rPr>
          <w:rFonts w:ascii="宋体" w:cs="宋体" w:hint="eastAsia"/>
          <w:kern w:val="0"/>
          <w:sz w:val="24"/>
          <w:szCs w:val="24"/>
        </w:rPr>
        <w:t>说明</w:t>
      </w:r>
      <w:r>
        <w:rPr>
          <w:rFonts w:ascii="宋体" w:cs="宋体" w:hint="eastAsia"/>
          <w:kern w:val="0"/>
          <w:sz w:val="24"/>
          <w:szCs w:val="24"/>
        </w:rPr>
        <w:t>，详</w:t>
      </w:r>
      <w:r w:rsidRPr="00F756F9">
        <w:rPr>
          <w:rFonts w:ascii="宋体" w:cs="宋体" w:hint="eastAsia"/>
          <w:kern w:val="0"/>
          <w:sz w:val="24"/>
          <w:szCs w:val="24"/>
        </w:rPr>
        <w:t>见</w:t>
      </w:r>
      <w:r>
        <w:rPr>
          <w:rFonts w:ascii="宋体" w:cs="宋体" w:hint="eastAsia"/>
          <w:kern w:val="0"/>
          <w:sz w:val="24"/>
          <w:szCs w:val="24"/>
        </w:rPr>
        <w:t>附件一、</w:t>
      </w:r>
      <w:r w:rsidRPr="00F756F9">
        <w:rPr>
          <w:rFonts w:ascii="宋体" w:cs="宋体" w:hint="eastAsia"/>
          <w:kern w:val="0"/>
          <w:sz w:val="24"/>
          <w:szCs w:val="24"/>
        </w:rPr>
        <w:t>附件二。</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2</w:t>
      </w:r>
      <w:r w:rsidRPr="00F756F9">
        <w:rPr>
          <w:rFonts w:ascii="宋体" w:cs="宋体" w:hint="eastAsia"/>
          <w:kern w:val="0"/>
          <w:sz w:val="24"/>
          <w:szCs w:val="24"/>
        </w:rPr>
        <w:t>、</w:t>
      </w:r>
      <w:r>
        <w:rPr>
          <w:rFonts w:ascii="宋体" w:cs="宋体" w:hint="eastAsia"/>
          <w:kern w:val="0"/>
          <w:sz w:val="24"/>
          <w:szCs w:val="24"/>
        </w:rPr>
        <w:t>请基金份额持有人认真阅读本次持有人大会</w:t>
      </w:r>
      <w:r w:rsidRPr="00F756F9">
        <w:rPr>
          <w:rFonts w:ascii="宋体" w:cs="宋体" w:hint="eastAsia"/>
          <w:kern w:val="0"/>
          <w:sz w:val="24"/>
          <w:szCs w:val="24"/>
        </w:rPr>
        <w:t>表决票效力认定程序和标准</w:t>
      </w:r>
      <w:r>
        <w:rPr>
          <w:rFonts w:ascii="宋体" w:cs="宋体" w:hint="eastAsia"/>
          <w:kern w:val="0"/>
          <w:sz w:val="24"/>
          <w:szCs w:val="24"/>
        </w:rPr>
        <w:t>，详</w:t>
      </w:r>
      <w:r w:rsidRPr="00F756F9">
        <w:rPr>
          <w:rFonts w:ascii="宋体" w:cs="宋体" w:hint="eastAsia"/>
          <w:kern w:val="0"/>
          <w:sz w:val="24"/>
          <w:szCs w:val="24"/>
        </w:rPr>
        <w:t>见</w:t>
      </w:r>
      <w:r>
        <w:rPr>
          <w:rFonts w:ascii="宋体" w:cs="宋体" w:hint="eastAsia"/>
          <w:kern w:val="0"/>
          <w:sz w:val="24"/>
          <w:szCs w:val="24"/>
        </w:rPr>
        <w:t>附件三。</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3、</w:t>
      </w:r>
      <w:r w:rsidRPr="00F756F9">
        <w:rPr>
          <w:rFonts w:ascii="宋体" w:cs="宋体" w:hint="eastAsia"/>
          <w:kern w:val="0"/>
          <w:sz w:val="24"/>
          <w:szCs w:val="24"/>
        </w:rPr>
        <w:t>基金份额持有人在提交</w:t>
      </w:r>
      <w:r w:rsidR="00514A0E">
        <w:rPr>
          <w:rFonts w:ascii="宋体" w:cs="宋体" w:hint="eastAsia"/>
          <w:kern w:val="0"/>
          <w:sz w:val="24"/>
          <w:szCs w:val="24"/>
        </w:rPr>
        <w:t>纸质</w:t>
      </w:r>
      <w:r w:rsidRPr="00F756F9">
        <w:rPr>
          <w:rFonts w:ascii="宋体" w:cs="宋体" w:hint="eastAsia"/>
          <w:kern w:val="0"/>
          <w:sz w:val="24"/>
          <w:szCs w:val="24"/>
        </w:rPr>
        <w:t>表决票时，</w:t>
      </w:r>
      <w:r>
        <w:rPr>
          <w:rFonts w:ascii="宋体" w:cs="宋体" w:hint="eastAsia"/>
          <w:kern w:val="0"/>
          <w:sz w:val="24"/>
          <w:szCs w:val="24"/>
        </w:rPr>
        <w:t>请</w:t>
      </w:r>
      <w:r w:rsidRPr="00F756F9">
        <w:rPr>
          <w:rFonts w:ascii="宋体" w:cs="宋体" w:hint="eastAsia"/>
          <w:kern w:val="0"/>
          <w:sz w:val="24"/>
          <w:szCs w:val="24"/>
        </w:rPr>
        <w:t>充分考虑邮寄在途时间，提前寄出</w:t>
      </w:r>
      <w:r w:rsidR="00514A0E">
        <w:rPr>
          <w:rFonts w:ascii="宋体" w:cs="宋体" w:hint="eastAsia"/>
          <w:kern w:val="0"/>
          <w:sz w:val="24"/>
          <w:szCs w:val="24"/>
        </w:rPr>
        <w:t>纸质</w:t>
      </w:r>
      <w:r w:rsidRPr="00F756F9">
        <w:rPr>
          <w:rFonts w:ascii="宋体" w:cs="宋体" w:hint="eastAsia"/>
          <w:kern w:val="0"/>
          <w:sz w:val="24"/>
          <w:szCs w:val="24"/>
        </w:rPr>
        <w:t>表决票。</w:t>
      </w:r>
    </w:p>
    <w:p w:rsidR="005F48AD" w:rsidRDefault="005F48AD"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4、</w:t>
      </w:r>
      <w:r w:rsidRPr="005F48AD">
        <w:rPr>
          <w:rFonts w:ascii="宋体" w:cs="宋体" w:hint="eastAsia"/>
          <w:kern w:val="0"/>
          <w:sz w:val="24"/>
          <w:szCs w:val="24"/>
        </w:rPr>
        <w:t>本基金</w:t>
      </w:r>
      <w:r w:rsidR="00B67B0D">
        <w:rPr>
          <w:rFonts w:ascii="宋体" w:cs="宋体" w:hint="eastAsia"/>
          <w:kern w:val="0"/>
          <w:sz w:val="24"/>
          <w:szCs w:val="24"/>
        </w:rPr>
        <w:t>上市交易，</w:t>
      </w:r>
      <w:r w:rsidR="00D36A00">
        <w:rPr>
          <w:rFonts w:ascii="宋体" w:cs="宋体" w:hint="eastAsia"/>
          <w:kern w:val="0"/>
          <w:sz w:val="24"/>
          <w:szCs w:val="24"/>
        </w:rPr>
        <w:t>为保护基金份额持有人利益，</w:t>
      </w:r>
      <w:r w:rsidR="003B1507">
        <w:rPr>
          <w:rFonts w:ascii="宋体" w:cs="宋体" w:hint="eastAsia"/>
          <w:kern w:val="0"/>
          <w:sz w:val="24"/>
          <w:szCs w:val="24"/>
        </w:rPr>
        <w:t>根据深圳证券交易所的业务规定</w:t>
      </w:r>
      <w:r w:rsidR="004D00E1">
        <w:rPr>
          <w:rFonts w:ascii="宋体" w:cs="宋体" w:hint="eastAsia"/>
          <w:kern w:val="0"/>
          <w:sz w:val="24"/>
          <w:szCs w:val="24"/>
        </w:rPr>
        <w:t>，</w:t>
      </w:r>
      <w:r w:rsidR="00D36A00">
        <w:rPr>
          <w:rFonts w:ascii="宋体" w:cs="宋体" w:hint="eastAsia"/>
          <w:kern w:val="0"/>
          <w:sz w:val="24"/>
          <w:szCs w:val="24"/>
        </w:rPr>
        <w:t>本基金</w:t>
      </w:r>
      <w:r w:rsidRPr="005F48AD">
        <w:rPr>
          <w:rFonts w:ascii="宋体" w:cs="宋体" w:hint="eastAsia"/>
          <w:kern w:val="0"/>
          <w:sz w:val="24"/>
          <w:szCs w:val="24"/>
        </w:rPr>
        <w:t>首次停牌时间为</w:t>
      </w:r>
      <w:r w:rsidR="00882ABB" w:rsidRPr="001A5910">
        <w:rPr>
          <w:rFonts w:ascii="宋体" w:cs="宋体"/>
          <w:kern w:val="0"/>
          <w:sz w:val="24"/>
          <w:szCs w:val="24"/>
        </w:rPr>
        <w:t>20</w:t>
      </w:r>
      <w:r w:rsidR="00882ABB">
        <w:rPr>
          <w:rFonts w:ascii="宋体" w:cs="宋体"/>
          <w:kern w:val="0"/>
          <w:sz w:val="24"/>
          <w:szCs w:val="24"/>
        </w:rPr>
        <w:t>24</w:t>
      </w:r>
      <w:r w:rsidRPr="001A5910">
        <w:rPr>
          <w:rFonts w:ascii="宋体" w:cs="宋体" w:hint="eastAsia"/>
          <w:kern w:val="0"/>
          <w:sz w:val="24"/>
          <w:szCs w:val="24"/>
        </w:rPr>
        <w:t>年</w:t>
      </w:r>
      <w:r w:rsidR="00882ABB">
        <w:rPr>
          <w:rFonts w:ascii="宋体" w:cs="宋体"/>
          <w:kern w:val="0"/>
          <w:sz w:val="24"/>
          <w:szCs w:val="24"/>
        </w:rPr>
        <w:t>12</w:t>
      </w:r>
      <w:r w:rsidRPr="001A5910">
        <w:rPr>
          <w:rFonts w:ascii="宋体" w:cs="宋体" w:hint="eastAsia"/>
          <w:kern w:val="0"/>
          <w:sz w:val="24"/>
          <w:szCs w:val="24"/>
        </w:rPr>
        <w:t>月</w:t>
      </w:r>
      <w:r w:rsidR="00882ABB">
        <w:rPr>
          <w:rFonts w:ascii="宋体" w:cs="宋体"/>
          <w:kern w:val="0"/>
          <w:sz w:val="24"/>
          <w:szCs w:val="24"/>
        </w:rPr>
        <w:t>20</w:t>
      </w:r>
      <w:r w:rsidRPr="001A5910">
        <w:rPr>
          <w:rFonts w:ascii="宋体" w:cs="宋体" w:hint="eastAsia"/>
          <w:kern w:val="0"/>
          <w:sz w:val="24"/>
          <w:szCs w:val="24"/>
        </w:rPr>
        <w:t>日</w:t>
      </w:r>
      <w:r w:rsidR="003E4071" w:rsidRPr="00FF6455">
        <w:rPr>
          <w:rFonts w:ascii="宋体" w:cs="宋体" w:hint="eastAsia"/>
          <w:kern w:val="0"/>
          <w:sz w:val="24"/>
          <w:szCs w:val="24"/>
        </w:rPr>
        <w:t>开市起至当日</w:t>
      </w:r>
      <w:r w:rsidR="0088232E">
        <w:rPr>
          <w:rFonts w:ascii="宋体" w:cs="宋体" w:hint="eastAsia"/>
          <w:kern w:val="0"/>
          <w:sz w:val="24"/>
          <w:szCs w:val="24"/>
        </w:rPr>
        <w:t>上午</w:t>
      </w:r>
      <w:r w:rsidR="003E4071" w:rsidRPr="00FF6455">
        <w:rPr>
          <w:rFonts w:ascii="宋体" w:cs="宋体" w:hint="eastAsia"/>
          <w:kern w:val="0"/>
          <w:sz w:val="24"/>
          <w:szCs w:val="24"/>
        </w:rPr>
        <w:t>10：30</w:t>
      </w:r>
      <w:r w:rsidR="0088232E">
        <w:rPr>
          <w:rFonts w:ascii="宋体" w:cs="宋体" w:hint="eastAsia"/>
          <w:kern w:val="0"/>
          <w:sz w:val="24"/>
          <w:szCs w:val="24"/>
        </w:rPr>
        <w:t>止，1</w:t>
      </w:r>
      <w:r w:rsidR="0088232E">
        <w:rPr>
          <w:rFonts w:ascii="宋体" w:cs="宋体"/>
          <w:kern w:val="0"/>
          <w:sz w:val="24"/>
          <w:szCs w:val="24"/>
        </w:rPr>
        <w:t>0</w:t>
      </w:r>
      <w:r w:rsidR="0088232E">
        <w:rPr>
          <w:rFonts w:ascii="宋体" w:cs="宋体" w:hint="eastAsia"/>
          <w:kern w:val="0"/>
          <w:sz w:val="24"/>
          <w:szCs w:val="24"/>
        </w:rPr>
        <w:t>：3</w:t>
      </w:r>
      <w:r w:rsidR="0088232E">
        <w:rPr>
          <w:rFonts w:ascii="宋体" w:cs="宋体"/>
          <w:kern w:val="0"/>
          <w:sz w:val="24"/>
          <w:szCs w:val="24"/>
        </w:rPr>
        <w:t>0</w:t>
      </w:r>
      <w:r w:rsidR="0088232E">
        <w:rPr>
          <w:rFonts w:ascii="宋体" w:cs="宋体" w:hint="eastAsia"/>
          <w:kern w:val="0"/>
          <w:sz w:val="24"/>
          <w:szCs w:val="24"/>
        </w:rPr>
        <w:t>起复牌</w:t>
      </w:r>
      <w:r w:rsidRPr="001A5910">
        <w:rPr>
          <w:rFonts w:ascii="宋体" w:cs="宋体" w:hint="eastAsia"/>
          <w:kern w:val="0"/>
          <w:sz w:val="24"/>
          <w:szCs w:val="24"/>
        </w:rPr>
        <w:t>。本基金第二次停牌时间为基金份额持有人大会计票日</w:t>
      </w:r>
      <w:r w:rsidR="0088232E">
        <w:rPr>
          <w:rFonts w:ascii="宋体" w:cs="宋体" w:hint="eastAsia"/>
          <w:kern w:val="0"/>
          <w:sz w:val="24"/>
          <w:szCs w:val="24"/>
        </w:rPr>
        <w:t>（2</w:t>
      </w:r>
      <w:r w:rsidR="0088232E">
        <w:rPr>
          <w:rFonts w:ascii="宋体" w:cs="宋体"/>
          <w:kern w:val="0"/>
          <w:sz w:val="24"/>
          <w:szCs w:val="24"/>
        </w:rPr>
        <w:t>025</w:t>
      </w:r>
      <w:r w:rsidR="0088232E">
        <w:rPr>
          <w:rFonts w:ascii="宋体" w:cs="宋体" w:hint="eastAsia"/>
          <w:kern w:val="0"/>
          <w:sz w:val="24"/>
          <w:szCs w:val="24"/>
        </w:rPr>
        <w:t>年3月6日）上午</w:t>
      </w:r>
      <w:r w:rsidR="003E4071" w:rsidRPr="00FF6455">
        <w:rPr>
          <w:rFonts w:ascii="宋体" w:cs="宋体" w:hint="eastAsia"/>
          <w:kern w:val="0"/>
          <w:sz w:val="24"/>
          <w:szCs w:val="24"/>
        </w:rPr>
        <w:t>开市起至基金份额持有人大会</w:t>
      </w:r>
      <w:r w:rsidR="00E14357">
        <w:rPr>
          <w:rFonts w:ascii="宋体" w:cs="宋体" w:hint="eastAsia"/>
          <w:kern w:val="0"/>
          <w:sz w:val="24"/>
          <w:szCs w:val="24"/>
        </w:rPr>
        <w:t>会议情况公告日或</w:t>
      </w:r>
      <w:r w:rsidR="003E4071" w:rsidRPr="00FF6455">
        <w:rPr>
          <w:rFonts w:ascii="宋体" w:cs="宋体" w:hint="eastAsia"/>
          <w:kern w:val="0"/>
          <w:sz w:val="24"/>
          <w:szCs w:val="24"/>
        </w:rPr>
        <w:t>决议生效公告日</w:t>
      </w:r>
      <w:r w:rsidR="00E14357">
        <w:rPr>
          <w:rFonts w:ascii="宋体" w:cs="宋体" w:hint="eastAsia"/>
          <w:kern w:val="0"/>
          <w:sz w:val="24"/>
          <w:szCs w:val="24"/>
        </w:rPr>
        <w:t>上午</w:t>
      </w:r>
      <w:r w:rsidR="003E4071" w:rsidRPr="00FF6455">
        <w:rPr>
          <w:rFonts w:ascii="宋体" w:cs="宋体" w:hint="eastAsia"/>
          <w:kern w:val="0"/>
          <w:sz w:val="24"/>
          <w:szCs w:val="24"/>
        </w:rPr>
        <w:t>10：30</w:t>
      </w:r>
      <w:r w:rsidR="00E14357">
        <w:rPr>
          <w:rFonts w:ascii="宋体" w:cs="宋体" w:hint="eastAsia"/>
          <w:kern w:val="0"/>
          <w:sz w:val="24"/>
          <w:szCs w:val="24"/>
        </w:rPr>
        <w:t>止，1</w:t>
      </w:r>
      <w:r w:rsidR="00E14357">
        <w:rPr>
          <w:rFonts w:ascii="宋体" w:cs="宋体"/>
          <w:kern w:val="0"/>
          <w:sz w:val="24"/>
          <w:szCs w:val="24"/>
        </w:rPr>
        <w:t>0:30</w:t>
      </w:r>
      <w:r w:rsidR="00E14357">
        <w:rPr>
          <w:rFonts w:ascii="宋体" w:cs="宋体" w:hint="eastAsia"/>
          <w:kern w:val="0"/>
          <w:sz w:val="24"/>
          <w:szCs w:val="24"/>
        </w:rPr>
        <w:t>起复牌</w:t>
      </w:r>
      <w:r w:rsidR="0016305D" w:rsidRPr="0016305D">
        <w:rPr>
          <w:rFonts w:ascii="宋体" w:cs="宋体" w:hint="eastAsia"/>
          <w:kern w:val="0"/>
          <w:sz w:val="24"/>
          <w:szCs w:val="24"/>
        </w:rPr>
        <w:t>。如基金份额持有人大会表决通过了</w:t>
      </w:r>
      <w:r w:rsidR="0016305D">
        <w:rPr>
          <w:rFonts w:ascii="宋体" w:cs="宋体" w:hint="eastAsia"/>
          <w:kern w:val="0"/>
          <w:sz w:val="24"/>
          <w:szCs w:val="24"/>
        </w:rPr>
        <w:t>本次议案</w:t>
      </w:r>
      <w:r w:rsidR="0016305D" w:rsidRPr="0016305D">
        <w:rPr>
          <w:rFonts w:ascii="宋体" w:cs="宋体" w:hint="eastAsia"/>
          <w:kern w:val="0"/>
          <w:sz w:val="24"/>
          <w:szCs w:val="24"/>
        </w:rPr>
        <w:t>，本基金将在本次基金份额持有人大会</w:t>
      </w:r>
      <w:r w:rsidR="00E14357">
        <w:rPr>
          <w:rFonts w:ascii="宋体" w:cs="宋体" w:hint="eastAsia"/>
          <w:kern w:val="0"/>
          <w:sz w:val="24"/>
          <w:szCs w:val="24"/>
        </w:rPr>
        <w:t>决议生效后预留不少于二十个交易日的</w:t>
      </w:r>
      <w:r w:rsidR="0016305D" w:rsidRPr="0016305D">
        <w:rPr>
          <w:rFonts w:ascii="宋体" w:cs="宋体" w:hint="eastAsia"/>
          <w:kern w:val="0"/>
          <w:sz w:val="24"/>
          <w:szCs w:val="24"/>
        </w:rPr>
        <w:t>转型选择期。如</w:t>
      </w:r>
      <w:r w:rsidR="0016305D">
        <w:rPr>
          <w:rFonts w:ascii="宋体" w:cs="宋体" w:hint="eastAsia"/>
          <w:kern w:val="0"/>
          <w:sz w:val="24"/>
          <w:szCs w:val="24"/>
        </w:rPr>
        <w:t>本次议案</w:t>
      </w:r>
      <w:r w:rsidR="0016305D" w:rsidRPr="0016305D">
        <w:rPr>
          <w:rFonts w:ascii="宋体" w:cs="宋体" w:hint="eastAsia"/>
          <w:kern w:val="0"/>
          <w:sz w:val="24"/>
          <w:szCs w:val="24"/>
        </w:rPr>
        <w:t>未获通过，后续相关业务安排详见基金管理人届时发布的公告。</w:t>
      </w:r>
      <w:r w:rsidRPr="005F48AD">
        <w:rPr>
          <w:rFonts w:ascii="宋体" w:cs="宋体" w:hint="eastAsia"/>
          <w:kern w:val="0"/>
          <w:sz w:val="24"/>
          <w:szCs w:val="24"/>
        </w:rPr>
        <w:t>敬请基金份额持有人关注本基金停牌期间的流动性风险。</w:t>
      </w:r>
    </w:p>
    <w:p w:rsidR="0016305D" w:rsidRPr="0016305D" w:rsidRDefault="005F48AD"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5</w:t>
      </w:r>
      <w:r w:rsidR="00894D98">
        <w:rPr>
          <w:rFonts w:ascii="宋体" w:cs="宋体" w:hint="eastAsia"/>
          <w:kern w:val="0"/>
          <w:sz w:val="24"/>
          <w:szCs w:val="24"/>
        </w:rPr>
        <w:t>、</w:t>
      </w:r>
      <w:r w:rsidR="0016305D" w:rsidRPr="0016305D">
        <w:rPr>
          <w:rFonts w:ascii="宋体" w:cs="宋体" w:hint="eastAsia"/>
          <w:kern w:val="0"/>
          <w:sz w:val="24"/>
          <w:szCs w:val="24"/>
        </w:rPr>
        <w:t>若本次基金份额持有人大会表决通过本基金的转型事宜，基金管理人将在本次基金份额持有人大会</w:t>
      </w:r>
      <w:r w:rsidR="00DC17E4">
        <w:rPr>
          <w:rFonts w:ascii="宋体" w:cs="宋体" w:hint="eastAsia"/>
          <w:kern w:val="0"/>
          <w:sz w:val="24"/>
          <w:szCs w:val="24"/>
        </w:rPr>
        <w:t>决议生效后</w:t>
      </w:r>
      <w:r w:rsidR="0016305D" w:rsidRPr="0016305D">
        <w:rPr>
          <w:rFonts w:ascii="宋体" w:cs="宋体" w:hint="eastAsia"/>
          <w:kern w:val="0"/>
          <w:sz w:val="24"/>
          <w:szCs w:val="24"/>
        </w:rPr>
        <w:t>预留</w:t>
      </w:r>
      <w:r w:rsidR="00DC17E4">
        <w:rPr>
          <w:rFonts w:ascii="宋体" w:cs="宋体" w:hint="eastAsia"/>
          <w:kern w:val="0"/>
          <w:sz w:val="24"/>
          <w:szCs w:val="24"/>
        </w:rPr>
        <w:t>不少于</w:t>
      </w:r>
      <w:r w:rsidR="0016305D" w:rsidRPr="0016305D">
        <w:rPr>
          <w:rFonts w:ascii="宋体" w:cs="宋体" w:hint="eastAsia"/>
          <w:kern w:val="0"/>
          <w:sz w:val="24"/>
          <w:szCs w:val="24"/>
        </w:rPr>
        <w:t>二十个交易日的转型选择期。转型选择期期间，基金份额持有人可以选择将场内份额进行场内赎回、卖出或者通过跨系统转托管转到场外后继续持有场外份额，并同时开放场内买入和场外赎回</w:t>
      </w:r>
      <w:r w:rsidR="00B0291D">
        <w:rPr>
          <w:rFonts w:ascii="宋体" w:cs="宋体" w:hint="eastAsia"/>
          <w:kern w:val="0"/>
          <w:sz w:val="24"/>
          <w:szCs w:val="24"/>
        </w:rPr>
        <w:t>及转换转出</w:t>
      </w:r>
      <w:r w:rsidR="0016305D" w:rsidRPr="0016305D">
        <w:rPr>
          <w:rFonts w:ascii="宋体" w:cs="宋体" w:hint="eastAsia"/>
          <w:kern w:val="0"/>
          <w:sz w:val="24"/>
          <w:szCs w:val="24"/>
        </w:rPr>
        <w:t>业务。此外，选择期期间本基金</w:t>
      </w:r>
      <w:r w:rsidR="003C0137">
        <w:rPr>
          <w:rFonts w:ascii="宋体" w:cs="宋体" w:hint="eastAsia"/>
          <w:kern w:val="0"/>
          <w:sz w:val="24"/>
          <w:szCs w:val="24"/>
        </w:rPr>
        <w:t>不开放</w:t>
      </w:r>
      <w:r w:rsidR="0016305D" w:rsidRPr="0016305D">
        <w:rPr>
          <w:rFonts w:ascii="宋体" w:cs="宋体" w:hint="eastAsia"/>
          <w:kern w:val="0"/>
          <w:sz w:val="24"/>
          <w:szCs w:val="24"/>
        </w:rPr>
        <w:t>场内</w:t>
      </w:r>
      <w:r w:rsidR="007E07E0">
        <w:rPr>
          <w:rFonts w:ascii="宋体" w:cs="宋体" w:hint="eastAsia"/>
          <w:kern w:val="0"/>
          <w:sz w:val="24"/>
          <w:szCs w:val="24"/>
        </w:rPr>
        <w:t>申购、</w:t>
      </w:r>
      <w:r w:rsidR="003C64E0">
        <w:rPr>
          <w:rFonts w:ascii="宋体" w:cs="宋体" w:hint="eastAsia"/>
          <w:kern w:val="0"/>
          <w:sz w:val="24"/>
          <w:szCs w:val="24"/>
        </w:rPr>
        <w:t>场外</w:t>
      </w:r>
      <w:r w:rsidR="0016305D" w:rsidRPr="0016305D">
        <w:rPr>
          <w:rFonts w:ascii="宋体" w:cs="宋体" w:hint="eastAsia"/>
          <w:kern w:val="0"/>
          <w:sz w:val="24"/>
          <w:szCs w:val="24"/>
        </w:rPr>
        <w:t>申购</w:t>
      </w:r>
      <w:r w:rsidR="005E329D">
        <w:rPr>
          <w:rFonts w:ascii="宋体" w:cs="宋体" w:hint="eastAsia"/>
          <w:kern w:val="0"/>
          <w:sz w:val="24"/>
          <w:szCs w:val="24"/>
        </w:rPr>
        <w:t>及</w:t>
      </w:r>
      <w:r w:rsidR="003C0137">
        <w:rPr>
          <w:rFonts w:ascii="宋体" w:cs="宋体" w:hint="eastAsia"/>
          <w:kern w:val="0"/>
          <w:sz w:val="24"/>
          <w:szCs w:val="24"/>
        </w:rPr>
        <w:t>转换转入</w:t>
      </w:r>
      <w:r w:rsidR="0016305D" w:rsidRPr="0016305D">
        <w:rPr>
          <w:rFonts w:ascii="宋体" w:cs="宋体" w:hint="eastAsia"/>
          <w:kern w:val="0"/>
          <w:sz w:val="24"/>
          <w:szCs w:val="24"/>
        </w:rPr>
        <w:t>业务，以及</w:t>
      </w:r>
      <w:r w:rsidR="005E329D">
        <w:rPr>
          <w:rFonts w:ascii="宋体" w:cs="宋体" w:hint="eastAsia"/>
          <w:kern w:val="0"/>
          <w:sz w:val="24"/>
          <w:szCs w:val="24"/>
        </w:rPr>
        <w:t>暂停</w:t>
      </w:r>
      <w:r w:rsidR="0016305D" w:rsidRPr="0016305D">
        <w:rPr>
          <w:rFonts w:ascii="宋体" w:cs="宋体" w:hint="eastAsia"/>
          <w:kern w:val="0"/>
          <w:sz w:val="24"/>
          <w:szCs w:val="24"/>
        </w:rPr>
        <w:t>场外转场内的跨系统转托管业务。具体安排详见基金管理人届时发布的相关公告。</w:t>
      </w:r>
    </w:p>
    <w:p w:rsidR="0016305D" w:rsidRPr="0059296A" w:rsidRDefault="0016305D" w:rsidP="00340485">
      <w:pPr>
        <w:autoSpaceDE w:val="0"/>
        <w:autoSpaceDN w:val="0"/>
        <w:adjustRightInd w:val="0"/>
        <w:spacing w:line="360" w:lineRule="auto"/>
        <w:ind w:firstLineChars="200" w:firstLine="480"/>
        <w:rPr>
          <w:rFonts w:ascii="宋体" w:cs="宋体"/>
          <w:kern w:val="0"/>
          <w:sz w:val="24"/>
          <w:szCs w:val="24"/>
        </w:rPr>
      </w:pPr>
      <w:r w:rsidRPr="0016305D">
        <w:rPr>
          <w:rFonts w:ascii="宋体" w:cs="宋体" w:hint="eastAsia"/>
          <w:kern w:val="0"/>
          <w:sz w:val="24"/>
          <w:szCs w:val="24"/>
        </w:rPr>
        <w:t>无意继续持有转型后</w:t>
      </w:r>
      <w:r w:rsidR="00AC25BC" w:rsidRPr="00AC25BC">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C25BC" w:rsidRPr="00AC25BC">
        <w:rPr>
          <w:rFonts w:ascii="宋体" w:cs="宋体" w:hint="eastAsia"/>
          <w:kern w:val="0"/>
          <w:sz w:val="24"/>
          <w:szCs w:val="24"/>
        </w:rPr>
        <w:t>年</w:t>
      </w:r>
      <w:r w:rsidR="00AC25BC">
        <w:rPr>
          <w:rFonts w:ascii="宋体" w:cs="宋体" w:hint="eastAsia"/>
          <w:kern w:val="0"/>
          <w:sz w:val="24"/>
          <w:szCs w:val="24"/>
        </w:rPr>
        <w:t>持有期</w:t>
      </w:r>
      <w:r w:rsidR="00AC25BC" w:rsidRPr="00AC25BC">
        <w:rPr>
          <w:rFonts w:ascii="宋体" w:cs="宋体" w:hint="eastAsia"/>
          <w:kern w:val="0"/>
          <w:sz w:val="24"/>
          <w:szCs w:val="24"/>
        </w:rPr>
        <w:t>混合型证券投资基金</w:t>
      </w:r>
      <w:r w:rsidRPr="0016305D">
        <w:rPr>
          <w:rFonts w:ascii="宋体" w:cs="宋体" w:hint="eastAsia"/>
          <w:kern w:val="0"/>
          <w:sz w:val="24"/>
          <w:szCs w:val="24"/>
        </w:rPr>
        <w:t>基金份额的投资者请提前做好退出的相关安排。</w:t>
      </w:r>
    </w:p>
    <w:p w:rsidR="00F42FE1" w:rsidRDefault="0016305D" w:rsidP="00F42FE1">
      <w:pPr>
        <w:autoSpaceDE w:val="0"/>
        <w:autoSpaceDN w:val="0"/>
        <w:adjustRightInd w:val="0"/>
        <w:spacing w:line="360" w:lineRule="auto"/>
        <w:ind w:firstLineChars="200" w:firstLine="480"/>
        <w:rPr>
          <w:rFonts w:ascii="宋体" w:cs="宋体"/>
          <w:kern w:val="0"/>
          <w:sz w:val="24"/>
          <w:szCs w:val="24"/>
        </w:rPr>
      </w:pPr>
      <w:r w:rsidRPr="0016305D">
        <w:rPr>
          <w:rFonts w:ascii="宋体" w:cs="宋体" w:hint="eastAsia"/>
          <w:kern w:val="0"/>
          <w:sz w:val="24"/>
          <w:szCs w:val="24"/>
        </w:rPr>
        <w:t>若转型选择期结束后，基金份额持有人未选择将场内份额进行场内赎回、卖出或未主动通过跨系统转托管转到场外的，原登记在中国证券登记结算有限责任公司</w:t>
      </w:r>
      <w:r w:rsidR="003D131F">
        <w:rPr>
          <w:rFonts w:ascii="宋体" w:cs="宋体" w:hint="eastAsia"/>
          <w:kern w:val="0"/>
          <w:sz w:val="24"/>
          <w:szCs w:val="24"/>
        </w:rPr>
        <w:t>深圳</w:t>
      </w:r>
      <w:r w:rsidRPr="0016305D">
        <w:rPr>
          <w:rFonts w:ascii="宋体" w:cs="宋体" w:hint="eastAsia"/>
          <w:kern w:val="0"/>
          <w:sz w:val="24"/>
          <w:szCs w:val="24"/>
        </w:rPr>
        <w:t>证券登记结算系统的场内基金份额，将统一转登记至基金管理人开立的中国证券登记结算有限责任公司场外基金账户上，后续基金份额持有人需对持有的基金份额进行重新确认与登记，此过程即为“确权”</w:t>
      </w:r>
      <w:r w:rsidR="004B2FBA">
        <w:rPr>
          <w:rFonts w:ascii="宋体" w:cs="宋体" w:hint="eastAsia"/>
          <w:kern w:val="0"/>
          <w:sz w:val="24"/>
          <w:szCs w:val="24"/>
        </w:rPr>
        <w:t>。</w:t>
      </w:r>
      <w:r w:rsidR="004B2FBA" w:rsidRPr="003D597B">
        <w:rPr>
          <w:rFonts w:ascii="宋体" w:cs="宋体" w:hint="eastAsia"/>
          <w:kern w:val="0"/>
          <w:sz w:val="24"/>
          <w:szCs w:val="24"/>
        </w:rPr>
        <w:t>投资者未主动办理确权时，</w:t>
      </w:r>
      <w:r w:rsidR="00DC17E4">
        <w:rPr>
          <w:rFonts w:ascii="宋体" w:cs="宋体" w:hint="eastAsia"/>
          <w:kern w:val="0"/>
          <w:sz w:val="24"/>
          <w:szCs w:val="24"/>
        </w:rPr>
        <w:t>基金</w:t>
      </w:r>
      <w:r w:rsidR="004B2FBA" w:rsidRPr="003D597B">
        <w:rPr>
          <w:rFonts w:ascii="宋体" w:cs="宋体" w:hint="eastAsia"/>
          <w:kern w:val="0"/>
          <w:sz w:val="24"/>
          <w:szCs w:val="24"/>
        </w:rPr>
        <w:t>管理人有权根据届时发布的公告进行批量确</w:t>
      </w:r>
      <w:r w:rsidR="004B2FBA">
        <w:rPr>
          <w:rFonts w:ascii="宋体" w:cs="宋体" w:hint="eastAsia"/>
          <w:kern w:val="0"/>
          <w:sz w:val="24"/>
          <w:szCs w:val="24"/>
        </w:rPr>
        <w:t>权</w:t>
      </w:r>
      <w:r w:rsidR="004B2FBA" w:rsidRPr="003D597B">
        <w:rPr>
          <w:rFonts w:ascii="宋体" w:cs="宋体" w:hint="eastAsia"/>
          <w:kern w:val="0"/>
          <w:sz w:val="24"/>
          <w:szCs w:val="24"/>
        </w:rPr>
        <w:t>。</w:t>
      </w:r>
      <w:r w:rsidRPr="0016305D">
        <w:rPr>
          <w:rFonts w:ascii="宋体" w:cs="宋体" w:hint="eastAsia"/>
          <w:kern w:val="0"/>
          <w:sz w:val="24"/>
          <w:szCs w:val="24"/>
        </w:rPr>
        <w:t>确权完成后，基金份额持有人方可在场外对相关基金份额进行赎回及其他交易</w:t>
      </w:r>
      <w:r w:rsidR="00135B16">
        <w:rPr>
          <w:rFonts w:ascii="宋体" w:cs="宋体" w:hint="eastAsia"/>
          <w:kern w:val="0"/>
          <w:sz w:val="24"/>
          <w:szCs w:val="24"/>
        </w:rPr>
        <w:t>。</w:t>
      </w:r>
      <w:r w:rsidR="002F1A3A">
        <w:rPr>
          <w:rFonts w:ascii="宋体" w:cs="宋体" w:hint="eastAsia"/>
          <w:kern w:val="0"/>
          <w:sz w:val="24"/>
          <w:szCs w:val="24"/>
        </w:rPr>
        <w:t>基金转型前</w:t>
      </w:r>
      <w:r w:rsidR="00276580">
        <w:rPr>
          <w:rFonts w:ascii="宋体" w:cs="宋体" w:hint="eastAsia"/>
          <w:kern w:val="0"/>
          <w:sz w:val="24"/>
          <w:szCs w:val="24"/>
        </w:rPr>
        <w:t>基金份额持有人通过二级市场买入的场内</w:t>
      </w:r>
      <w:r w:rsidR="000F5D44">
        <w:rPr>
          <w:rFonts w:ascii="宋体" w:cs="宋体" w:hint="eastAsia"/>
          <w:kern w:val="0"/>
          <w:sz w:val="24"/>
          <w:szCs w:val="24"/>
        </w:rPr>
        <w:t>份额在转型</w:t>
      </w:r>
      <w:r w:rsidR="00276580">
        <w:rPr>
          <w:rFonts w:ascii="宋体" w:cs="宋体" w:hint="eastAsia"/>
          <w:kern w:val="0"/>
          <w:sz w:val="24"/>
          <w:szCs w:val="24"/>
        </w:rPr>
        <w:t>后不受锁定持有期的限制</w:t>
      </w:r>
      <w:r w:rsidR="00150A0C">
        <w:rPr>
          <w:rFonts w:ascii="宋体" w:cs="宋体" w:hint="eastAsia"/>
          <w:kern w:val="0"/>
          <w:sz w:val="24"/>
          <w:szCs w:val="24"/>
        </w:rPr>
        <w:t>，</w:t>
      </w:r>
      <w:r w:rsidR="000F5D44">
        <w:rPr>
          <w:rFonts w:ascii="宋体" w:cs="宋体" w:hint="eastAsia"/>
          <w:kern w:val="0"/>
          <w:sz w:val="24"/>
          <w:szCs w:val="24"/>
        </w:rPr>
        <w:t>但仍需根据转型后《东方红</w:t>
      </w:r>
      <w:r w:rsidR="00597A80">
        <w:rPr>
          <w:rFonts w:ascii="宋体" w:cs="宋体" w:hint="eastAsia"/>
          <w:kern w:val="0"/>
          <w:sz w:val="24"/>
          <w:szCs w:val="24"/>
        </w:rPr>
        <w:t>恒阳</w:t>
      </w:r>
      <w:r w:rsidR="000F5D44">
        <w:rPr>
          <w:rFonts w:ascii="宋体" w:cs="宋体" w:hint="eastAsia"/>
          <w:kern w:val="0"/>
          <w:sz w:val="24"/>
          <w:szCs w:val="24"/>
        </w:rPr>
        <w:t>五年持有期混合型证券投资基金招募说明书》的规定办理</w:t>
      </w:r>
      <w:r w:rsidRPr="0016305D">
        <w:rPr>
          <w:rFonts w:ascii="宋体" w:cs="宋体" w:hint="eastAsia"/>
          <w:kern w:val="0"/>
          <w:sz w:val="24"/>
          <w:szCs w:val="24"/>
        </w:rPr>
        <w:t>。</w:t>
      </w:r>
    </w:p>
    <w:p w:rsidR="00150A0C" w:rsidRDefault="00163514"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对于基金份额持有人通过二级市场买入的场内份额，如未能在转型选择期内按照相关公告进行退出的，</w:t>
      </w:r>
      <w:r w:rsidR="00E65ADD">
        <w:rPr>
          <w:rFonts w:ascii="宋体" w:cs="宋体" w:hint="eastAsia"/>
          <w:kern w:val="0"/>
          <w:sz w:val="24"/>
          <w:szCs w:val="24"/>
        </w:rPr>
        <w:t>需</w:t>
      </w:r>
      <w:r>
        <w:rPr>
          <w:rFonts w:ascii="宋体" w:cs="宋体" w:hint="eastAsia"/>
          <w:kern w:val="0"/>
          <w:sz w:val="24"/>
          <w:szCs w:val="24"/>
        </w:rPr>
        <w:t>在确权完成后根据</w:t>
      </w:r>
      <w:r w:rsidRPr="0059296A">
        <w:rPr>
          <w:rFonts w:ascii="宋体" w:cs="宋体" w:hint="eastAsia"/>
          <w:kern w:val="0"/>
          <w:sz w:val="24"/>
          <w:szCs w:val="24"/>
        </w:rPr>
        <w:t>《东方红</w:t>
      </w:r>
      <w:r w:rsidR="00597A80">
        <w:rPr>
          <w:rFonts w:ascii="宋体" w:cs="宋体" w:hint="eastAsia"/>
          <w:kern w:val="0"/>
          <w:sz w:val="24"/>
          <w:szCs w:val="24"/>
        </w:rPr>
        <w:t>恒阳</w:t>
      </w:r>
      <w:r w:rsidRPr="0059296A">
        <w:rPr>
          <w:rFonts w:ascii="宋体" w:cs="宋体" w:hint="eastAsia"/>
          <w:kern w:val="0"/>
          <w:sz w:val="24"/>
          <w:szCs w:val="24"/>
        </w:rPr>
        <w:t>五年持有期混合型证券投资基金招募说明书》的规定办理</w:t>
      </w:r>
      <w:r>
        <w:rPr>
          <w:rFonts w:ascii="宋体" w:cs="宋体" w:hint="eastAsia"/>
          <w:kern w:val="0"/>
          <w:sz w:val="24"/>
          <w:szCs w:val="24"/>
        </w:rPr>
        <w:t>赎回</w:t>
      </w:r>
      <w:r w:rsidR="00E65ADD">
        <w:rPr>
          <w:rFonts w:ascii="宋体" w:cs="宋体" w:hint="eastAsia"/>
          <w:kern w:val="0"/>
          <w:sz w:val="24"/>
          <w:szCs w:val="24"/>
        </w:rPr>
        <w:t>。</w:t>
      </w:r>
      <w:r w:rsidR="00D92797">
        <w:rPr>
          <w:rFonts w:ascii="宋体" w:cs="宋体" w:hint="eastAsia"/>
          <w:kern w:val="0"/>
          <w:sz w:val="24"/>
          <w:szCs w:val="24"/>
        </w:rPr>
        <w:t>为避免产生赎回</w:t>
      </w:r>
      <w:r>
        <w:rPr>
          <w:rFonts w:ascii="宋体" w:cs="宋体" w:hint="eastAsia"/>
          <w:kern w:val="0"/>
          <w:sz w:val="24"/>
          <w:szCs w:val="24"/>
        </w:rPr>
        <w:t>成本</w:t>
      </w:r>
      <w:r w:rsidR="00D92797">
        <w:rPr>
          <w:rFonts w:ascii="宋体" w:cs="宋体" w:hint="eastAsia"/>
          <w:kern w:val="0"/>
          <w:sz w:val="24"/>
          <w:szCs w:val="24"/>
        </w:rPr>
        <w:t>，</w:t>
      </w:r>
      <w:r w:rsidR="00150A0C" w:rsidRPr="00150A0C">
        <w:rPr>
          <w:rFonts w:ascii="宋体" w:cs="宋体" w:hint="eastAsia"/>
          <w:kern w:val="0"/>
          <w:sz w:val="24"/>
          <w:szCs w:val="24"/>
        </w:rPr>
        <w:t>请投资者提前做好相关安排。</w:t>
      </w:r>
    </w:p>
    <w:p w:rsidR="00894D98" w:rsidRPr="00CC10E3" w:rsidRDefault="0016305D"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6、</w:t>
      </w:r>
      <w:r w:rsidR="00894D98">
        <w:rPr>
          <w:rFonts w:ascii="宋体" w:cs="宋体" w:hint="eastAsia"/>
          <w:kern w:val="0"/>
          <w:sz w:val="24"/>
          <w:szCs w:val="24"/>
        </w:rPr>
        <w:t>若本次基金份额持有人大会审议的</w:t>
      </w:r>
      <w:r w:rsidR="00F67514">
        <w:rPr>
          <w:rFonts w:ascii="宋体" w:cs="宋体" w:hint="eastAsia"/>
          <w:kern w:val="0"/>
          <w:sz w:val="24"/>
          <w:szCs w:val="24"/>
        </w:rPr>
        <w:t>转型及</w:t>
      </w:r>
      <w:r w:rsidR="0006449A">
        <w:rPr>
          <w:rFonts w:ascii="宋体" w:cs="宋体" w:hint="eastAsia"/>
          <w:kern w:val="0"/>
          <w:sz w:val="24"/>
          <w:szCs w:val="24"/>
        </w:rPr>
        <w:t>修改基金合同</w:t>
      </w:r>
      <w:r w:rsidR="00F67514">
        <w:rPr>
          <w:rFonts w:ascii="宋体" w:cs="宋体" w:hint="eastAsia"/>
          <w:kern w:val="0"/>
          <w:sz w:val="24"/>
          <w:szCs w:val="24"/>
        </w:rPr>
        <w:t>有关事项</w:t>
      </w:r>
      <w:r w:rsidR="00894D98">
        <w:rPr>
          <w:rFonts w:ascii="宋体" w:cs="宋体" w:hint="eastAsia"/>
          <w:kern w:val="0"/>
          <w:sz w:val="24"/>
          <w:szCs w:val="24"/>
        </w:rPr>
        <w:t>的议案获表决通过并生效，则本基金基金合同</w:t>
      </w:r>
      <w:r w:rsidR="007D217E">
        <w:rPr>
          <w:rFonts w:ascii="宋体" w:cs="宋体" w:hint="eastAsia"/>
          <w:kern w:val="0"/>
          <w:sz w:val="24"/>
          <w:szCs w:val="24"/>
        </w:rPr>
        <w:t>、</w:t>
      </w:r>
      <w:r w:rsidR="00F51266">
        <w:rPr>
          <w:rFonts w:ascii="宋体" w:cs="宋体" w:hint="eastAsia"/>
          <w:kern w:val="0"/>
          <w:sz w:val="24"/>
          <w:szCs w:val="24"/>
        </w:rPr>
        <w:t>托管协议、</w:t>
      </w:r>
      <w:r w:rsidR="007D217E">
        <w:rPr>
          <w:rFonts w:ascii="宋体" w:cs="宋体" w:hint="eastAsia"/>
          <w:kern w:val="0"/>
          <w:sz w:val="24"/>
          <w:szCs w:val="24"/>
        </w:rPr>
        <w:t>招募说明书</w:t>
      </w:r>
      <w:r w:rsidR="003A61A4">
        <w:rPr>
          <w:rFonts w:ascii="宋体" w:cs="宋体" w:hint="eastAsia"/>
          <w:kern w:val="0"/>
          <w:sz w:val="24"/>
          <w:szCs w:val="24"/>
        </w:rPr>
        <w:t>、</w:t>
      </w:r>
      <w:r w:rsidR="003A61A4" w:rsidRPr="00C21D3A">
        <w:rPr>
          <w:rFonts w:ascii="宋体" w:hAnsi="Times New Roman" w:cs="宋体" w:hint="eastAsia"/>
          <w:kern w:val="0"/>
          <w:sz w:val="24"/>
          <w:szCs w:val="24"/>
        </w:rPr>
        <w:t>基金产品资料概要</w:t>
      </w:r>
      <w:r w:rsidR="00894D98">
        <w:rPr>
          <w:rFonts w:ascii="宋体" w:cs="宋体" w:hint="eastAsia"/>
          <w:kern w:val="0"/>
          <w:sz w:val="24"/>
          <w:szCs w:val="24"/>
        </w:rPr>
        <w:t>将按照</w:t>
      </w:r>
      <w:r w:rsidR="00C00B8B">
        <w:rPr>
          <w:rFonts w:ascii="宋体" w:cs="宋体" w:hint="eastAsia"/>
          <w:kern w:val="0"/>
          <w:sz w:val="24"/>
          <w:szCs w:val="24"/>
        </w:rPr>
        <w:t>决议</w:t>
      </w:r>
      <w:r w:rsidR="00894D98">
        <w:rPr>
          <w:rFonts w:ascii="宋体" w:cs="宋体" w:hint="eastAsia"/>
          <w:kern w:val="0"/>
          <w:sz w:val="24"/>
          <w:szCs w:val="24"/>
        </w:rPr>
        <w:t>内容进行修订。</w:t>
      </w:r>
    </w:p>
    <w:p w:rsidR="00894D98" w:rsidRPr="00F756F9" w:rsidRDefault="0016305D"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7</w:t>
      </w:r>
      <w:r w:rsidR="00894D98" w:rsidRPr="00F756F9">
        <w:rPr>
          <w:rFonts w:ascii="宋体" w:cs="宋体" w:hint="eastAsia"/>
          <w:kern w:val="0"/>
          <w:sz w:val="24"/>
          <w:szCs w:val="24"/>
        </w:rPr>
        <w:t>、本次基金份额持有人大会的有关公告可通过本基金管理人网站</w:t>
      </w:r>
      <w:r w:rsidR="000B6B63" w:rsidRPr="000B6B63">
        <w:rPr>
          <w:rFonts w:ascii="宋体" w:cs="宋体" w:hint="eastAsia"/>
          <w:kern w:val="0"/>
          <w:sz w:val="24"/>
          <w:szCs w:val="24"/>
        </w:rPr>
        <w:t>及中国证监会基金电子披露网站</w:t>
      </w:r>
      <w:r w:rsidR="00894D98" w:rsidRPr="00F756F9">
        <w:rPr>
          <w:rFonts w:ascii="宋体" w:cs="宋体" w:hint="eastAsia"/>
          <w:kern w:val="0"/>
          <w:sz w:val="24"/>
          <w:szCs w:val="24"/>
        </w:rPr>
        <w:t>查阅，投资者如有任何疑问，可致电基金管理人客户服务电话</w:t>
      </w:r>
      <w:r w:rsidR="00894D98">
        <w:rPr>
          <w:rFonts w:ascii="宋体" w:cs="宋体" w:hint="eastAsia"/>
          <w:kern w:val="0"/>
          <w:sz w:val="24"/>
          <w:szCs w:val="24"/>
        </w:rPr>
        <w:t>4009200808</w:t>
      </w:r>
      <w:r w:rsidR="00894D98" w:rsidRPr="00F756F9">
        <w:rPr>
          <w:rFonts w:ascii="宋体" w:cs="宋体" w:hint="eastAsia"/>
          <w:kern w:val="0"/>
          <w:sz w:val="24"/>
          <w:szCs w:val="24"/>
        </w:rPr>
        <w:t>咨询。</w:t>
      </w:r>
    </w:p>
    <w:p w:rsidR="00894D98" w:rsidRPr="00F756F9" w:rsidRDefault="0016305D"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8</w:t>
      </w:r>
      <w:r w:rsidR="00894D98" w:rsidRPr="00F756F9">
        <w:rPr>
          <w:rFonts w:ascii="宋体" w:cs="宋体" w:hint="eastAsia"/>
          <w:kern w:val="0"/>
          <w:sz w:val="24"/>
          <w:szCs w:val="24"/>
        </w:rPr>
        <w:t>、本</w:t>
      </w:r>
      <w:r w:rsidR="00894D98">
        <w:rPr>
          <w:rFonts w:ascii="宋体" w:cs="宋体" w:hint="eastAsia"/>
          <w:kern w:val="0"/>
          <w:sz w:val="24"/>
          <w:szCs w:val="24"/>
        </w:rPr>
        <w:t>公告</w:t>
      </w:r>
      <w:r w:rsidR="00894D98" w:rsidRPr="00F756F9">
        <w:rPr>
          <w:rFonts w:ascii="宋体" w:cs="宋体" w:hint="eastAsia"/>
          <w:kern w:val="0"/>
          <w:sz w:val="24"/>
          <w:szCs w:val="24"/>
        </w:rPr>
        <w:t>的有关内容由</w:t>
      </w:r>
      <w:r w:rsidR="00894D98">
        <w:rPr>
          <w:rFonts w:ascii="宋体" w:cs="宋体" w:hint="eastAsia"/>
          <w:kern w:val="0"/>
          <w:sz w:val="24"/>
          <w:szCs w:val="24"/>
        </w:rPr>
        <w:t>上海东方证券资产</w:t>
      </w:r>
      <w:r w:rsidR="00894D98" w:rsidRPr="00F756F9">
        <w:rPr>
          <w:rFonts w:ascii="宋体" w:cs="宋体" w:hint="eastAsia"/>
          <w:kern w:val="0"/>
          <w:sz w:val="24"/>
          <w:szCs w:val="24"/>
        </w:rPr>
        <w:t>管理有限公司负责解释。</w:t>
      </w:r>
    </w:p>
    <w:p w:rsidR="00943159" w:rsidRPr="00F756F9" w:rsidRDefault="00943159" w:rsidP="00943159">
      <w:pPr>
        <w:autoSpaceDE w:val="0"/>
        <w:autoSpaceDN w:val="0"/>
        <w:adjustRightInd w:val="0"/>
        <w:spacing w:line="360" w:lineRule="auto"/>
        <w:ind w:firstLineChars="200" w:firstLine="480"/>
        <w:jc w:val="left"/>
        <w:rPr>
          <w:rFonts w:ascii="宋体" w:cs="宋体"/>
          <w:kern w:val="0"/>
          <w:sz w:val="24"/>
          <w:szCs w:val="24"/>
        </w:rPr>
      </w:pPr>
    </w:p>
    <w:p w:rsidR="00943159" w:rsidRPr="00F756F9" w:rsidRDefault="002068F4" w:rsidP="00943159">
      <w:pPr>
        <w:autoSpaceDE w:val="0"/>
        <w:autoSpaceDN w:val="0"/>
        <w:adjustRightInd w:val="0"/>
        <w:spacing w:line="360" w:lineRule="auto"/>
        <w:ind w:firstLineChars="200" w:firstLine="480"/>
        <w:jc w:val="right"/>
        <w:rPr>
          <w:rFonts w:ascii="宋体" w:cs="宋体"/>
          <w:kern w:val="0"/>
          <w:sz w:val="24"/>
          <w:szCs w:val="24"/>
        </w:rPr>
      </w:pPr>
      <w:r>
        <w:rPr>
          <w:rFonts w:ascii="宋体" w:cs="宋体" w:hint="eastAsia"/>
          <w:kern w:val="0"/>
          <w:sz w:val="24"/>
          <w:szCs w:val="24"/>
        </w:rPr>
        <w:t>上海东方证券资产</w:t>
      </w:r>
      <w:r w:rsidR="00943159" w:rsidRPr="00F756F9">
        <w:rPr>
          <w:rFonts w:ascii="宋体" w:cs="宋体" w:hint="eastAsia"/>
          <w:kern w:val="0"/>
          <w:sz w:val="24"/>
          <w:szCs w:val="24"/>
        </w:rPr>
        <w:t>管理有限公司</w:t>
      </w:r>
    </w:p>
    <w:p w:rsidR="00350AB3" w:rsidRPr="00F756F9" w:rsidRDefault="002F1A3A" w:rsidP="007471BD">
      <w:pPr>
        <w:wordWrap w:val="0"/>
        <w:autoSpaceDE w:val="0"/>
        <w:autoSpaceDN w:val="0"/>
        <w:adjustRightInd w:val="0"/>
        <w:spacing w:line="360" w:lineRule="auto"/>
        <w:ind w:firstLineChars="200" w:firstLine="480"/>
        <w:jc w:val="right"/>
        <w:rPr>
          <w:rFonts w:ascii="宋体" w:cs="宋体"/>
          <w:kern w:val="0"/>
          <w:sz w:val="24"/>
          <w:szCs w:val="24"/>
        </w:rPr>
      </w:pPr>
      <w:r w:rsidRPr="00181E47">
        <w:rPr>
          <w:rFonts w:ascii="宋体" w:cs="宋体" w:hint="eastAsia"/>
          <w:kern w:val="0"/>
          <w:sz w:val="24"/>
          <w:szCs w:val="24"/>
        </w:rPr>
        <w:t>20</w:t>
      </w:r>
      <w:r>
        <w:rPr>
          <w:rFonts w:ascii="宋体" w:cs="宋体"/>
          <w:kern w:val="0"/>
          <w:sz w:val="24"/>
          <w:szCs w:val="24"/>
        </w:rPr>
        <w:t>24</w:t>
      </w:r>
      <w:r w:rsidR="00590ED8" w:rsidRPr="00181E47">
        <w:rPr>
          <w:rFonts w:ascii="宋体" w:cs="宋体" w:hint="eastAsia"/>
          <w:kern w:val="0"/>
          <w:sz w:val="24"/>
          <w:szCs w:val="24"/>
        </w:rPr>
        <w:t>年</w:t>
      </w:r>
      <w:r>
        <w:rPr>
          <w:rFonts w:ascii="宋体" w:cs="宋体"/>
          <w:kern w:val="0"/>
          <w:sz w:val="24"/>
          <w:szCs w:val="24"/>
        </w:rPr>
        <w:t>12</w:t>
      </w:r>
      <w:r w:rsidR="00350AB3" w:rsidRPr="00181E47">
        <w:rPr>
          <w:rFonts w:ascii="宋体" w:cs="宋体" w:hint="eastAsia"/>
          <w:kern w:val="0"/>
          <w:sz w:val="24"/>
          <w:szCs w:val="24"/>
        </w:rPr>
        <w:t>月</w:t>
      </w:r>
      <w:r w:rsidR="006A0382">
        <w:rPr>
          <w:rFonts w:ascii="宋体" w:cs="宋体"/>
          <w:kern w:val="0"/>
          <w:sz w:val="24"/>
          <w:szCs w:val="24"/>
        </w:rPr>
        <w:t>24</w:t>
      </w:r>
      <w:r w:rsidR="00350AB3" w:rsidRPr="00181E47">
        <w:rPr>
          <w:rFonts w:ascii="宋体" w:cs="宋体" w:hint="eastAsia"/>
          <w:kern w:val="0"/>
          <w:sz w:val="24"/>
          <w:szCs w:val="24"/>
        </w:rPr>
        <w:t>日</w:t>
      </w:r>
    </w:p>
    <w:p w:rsidR="00943159" w:rsidRPr="00F756F9" w:rsidRDefault="00943159" w:rsidP="00943159">
      <w:pPr>
        <w:autoSpaceDE w:val="0"/>
        <w:autoSpaceDN w:val="0"/>
        <w:adjustRightInd w:val="0"/>
        <w:spacing w:line="360" w:lineRule="auto"/>
        <w:jc w:val="left"/>
        <w:rPr>
          <w:rFonts w:ascii="宋体" w:cs="宋体"/>
          <w:kern w:val="0"/>
          <w:sz w:val="24"/>
          <w:szCs w:val="24"/>
        </w:rPr>
      </w:pPr>
      <w:r w:rsidRPr="00F756F9">
        <w:rPr>
          <w:rFonts w:ascii="宋体" w:cs="宋体" w:hint="eastAsia"/>
          <w:kern w:val="0"/>
          <w:sz w:val="24"/>
          <w:szCs w:val="24"/>
        </w:rPr>
        <w:t>附件：</w:t>
      </w:r>
    </w:p>
    <w:p w:rsidR="00943159" w:rsidRPr="00F756F9" w:rsidRDefault="002355FF" w:rsidP="00086A6D">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一、</w:t>
      </w:r>
      <w:r w:rsidR="00590ED8" w:rsidRPr="00F756F9">
        <w:rPr>
          <w:rFonts w:ascii="宋体" w:cs="宋体" w:hint="eastAsia"/>
          <w:kern w:val="0"/>
          <w:sz w:val="24"/>
          <w:szCs w:val="24"/>
        </w:rPr>
        <w:t>《</w:t>
      </w:r>
      <w:r w:rsidR="00086A6D" w:rsidRPr="00086A6D">
        <w:rPr>
          <w:rFonts w:ascii="宋体" w:cs="宋体" w:hint="eastAsia"/>
          <w:kern w:val="0"/>
          <w:sz w:val="24"/>
          <w:szCs w:val="24"/>
        </w:rPr>
        <w:t>关于</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872141">
        <w:rPr>
          <w:rFonts w:ascii="宋体" w:cs="宋体" w:hint="eastAsia"/>
          <w:kern w:val="0"/>
          <w:sz w:val="24"/>
          <w:szCs w:val="24"/>
        </w:rPr>
        <w:t>转型及</w:t>
      </w:r>
      <w:r w:rsidR="0006449A">
        <w:rPr>
          <w:rFonts w:ascii="宋体" w:cs="宋体" w:hint="eastAsia"/>
          <w:kern w:val="0"/>
          <w:sz w:val="24"/>
          <w:szCs w:val="24"/>
        </w:rPr>
        <w:t>修改基金合同</w:t>
      </w:r>
      <w:r w:rsidR="00872141">
        <w:rPr>
          <w:rFonts w:ascii="宋体" w:cs="宋体" w:hint="eastAsia"/>
          <w:kern w:val="0"/>
          <w:sz w:val="24"/>
          <w:szCs w:val="24"/>
        </w:rPr>
        <w:t>有关事项</w:t>
      </w:r>
      <w:r w:rsidR="003D42AC">
        <w:rPr>
          <w:rFonts w:ascii="宋体" w:cs="宋体" w:hint="eastAsia"/>
          <w:kern w:val="0"/>
          <w:sz w:val="24"/>
          <w:szCs w:val="24"/>
        </w:rPr>
        <w:t>的议案</w:t>
      </w:r>
      <w:r w:rsidR="00590ED8" w:rsidRPr="00F756F9">
        <w:rPr>
          <w:rFonts w:ascii="宋体" w:cs="宋体" w:hint="eastAsia"/>
          <w:kern w:val="0"/>
          <w:sz w:val="24"/>
          <w:szCs w:val="24"/>
        </w:rPr>
        <w:t>》</w:t>
      </w:r>
    </w:p>
    <w:p w:rsidR="00E03371" w:rsidRPr="00F756F9" w:rsidRDefault="00E03371" w:rsidP="00E03371">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二、</w:t>
      </w:r>
      <w:r w:rsidR="00590ED8" w:rsidRPr="00F756F9">
        <w:rPr>
          <w:rFonts w:ascii="宋体" w:cs="宋体" w:hint="eastAsia"/>
          <w:kern w:val="0"/>
          <w:sz w:val="24"/>
          <w:szCs w:val="24"/>
        </w:rPr>
        <w:t>《</w:t>
      </w:r>
      <w:r w:rsidR="00086A6D" w:rsidRPr="00086A6D">
        <w:rPr>
          <w:rFonts w:ascii="宋体" w:cs="宋体" w:hint="eastAsia"/>
          <w:kern w:val="0"/>
          <w:sz w:val="24"/>
          <w:szCs w:val="24"/>
        </w:rPr>
        <w:t>关于</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872141">
        <w:rPr>
          <w:rFonts w:ascii="宋体" w:cs="宋体" w:hint="eastAsia"/>
          <w:kern w:val="0"/>
          <w:sz w:val="24"/>
          <w:szCs w:val="24"/>
        </w:rPr>
        <w:t>转型及</w:t>
      </w:r>
      <w:r w:rsidR="000B1080">
        <w:rPr>
          <w:rFonts w:ascii="宋体" w:cs="宋体" w:hint="eastAsia"/>
          <w:kern w:val="0"/>
          <w:sz w:val="24"/>
          <w:szCs w:val="24"/>
        </w:rPr>
        <w:t>修改基金合同</w:t>
      </w:r>
      <w:r w:rsidR="00872141">
        <w:rPr>
          <w:rFonts w:ascii="宋体" w:cs="宋体" w:hint="eastAsia"/>
          <w:kern w:val="0"/>
          <w:sz w:val="24"/>
          <w:szCs w:val="24"/>
        </w:rPr>
        <w:t>有关事项</w:t>
      </w:r>
      <w:r w:rsidR="00086A6D" w:rsidRPr="00086A6D">
        <w:rPr>
          <w:rFonts w:ascii="宋体" w:cs="宋体" w:hint="eastAsia"/>
          <w:kern w:val="0"/>
          <w:sz w:val="24"/>
          <w:szCs w:val="24"/>
        </w:rPr>
        <w:t>的说明</w:t>
      </w:r>
      <w:r w:rsidR="00590ED8" w:rsidRPr="00F756F9">
        <w:rPr>
          <w:rFonts w:ascii="宋体" w:cs="宋体" w:hint="eastAsia"/>
          <w:kern w:val="0"/>
          <w:sz w:val="24"/>
          <w:szCs w:val="24"/>
        </w:rPr>
        <w:t>》</w:t>
      </w:r>
    </w:p>
    <w:p w:rsidR="003C5999" w:rsidRPr="00F756F9" w:rsidRDefault="003C5999" w:rsidP="003C5999">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三、</w:t>
      </w:r>
      <w:r w:rsidR="00590ED8" w:rsidRPr="00F756F9">
        <w:rPr>
          <w:rFonts w:ascii="宋体" w:cs="宋体" w:hint="eastAsia"/>
          <w:kern w:val="0"/>
          <w:sz w:val="24"/>
          <w:szCs w:val="24"/>
        </w:rPr>
        <w:t>《</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590ED8" w:rsidRPr="00F756F9">
        <w:rPr>
          <w:rFonts w:ascii="宋体" w:cs="宋体" w:hint="eastAsia"/>
          <w:kern w:val="0"/>
          <w:sz w:val="24"/>
          <w:szCs w:val="24"/>
        </w:rPr>
        <w:t>基金份额持有人大会表决票效力认定程序和标准》</w:t>
      </w:r>
    </w:p>
    <w:p w:rsidR="00943159" w:rsidRPr="00F756F9" w:rsidRDefault="003C5999" w:rsidP="00943159">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四</w:t>
      </w:r>
      <w:r w:rsidR="00943159" w:rsidRPr="00F756F9">
        <w:rPr>
          <w:rFonts w:ascii="宋体" w:cs="宋体" w:hint="eastAsia"/>
          <w:kern w:val="0"/>
          <w:sz w:val="24"/>
          <w:szCs w:val="24"/>
        </w:rPr>
        <w:t>、</w:t>
      </w:r>
      <w:r w:rsidR="00590ED8" w:rsidRPr="00F756F9">
        <w:rPr>
          <w:rFonts w:ascii="宋体" w:cs="宋体" w:hint="eastAsia"/>
          <w:kern w:val="0"/>
          <w:sz w:val="24"/>
          <w:szCs w:val="24"/>
        </w:rPr>
        <w:t>《</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590ED8" w:rsidRPr="00F756F9">
        <w:rPr>
          <w:rFonts w:ascii="宋体" w:cs="宋体" w:hint="eastAsia"/>
          <w:kern w:val="0"/>
          <w:sz w:val="24"/>
          <w:szCs w:val="24"/>
        </w:rPr>
        <w:t>基金份额持有人大会表决票》</w:t>
      </w:r>
    </w:p>
    <w:p w:rsidR="00943159" w:rsidRDefault="003C5999" w:rsidP="00943159">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五</w:t>
      </w:r>
      <w:r w:rsidR="00943159" w:rsidRPr="00F756F9">
        <w:rPr>
          <w:rFonts w:ascii="宋体" w:cs="宋体" w:hint="eastAsia"/>
          <w:kern w:val="0"/>
          <w:sz w:val="24"/>
          <w:szCs w:val="24"/>
        </w:rPr>
        <w:t>、《授权委托书》</w:t>
      </w:r>
    </w:p>
    <w:p w:rsidR="009A1D9D" w:rsidRPr="00F756F9" w:rsidRDefault="009A1D9D" w:rsidP="00943159">
      <w:pPr>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六、</w:t>
      </w:r>
      <w:r w:rsidR="00EF473E" w:rsidRPr="00F756F9">
        <w:rPr>
          <w:rFonts w:ascii="宋体" w:cs="宋体" w:hint="eastAsia"/>
          <w:kern w:val="0"/>
          <w:sz w:val="24"/>
          <w:szCs w:val="24"/>
        </w:rPr>
        <w:t>《</w:t>
      </w:r>
      <w:r w:rsidR="00EF473E">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EF473E">
        <w:rPr>
          <w:rFonts w:ascii="宋体" w:cs="宋体" w:hint="eastAsia"/>
          <w:kern w:val="0"/>
          <w:sz w:val="24"/>
          <w:szCs w:val="24"/>
        </w:rPr>
        <w:t>年持有期混合型证券投资基金基金合同》</w:t>
      </w:r>
    </w:p>
    <w:p w:rsidR="00943159" w:rsidRPr="00B003D7" w:rsidRDefault="00EC4D15" w:rsidP="00B003D7">
      <w:pPr>
        <w:pStyle w:val="1"/>
        <w:rPr>
          <w:sz w:val="32"/>
          <w:szCs w:val="32"/>
        </w:rPr>
      </w:pPr>
      <w:r w:rsidRPr="00F756F9">
        <w:rPr>
          <w:sz w:val="24"/>
          <w:szCs w:val="24"/>
        </w:rPr>
        <w:br w:type="page"/>
      </w:r>
      <w:r w:rsidR="007D4AA2" w:rsidRPr="00B003D7">
        <w:rPr>
          <w:rFonts w:hint="eastAsia"/>
          <w:sz w:val="32"/>
          <w:szCs w:val="32"/>
        </w:rPr>
        <w:t>附件一：</w:t>
      </w:r>
    </w:p>
    <w:p w:rsidR="00B779FF" w:rsidRPr="00F756F9" w:rsidRDefault="007D4AA2" w:rsidP="007D4AA2">
      <w:pPr>
        <w:autoSpaceDE w:val="0"/>
        <w:autoSpaceDN w:val="0"/>
        <w:adjustRightInd w:val="0"/>
        <w:spacing w:line="360" w:lineRule="auto"/>
        <w:jc w:val="center"/>
        <w:rPr>
          <w:rFonts w:ascii="宋体" w:cs="宋体"/>
          <w:b/>
          <w:kern w:val="0"/>
          <w:sz w:val="28"/>
          <w:szCs w:val="28"/>
        </w:rPr>
      </w:pPr>
      <w:r w:rsidRPr="00F756F9">
        <w:rPr>
          <w:rFonts w:ascii="宋体" w:cs="宋体" w:hint="eastAsia"/>
          <w:b/>
          <w:kern w:val="0"/>
          <w:sz w:val="28"/>
          <w:szCs w:val="28"/>
        </w:rPr>
        <w:t>关于</w:t>
      </w:r>
      <w:r w:rsidR="00A42367">
        <w:rPr>
          <w:rFonts w:ascii="宋体" w:cs="宋体" w:hint="eastAsia"/>
          <w:b/>
          <w:kern w:val="0"/>
          <w:sz w:val="28"/>
          <w:szCs w:val="28"/>
        </w:rPr>
        <w:t>东方红</w:t>
      </w:r>
      <w:r w:rsidR="00597A80">
        <w:rPr>
          <w:rFonts w:ascii="宋体" w:cs="宋体" w:hint="eastAsia"/>
          <w:b/>
          <w:kern w:val="0"/>
          <w:sz w:val="28"/>
          <w:szCs w:val="28"/>
        </w:rPr>
        <w:t>恒阳</w:t>
      </w:r>
      <w:r w:rsidR="00ED4487">
        <w:rPr>
          <w:rFonts w:ascii="宋体" w:cs="宋体" w:hint="eastAsia"/>
          <w:b/>
          <w:kern w:val="0"/>
          <w:sz w:val="28"/>
          <w:szCs w:val="28"/>
        </w:rPr>
        <w:t>五</w:t>
      </w:r>
      <w:r w:rsidR="00A42367">
        <w:rPr>
          <w:rFonts w:ascii="宋体" w:cs="宋体" w:hint="eastAsia"/>
          <w:b/>
          <w:kern w:val="0"/>
          <w:sz w:val="28"/>
          <w:szCs w:val="28"/>
        </w:rPr>
        <w:t>年定期开放混合型证券投资基金</w:t>
      </w:r>
    </w:p>
    <w:p w:rsidR="007D4AA2" w:rsidRDefault="00872141" w:rsidP="007D4AA2">
      <w:pPr>
        <w:autoSpaceDE w:val="0"/>
        <w:autoSpaceDN w:val="0"/>
        <w:adjustRightInd w:val="0"/>
        <w:spacing w:line="360" w:lineRule="auto"/>
        <w:jc w:val="center"/>
        <w:rPr>
          <w:rFonts w:ascii="宋体" w:cs="宋体"/>
          <w:b/>
          <w:kern w:val="0"/>
          <w:sz w:val="28"/>
          <w:szCs w:val="28"/>
        </w:rPr>
      </w:pPr>
      <w:r>
        <w:rPr>
          <w:rFonts w:ascii="宋体" w:cs="宋体" w:hint="eastAsia"/>
          <w:b/>
          <w:kern w:val="0"/>
          <w:sz w:val="28"/>
          <w:szCs w:val="28"/>
        </w:rPr>
        <w:t>转型及</w:t>
      </w:r>
      <w:r w:rsidR="0006449A">
        <w:rPr>
          <w:rFonts w:ascii="宋体" w:cs="宋体" w:hint="eastAsia"/>
          <w:b/>
          <w:kern w:val="0"/>
          <w:sz w:val="28"/>
          <w:szCs w:val="28"/>
        </w:rPr>
        <w:t>修改基金合同</w:t>
      </w:r>
      <w:r>
        <w:rPr>
          <w:rFonts w:ascii="宋体" w:cs="宋体" w:hint="eastAsia"/>
          <w:b/>
          <w:kern w:val="0"/>
          <w:sz w:val="28"/>
          <w:szCs w:val="28"/>
        </w:rPr>
        <w:t>有关事项</w:t>
      </w:r>
      <w:r w:rsidR="003D42AC" w:rsidRPr="003D42AC">
        <w:rPr>
          <w:rFonts w:ascii="宋体" w:cs="宋体" w:hint="eastAsia"/>
          <w:b/>
          <w:kern w:val="0"/>
          <w:sz w:val="28"/>
          <w:szCs w:val="28"/>
        </w:rPr>
        <w:t>的议案</w:t>
      </w:r>
    </w:p>
    <w:p w:rsidR="00B9368A" w:rsidRPr="00F756F9" w:rsidRDefault="00B9368A" w:rsidP="007D4AA2">
      <w:pPr>
        <w:autoSpaceDE w:val="0"/>
        <w:autoSpaceDN w:val="0"/>
        <w:adjustRightInd w:val="0"/>
        <w:spacing w:line="360" w:lineRule="auto"/>
        <w:jc w:val="center"/>
        <w:rPr>
          <w:rFonts w:ascii="宋体" w:cs="宋体"/>
          <w:b/>
          <w:kern w:val="0"/>
          <w:sz w:val="28"/>
          <w:szCs w:val="28"/>
        </w:rPr>
      </w:pPr>
    </w:p>
    <w:p w:rsidR="007D4AA2" w:rsidRDefault="00A42367" w:rsidP="001141DA">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Pr>
          <w:rFonts w:ascii="宋体" w:cs="宋体" w:hint="eastAsia"/>
          <w:kern w:val="0"/>
          <w:sz w:val="24"/>
          <w:szCs w:val="24"/>
        </w:rPr>
        <w:t>年定期开放混合型证券投资基金</w:t>
      </w:r>
      <w:r w:rsidR="007D4AA2" w:rsidRPr="00F756F9">
        <w:rPr>
          <w:rFonts w:ascii="宋体" w:cs="宋体" w:hint="eastAsia"/>
          <w:kern w:val="0"/>
          <w:sz w:val="24"/>
          <w:szCs w:val="24"/>
        </w:rPr>
        <w:t>基金份额持有人：</w:t>
      </w:r>
    </w:p>
    <w:p w:rsidR="00B9368A" w:rsidRPr="00F756F9" w:rsidRDefault="00B9368A" w:rsidP="001141DA">
      <w:pPr>
        <w:autoSpaceDE w:val="0"/>
        <w:autoSpaceDN w:val="0"/>
        <w:adjustRightInd w:val="0"/>
        <w:spacing w:line="360" w:lineRule="auto"/>
        <w:jc w:val="left"/>
        <w:rPr>
          <w:rFonts w:ascii="宋体" w:cs="宋体"/>
          <w:kern w:val="0"/>
          <w:sz w:val="24"/>
          <w:szCs w:val="24"/>
        </w:rPr>
      </w:pPr>
    </w:p>
    <w:p w:rsidR="008E48CC" w:rsidRPr="008E48CC" w:rsidRDefault="00966E28" w:rsidP="00F67514">
      <w:pPr>
        <w:autoSpaceDE w:val="0"/>
        <w:autoSpaceDN w:val="0"/>
        <w:adjustRightInd w:val="0"/>
        <w:spacing w:line="360" w:lineRule="auto"/>
        <w:ind w:firstLineChars="200" w:firstLine="480"/>
        <w:rPr>
          <w:rFonts w:ascii="宋体" w:hAnsi="Times New Roman" w:cs="宋体"/>
          <w:kern w:val="0"/>
          <w:sz w:val="24"/>
          <w:szCs w:val="24"/>
        </w:rPr>
      </w:pPr>
      <w:r w:rsidRPr="00966E28">
        <w:rPr>
          <w:rFonts w:ascii="宋体" w:hAnsi="Times New Roman" w:cs="宋体" w:hint="eastAsia"/>
          <w:kern w:val="0"/>
          <w:sz w:val="24"/>
          <w:szCs w:val="24"/>
        </w:rPr>
        <w:t>东方红</w:t>
      </w:r>
      <w:r w:rsidR="00597A80">
        <w:rPr>
          <w:rFonts w:ascii="宋体" w:hAnsi="Times New Roman" w:cs="宋体" w:hint="eastAsia"/>
          <w:kern w:val="0"/>
          <w:sz w:val="24"/>
          <w:szCs w:val="24"/>
        </w:rPr>
        <w:t>恒阳</w:t>
      </w:r>
      <w:r w:rsidR="00ED4487">
        <w:rPr>
          <w:rFonts w:ascii="宋体" w:hAnsi="Times New Roman" w:cs="宋体" w:hint="eastAsia"/>
          <w:kern w:val="0"/>
          <w:sz w:val="24"/>
          <w:szCs w:val="24"/>
        </w:rPr>
        <w:t>五</w:t>
      </w:r>
      <w:r w:rsidRPr="00966E28">
        <w:rPr>
          <w:rFonts w:ascii="宋体" w:hAnsi="Times New Roman" w:cs="宋体" w:hint="eastAsia"/>
          <w:kern w:val="0"/>
          <w:sz w:val="24"/>
          <w:szCs w:val="24"/>
        </w:rPr>
        <w:t>年定期开放混合型证券投资基金</w:t>
      </w:r>
      <w:r>
        <w:rPr>
          <w:rFonts w:ascii="宋体" w:hAnsi="Times New Roman" w:cs="宋体" w:hint="eastAsia"/>
          <w:kern w:val="0"/>
          <w:sz w:val="24"/>
          <w:szCs w:val="24"/>
        </w:rPr>
        <w:t>成立于</w:t>
      </w:r>
      <w:r w:rsidR="00C81369">
        <w:rPr>
          <w:rFonts w:ascii="宋体" w:hAnsi="Times New Roman" w:cs="宋体" w:hint="eastAsia"/>
          <w:kern w:val="0"/>
          <w:sz w:val="24"/>
          <w:szCs w:val="24"/>
        </w:rPr>
        <w:t>20</w:t>
      </w:r>
      <w:r w:rsidR="00C81369">
        <w:rPr>
          <w:rFonts w:ascii="宋体" w:hAnsi="Times New Roman" w:cs="宋体"/>
          <w:kern w:val="0"/>
          <w:sz w:val="24"/>
          <w:szCs w:val="24"/>
        </w:rPr>
        <w:t>20</w:t>
      </w:r>
      <w:r w:rsidR="00290722">
        <w:rPr>
          <w:rFonts w:ascii="宋体" w:hAnsi="Times New Roman" w:cs="宋体" w:hint="eastAsia"/>
          <w:kern w:val="0"/>
          <w:sz w:val="24"/>
          <w:szCs w:val="24"/>
        </w:rPr>
        <w:t>年</w:t>
      </w:r>
      <w:r w:rsidR="00C81369">
        <w:rPr>
          <w:rFonts w:ascii="宋体" w:hAnsi="Times New Roman" w:cs="宋体"/>
          <w:kern w:val="0"/>
          <w:sz w:val="24"/>
          <w:szCs w:val="24"/>
        </w:rPr>
        <w:t>2</w:t>
      </w:r>
      <w:r>
        <w:rPr>
          <w:rFonts w:ascii="宋体" w:hAnsi="Times New Roman" w:cs="宋体" w:hint="eastAsia"/>
          <w:kern w:val="0"/>
          <w:sz w:val="24"/>
          <w:szCs w:val="24"/>
        </w:rPr>
        <w:t>月</w:t>
      </w:r>
      <w:r w:rsidR="00C81369">
        <w:rPr>
          <w:rFonts w:ascii="宋体" w:hAnsi="Times New Roman" w:cs="宋体"/>
          <w:kern w:val="0"/>
          <w:sz w:val="24"/>
          <w:szCs w:val="24"/>
        </w:rPr>
        <w:t>13</w:t>
      </w:r>
      <w:r>
        <w:rPr>
          <w:rFonts w:ascii="宋体" w:hAnsi="Times New Roman" w:cs="宋体" w:hint="eastAsia"/>
          <w:kern w:val="0"/>
          <w:sz w:val="24"/>
          <w:szCs w:val="24"/>
        </w:rPr>
        <w:t>日</w:t>
      </w:r>
      <w:r w:rsidR="0076718C">
        <w:rPr>
          <w:rFonts w:ascii="宋体" w:hAnsi="Times New Roman" w:cs="宋体" w:hint="eastAsia"/>
          <w:kern w:val="0"/>
          <w:sz w:val="24"/>
          <w:szCs w:val="24"/>
        </w:rPr>
        <w:t>，产品</w:t>
      </w:r>
      <w:r>
        <w:rPr>
          <w:rFonts w:ascii="宋体" w:hAnsi="Times New Roman" w:cs="宋体" w:hint="eastAsia"/>
          <w:kern w:val="0"/>
          <w:sz w:val="24"/>
          <w:szCs w:val="24"/>
        </w:rPr>
        <w:t>运行至今</w:t>
      </w:r>
      <w:r w:rsidR="0076718C">
        <w:rPr>
          <w:rFonts w:ascii="宋体" w:hAnsi="Times New Roman" w:cs="宋体" w:hint="eastAsia"/>
          <w:kern w:val="0"/>
          <w:sz w:val="24"/>
          <w:szCs w:val="24"/>
        </w:rPr>
        <w:t>表现平稳</w:t>
      </w:r>
      <w:r>
        <w:rPr>
          <w:rFonts w:ascii="宋体" w:hAnsi="Times New Roman" w:cs="宋体" w:hint="eastAsia"/>
          <w:kern w:val="0"/>
          <w:sz w:val="24"/>
          <w:szCs w:val="24"/>
        </w:rPr>
        <w:t>。</w:t>
      </w:r>
      <w:r w:rsidR="008E48CC" w:rsidRPr="008E48CC">
        <w:rPr>
          <w:rFonts w:ascii="宋体" w:hAnsi="Times New Roman" w:cs="宋体" w:hint="eastAsia"/>
          <w:kern w:val="0"/>
          <w:sz w:val="24"/>
          <w:szCs w:val="24"/>
        </w:rPr>
        <w:t>为更好地满足投资者需求，保护基金份额持有人的利益，基金管理人</w:t>
      </w:r>
      <w:r w:rsidR="00032312" w:rsidRPr="008E48CC">
        <w:rPr>
          <w:rFonts w:ascii="宋体" w:hAnsi="Times New Roman" w:cs="宋体" w:hint="eastAsia"/>
          <w:kern w:val="0"/>
          <w:sz w:val="24"/>
          <w:szCs w:val="24"/>
        </w:rPr>
        <w:t>经</w:t>
      </w:r>
      <w:r w:rsidR="008E48CC" w:rsidRPr="008E48CC">
        <w:rPr>
          <w:rFonts w:ascii="宋体" w:hAnsi="Times New Roman" w:cs="宋体" w:hint="eastAsia"/>
          <w:kern w:val="0"/>
          <w:sz w:val="24"/>
          <w:szCs w:val="24"/>
        </w:rPr>
        <w:t>与基金托管人</w:t>
      </w:r>
      <w:r w:rsidR="002269A7">
        <w:rPr>
          <w:rFonts w:ascii="宋体" w:hAnsi="Times New Roman" w:cs="宋体" w:hint="eastAsia"/>
          <w:kern w:val="0"/>
          <w:sz w:val="24"/>
          <w:szCs w:val="24"/>
        </w:rPr>
        <w:t>招商</w:t>
      </w:r>
      <w:r w:rsidR="00FD4CAB">
        <w:rPr>
          <w:rFonts w:ascii="宋体" w:hAnsi="Times New Roman" w:cs="宋体" w:hint="eastAsia"/>
          <w:kern w:val="0"/>
          <w:sz w:val="24"/>
          <w:szCs w:val="24"/>
        </w:rPr>
        <w:t>银行股份有限公司</w:t>
      </w:r>
      <w:r w:rsidR="008E48CC" w:rsidRPr="008E48CC">
        <w:rPr>
          <w:rFonts w:ascii="宋体" w:hAnsi="Times New Roman" w:cs="宋体" w:hint="eastAsia"/>
          <w:kern w:val="0"/>
          <w:sz w:val="24"/>
          <w:szCs w:val="24"/>
        </w:rPr>
        <w:t>协商一致，决定召开本基金的基金份额持有人大会，对本基金实施转型</w:t>
      </w:r>
      <w:r w:rsidR="003E34D1" w:rsidRPr="003E34D1">
        <w:rPr>
          <w:rFonts w:ascii="宋体" w:hAnsi="Times New Roman" w:cs="宋体" w:hint="eastAsia"/>
          <w:kern w:val="0"/>
          <w:sz w:val="24"/>
          <w:szCs w:val="24"/>
        </w:rPr>
        <w:t>，将本基金由</w:t>
      </w:r>
      <w:r w:rsidR="00290722">
        <w:rPr>
          <w:rFonts w:ascii="宋体" w:hAnsi="Times New Roman" w:cs="宋体" w:hint="eastAsia"/>
          <w:kern w:val="0"/>
          <w:sz w:val="24"/>
          <w:szCs w:val="24"/>
        </w:rPr>
        <w:t>五</w:t>
      </w:r>
      <w:r w:rsidR="003E34D1" w:rsidRPr="003E34D1">
        <w:rPr>
          <w:rFonts w:ascii="宋体" w:hAnsi="Times New Roman" w:cs="宋体" w:hint="eastAsia"/>
          <w:kern w:val="0"/>
          <w:sz w:val="24"/>
          <w:szCs w:val="24"/>
        </w:rPr>
        <w:t>年定期开放变更为设置</w:t>
      </w:r>
      <w:r w:rsidR="00290722">
        <w:rPr>
          <w:rFonts w:ascii="宋体" w:hAnsi="Times New Roman" w:cs="宋体" w:hint="eastAsia"/>
          <w:kern w:val="0"/>
          <w:sz w:val="24"/>
          <w:szCs w:val="24"/>
        </w:rPr>
        <w:t>五</w:t>
      </w:r>
      <w:r w:rsidR="003E34D1" w:rsidRPr="003E34D1">
        <w:rPr>
          <w:rFonts w:ascii="宋体" w:hAnsi="Times New Roman" w:cs="宋体" w:hint="eastAsia"/>
          <w:kern w:val="0"/>
          <w:sz w:val="24"/>
          <w:szCs w:val="24"/>
        </w:rPr>
        <w:t>年锁定持有期，</w:t>
      </w:r>
      <w:r w:rsidR="00FD20D1" w:rsidRPr="00FD20D1">
        <w:rPr>
          <w:rFonts w:ascii="宋体" w:hAnsi="Times New Roman" w:cs="宋体" w:hint="eastAsia"/>
          <w:kern w:val="0"/>
          <w:sz w:val="24"/>
          <w:szCs w:val="24"/>
        </w:rPr>
        <w:t>向深圳证券交易所申请</w:t>
      </w:r>
      <w:r w:rsidR="003E34D1" w:rsidRPr="003E34D1">
        <w:rPr>
          <w:rFonts w:ascii="宋体" w:hAnsi="Times New Roman" w:cs="宋体" w:hint="eastAsia"/>
          <w:kern w:val="0"/>
          <w:sz w:val="24"/>
          <w:szCs w:val="24"/>
        </w:rPr>
        <w:t>终止基金份额的上市交易，并调整投资范围、投资比例、投资策略和投资限制等</w:t>
      </w:r>
      <w:r w:rsidR="008E48CC" w:rsidRPr="008E48CC">
        <w:rPr>
          <w:rFonts w:ascii="宋体" w:hAnsi="Times New Roman" w:cs="宋体" w:hint="eastAsia"/>
          <w:kern w:val="0"/>
          <w:sz w:val="24"/>
          <w:szCs w:val="24"/>
        </w:rPr>
        <w:t>。转型方案说明见附件二《</w:t>
      </w:r>
      <w:r w:rsidR="008E48CC" w:rsidRPr="008E48CC">
        <w:rPr>
          <w:rFonts w:ascii="宋体" w:hAnsi="Times New Roman" w:cs="宋体" w:hint="eastAsia"/>
          <w:color w:val="000000"/>
          <w:kern w:val="0"/>
          <w:sz w:val="24"/>
          <w:szCs w:val="24"/>
        </w:rPr>
        <w:t>关于</w:t>
      </w:r>
      <w:r w:rsidR="00A42367">
        <w:rPr>
          <w:rFonts w:ascii="宋体" w:hAnsi="Times New Roman" w:cs="宋体" w:hint="eastAsia"/>
          <w:color w:val="000000"/>
          <w:kern w:val="0"/>
          <w:sz w:val="24"/>
          <w:szCs w:val="24"/>
        </w:rPr>
        <w:t>东方红</w:t>
      </w:r>
      <w:r w:rsidR="00597A80">
        <w:rPr>
          <w:rFonts w:ascii="宋体" w:hAnsi="Times New Roman" w:cs="宋体" w:hint="eastAsia"/>
          <w:color w:val="000000"/>
          <w:kern w:val="0"/>
          <w:sz w:val="24"/>
          <w:szCs w:val="24"/>
        </w:rPr>
        <w:t>恒阳</w:t>
      </w:r>
      <w:r w:rsidR="00ED4487">
        <w:rPr>
          <w:rFonts w:ascii="宋体" w:hAnsi="Times New Roman" w:cs="宋体" w:hint="eastAsia"/>
          <w:color w:val="000000"/>
          <w:kern w:val="0"/>
          <w:sz w:val="24"/>
          <w:szCs w:val="24"/>
        </w:rPr>
        <w:t>五</w:t>
      </w:r>
      <w:r w:rsidR="00A42367">
        <w:rPr>
          <w:rFonts w:ascii="宋体" w:hAnsi="Times New Roman" w:cs="宋体" w:hint="eastAsia"/>
          <w:color w:val="000000"/>
          <w:kern w:val="0"/>
          <w:sz w:val="24"/>
          <w:szCs w:val="24"/>
        </w:rPr>
        <w:t>年定期开放混合型证券投资基金</w:t>
      </w:r>
      <w:r w:rsidR="008E48CC" w:rsidRPr="008E48CC">
        <w:rPr>
          <w:rFonts w:ascii="宋体" w:hAnsi="Times New Roman" w:cs="宋体" w:hint="eastAsia"/>
          <w:color w:val="000000"/>
          <w:kern w:val="0"/>
          <w:sz w:val="24"/>
          <w:szCs w:val="24"/>
        </w:rPr>
        <w:t>转</w:t>
      </w:r>
      <w:r w:rsidR="008E48CC" w:rsidRPr="008E48CC">
        <w:rPr>
          <w:rFonts w:ascii="宋体" w:hAnsi="Times New Roman" w:cs="宋体" w:hint="eastAsia"/>
          <w:kern w:val="0"/>
          <w:sz w:val="24"/>
          <w:szCs w:val="24"/>
        </w:rPr>
        <w:t>型及</w:t>
      </w:r>
      <w:r w:rsidR="004A6635">
        <w:rPr>
          <w:rFonts w:ascii="宋体" w:hAnsi="Times New Roman" w:cs="宋体" w:hint="eastAsia"/>
          <w:kern w:val="0"/>
          <w:sz w:val="24"/>
          <w:szCs w:val="24"/>
        </w:rPr>
        <w:t>修改</w:t>
      </w:r>
      <w:r w:rsidR="008E48CC" w:rsidRPr="008E48CC">
        <w:rPr>
          <w:rFonts w:ascii="宋体" w:hAnsi="Times New Roman" w:cs="宋体" w:hint="eastAsia"/>
          <w:kern w:val="0"/>
          <w:sz w:val="24"/>
          <w:szCs w:val="24"/>
        </w:rPr>
        <w:t>基金合同有关事项</w:t>
      </w:r>
      <w:r w:rsidR="008E48CC" w:rsidRPr="008E48CC">
        <w:rPr>
          <w:rFonts w:ascii="宋体" w:hAnsi="Times New Roman" w:cs="宋体" w:hint="eastAsia"/>
          <w:color w:val="000000"/>
          <w:kern w:val="0"/>
          <w:sz w:val="24"/>
          <w:szCs w:val="24"/>
        </w:rPr>
        <w:t>的说明</w:t>
      </w:r>
      <w:r w:rsidR="008E48CC" w:rsidRPr="008E48CC">
        <w:rPr>
          <w:rFonts w:ascii="宋体" w:hAnsi="Times New Roman" w:cs="宋体" w:hint="eastAsia"/>
          <w:kern w:val="0"/>
          <w:sz w:val="24"/>
          <w:szCs w:val="24"/>
        </w:rPr>
        <w:t>》。</w:t>
      </w:r>
    </w:p>
    <w:p w:rsidR="003E34D1" w:rsidRPr="003E34D1" w:rsidRDefault="003E34D1" w:rsidP="003E34D1">
      <w:pPr>
        <w:autoSpaceDE w:val="0"/>
        <w:autoSpaceDN w:val="0"/>
        <w:adjustRightInd w:val="0"/>
        <w:spacing w:line="360" w:lineRule="auto"/>
        <w:ind w:firstLineChars="200" w:firstLine="480"/>
        <w:jc w:val="left"/>
        <w:rPr>
          <w:rFonts w:ascii="宋体" w:hAnsi="Times New Roman" w:cs="宋体"/>
          <w:kern w:val="0"/>
          <w:sz w:val="24"/>
          <w:szCs w:val="24"/>
        </w:rPr>
      </w:pPr>
      <w:r w:rsidRPr="003E34D1">
        <w:rPr>
          <w:rFonts w:ascii="宋体" w:hAnsi="Times New Roman" w:cs="宋体" w:hint="eastAsia"/>
          <w:kern w:val="0"/>
          <w:sz w:val="24"/>
          <w:szCs w:val="24"/>
        </w:rPr>
        <w:t>本次基金份额持有人大会中，本人直接出具表决意见或授权他人代表出具表决意见的基金份额持有人所持有的基金份额不小于在权益登记日基金总份额的50％（含50％）,则本次</w:t>
      </w:r>
      <w:r w:rsidR="001308C6">
        <w:rPr>
          <w:rFonts w:ascii="宋体" w:hAnsi="Times New Roman" w:cs="宋体" w:hint="eastAsia"/>
          <w:kern w:val="0"/>
          <w:sz w:val="24"/>
          <w:szCs w:val="24"/>
        </w:rPr>
        <w:t>通讯</w:t>
      </w:r>
      <w:r w:rsidRPr="003E34D1">
        <w:rPr>
          <w:rFonts w:ascii="宋体" w:hAnsi="Times New Roman" w:cs="宋体" w:hint="eastAsia"/>
          <w:kern w:val="0"/>
          <w:sz w:val="24"/>
          <w:szCs w:val="24"/>
        </w:rPr>
        <w:t>开会视为有效；本次议案经参加大会的基金份额持有人或其代理人所持表决权的三分之二以上（含三分之二）通过方为有效。</w:t>
      </w:r>
    </w:p>
    <w:p w:rsidR="007D4AA2" w:rsidRPr="007A4ABA" w:rsidRDefault="008E48CC" w:rsidP="00C21D3A">
      <w:pPr>
        <w:autoSpaceDE w:val="0"/>
        <w:autoSpaceDN w:val="0"/>
        <w:adjustRightInd w:val="0"/>
        <w:spacing w:line="360" w:lineRule="auto"/>
        <w:ind w:firstLineChars="200" w:firstLine="480"/>
        <w:jc w:val="left"/>
        <w:rPr>
          <w:rFonts w:ascii="宋体" w:hAnsi="Times New Roman" w:cs="宋体"/>
          <w:kern w:val="0"/>
          <w:sz w:val="24"/>
          <w:szCs w:val="24"/>
        </w:rPr>
      </w:pPr>
      <w:r w:rsidRPr="008E48CC">
        <w:rPr>
          <w:rFonts w:ascii="宋体" w:hAnsi="Times New Roman" w:cs="宋体" w:hint="eastAsia"/>
          <w:kern w:val="0"/>
          <w:sz w:val="24"/>
          <w:szCs w:val="24"/>
        </w:rPr>
        <w:t>同时，为实施本基金转型方案，提议本基金的基金份额持有人授权基金管理人办理本次基金转型的有关具体事宜，并根据</w:t>
      </w:r>
      <w:r w:rsidR="004A6635">
        <w:rPr>
          <w:rFonts w:ascii="宋体" w:hAnsi="Times New Roman" w:cs="宋体" w:hint="eastAsia"/>
          <w:kern w:val="0"/>
          <w:sz w:val="24"/>
          <w:szCs w:val="24"/>
        </w:rPr>
        <w:t>基金份额</w:t>
      </w:r>
      <w:r w:rsidRPr="008E48CC">
        <w:rPr>
          <w:rFonts w:ascii="宋体" w:hAnsi="Times New Roman" w:cs="宋体" w:hint="eastAsia"/>
          <w:kern w:val="0"/>
          <w:sz w:val="24"/>
          <w:szCs w:val="24"/>
        </w:rPr>
        <w:t>持有人大会决议以及转型后基金运作的特点及现时有效的法律法规，对《</w:t>
      </w:r>
      <w:r w:rsidR="00AC25BC">
        <w:rPr>
          <w:rFonts w:ascii="宋体" w:hAnsi="Times New Roman" w:cs="宋体" w:hint="eastAsia"/>
          <w:color w:val="000000"/>
          <w:kern w:val="0"/>
          <w:sz w:val="24"/>
          <w:szCs w:val="24"/>
        </w:rPr>
        <w:t>东方红</w:t>
      </w:r>
      <w:r w:rsidR="00597A80">
        <w:rPr>
          <w:rFonts w:ascii="宋体" w:hAnsi="Times New Roman" w:cs="宋体" w:hint="eastAsia"/>
          <w:color w:val="000000"/>
          <w:kern w:val="0"/>
          <w:sz w:val="24"/>
          <w:szCs w:val="24"/>
        </w:rPr>
        <w:t>恒阳</w:t>
      </w:r>
      <w:r w:rsidR="00ED4487">
        <w:rPr>
          <w:rFonts w:ascii="宋体" w:hAnsi="Times New Roman" w:cs="宋体" w:hint="eastAsia"/>
          <w:color w:val="000000"/>
          <w:kern w:val="0"/>
          <w:sz w:val="24"/>
          <w:szCs w:val="24"/>
        </w:rPr>
        <w:t>五</w:t>
      </w:r>
      <w:r w:rsidR="00AC25BC">
        <w:rPr>
          <w:rFonts w:ascii="宋体" w:hAnsi="Times New Roman" w:cs="宋体" w:hint="eastAsia"/>
          <w:color w:val="000000"/>
          <w:kern w:val="0"/>
          <w:sz w:val="24"/>
          <w:szCs w:val="24"/>
        </w:rPr>
        <w:t>年定期开放混合型证券投资基金</w:t>
      </w:r>
      <w:r w:rsidRPr="008E48CC">
        <w:rPr>
          <w:rFonts w:ascii="宋体" w:hAnsi="Times New Roman" w:cs="宋体" w:hint="eastAsia"/>
          <w:kern w:val="0"/>
          <w:sz w:val="24"/>
          <w:szCs w:val="24"/>
        </w:rPr>
        <w:t>基金合同》进行修改和补充。</w:t>
      </w:r>
      <w:r w:rsidR="00C21D3A" w:rsidRPr="00C21D3A">
        <w:rPr>
          <w:rFonts w:ascii="宋体" w:hAnsi="Times New Roman" w:cs="宋体" w:hint="eastAsia"/>
          <w:kern w:val="0"/>
          <w:sz w:val="24"/>
          <w:szCs w:val="24"/>
        </w:rPr>
        <w:t>本基金的招募说明书、托管协议及基金产品资料概要也将进行必要的修改或补充。</w:t>
      </w:r>
    </w:p>
    <w:p w:rsidR="003E34D1" w:rsidRPr="003E34D1" w:rsidRDefault="003E34D1" w:rsidP="003E34D1">
      <w:pPr>
        <w:spacing w:line="360" w:lineRule="auto"/>
        <w:ind w:firstLineChars="200" w:firstLine="480"/>
        <w:rPr>
          <w:sz w:val="24"/>
        </w:rPr>
      </w:pPr>
      <w:r w:rsidRPr="003E34D1">
        <w:rPr>
          <w:rFonts w:hint="eastAsia"/>
          <w:sz w:val="24"/>
        </w:rPr>
        <w:t>基金管理人将在本次基金份额持有人大会</w:t>
      </w:r>
      <w:r w:rsidR="002F1A3A" w:rsidRPr="002F1A3A">
        <w:rPr>
          <w:rFonts w:hint="eastAsia"/>
          <w:sz w:val="24"/>
        </w:rPr>
        <w:t>决议生效后</w:t>
      </w:r>
      <w:r w:rsidRPr="003E34D1">
        <w:rPr>
          <w:rFonts w:hint="eastAsia"/>
          <w:sz w:val="24"/>
        </w:rPr>
        <w:t>预留</w:t>
      </w:r>
      <w:r w:rsidR="002F1A3A" w:rsidRPr="002F1A3A">
        <w:rPr>
          <w:rFonts w:hint="eastAsia"/>
          <w:sz w:val="24"/>
        </w:rPr>
        <w:t>不少于</w:t>
      </w:r>
      <w:r w:rsidRPr="003E34D1">
        <w:rPr>
          <w:rFonts w:hint="eastAsia"/>
          <w:sz w:val="24"/>
        </w:rPr>
        <w:t>二十个交易日供持有人选择赎回的前提下，制订有关基金转型正式实施的日期、转型实施前的申购赎回安排、</w:t>
      </w:r>
      <w:r w:rsidR="00FD20D1" w:rsidRPr="00FD20D1">
        <w:rPr>
          <w:rFonts w:hint="eastAsia"/>
          <w:sz w:val="24"/>
        </w:rPr>
        <w:t>向深圳证券交易所申请</w:t>
      </w:r>
      <w:r w:rsidRPr="003E34D1">
        <w:rPr>
          <w:rFonts w:hint="eastAsia"/>
          <w:sz w:val="24"/>
        </w:rPr>
        <w:t>终止上市交易等事项的转型实施安排并提前公告。提示投资者及时关注基金管理人届时发布的相关公告。</w:t>
      </w:r>
    </w:p>
    <w:p w:rsidR="00F42FE1" w:rsidRPr="003E34D1" w:rsidRDefault="003E34D1" w:rsidP="00F42FE1">
      <w:pPr>
        <w:spacing w:line="360" w:lineRule="auto"/>
        <w:ind w:firstLineChars="200" w:firstLine="480"/>
        <w:rPr>
          <w:sz w:val="24"/>
        </w:rPr>
      </w:pPr>
      <w:r w:rsidRPr="003E34D1">
        <w:rPr>
          <w:rFonts w:hint="eastAsia"/>
          <w:sz w:val="24"/>
        </w:rPr>
        <w:t>转型选择期期间，基金份额持有人可以选择将场内份额进行场内赎回、卖出或者通过跨系统转托管转到场外后继续持有场外份额。若转型选择期结束后，基金份额持有人未选择将场内份额进行场内赎回、卖出或未主动通过跨系统转托管转到场外的，原登记在中国证券登记结算有限责任公司</w:t>
      </w:r>
      <w:r w:rsidR="003D131F">
        <w:rPr>
          <w:rFonts w:hint="eastAsia"/>
          <w:sz w:val="24"/>
        </w:rPr>
        <w:t>深圳</w:t>
      </w:r>
      <w:r w:rsidRPr="003E34D1">
        <w:rPr>
          <w:rFonts w:hint="eastAsia"/>
          <w:sz w:val="24"/>
        </w:rPr>
        <w:t>证券登记结算系统的场内基金份额，将统一转登记至基金管理人开立的中国证券登记结算有限责任公司场外基金账户上，后续基金份额持有人需对持有的基金份额进行重新确认与登记，此过程即为“确权”</w:t>
      </w:r>
      <w:r w:rsidR="00F37424">
        <w:rPr>
          <w:rFonts w:hint="eastAsia"/>
          <w:sz w:val="24"/>
        </w:rPr>
        <w:t>。</w:t>
      </w:r>
      <w:r w:rsidR="00F37424" w:rsidRPr="003D597B">
        <w:rPr>
          <w:rFonts w:hint="eastAsia"/>
          <w:sz w:val="24"/>
        </w:rPr>
        <w:t>投资者未主动办理确权时，</w:t>
      </w:r>
      <w:r w:rsidR="00F26B70">
        <w:rPr>
          <w:rFonts w:hint="eastAsia"/>
          <w:sz w:val="24"/>
        </w:rPr>
        <w:t>基金</w:t>
      </w:r>
      <w:r w:rsidR="00F37424" w:rsidRPr="003D597B">
        <w:rPr>
          <w:rFonts w:hint="eastAsia"/>
          <w:sz w:val="24"/>
        </w:rPr>
        <w:t>管理人有权根据届时发布的公告进行批量确</w:t>
      </w:r>
      <w:r w:rsidR="00F37424">
        <w:rPr>
          <w:rFonts w:hint="eastAsia"/>
          <w:sz w:val="24"/>
        </w:rPr>
        <w:t>权</w:t>
      </w:r>
      <w:r w:rsidR="00F37424" w:rsidRPr="003D597B">
        <w:rPr>
          <w:rFonts w:hint="eastAsia"/>
          <w:sz w:val="24"/>
        </w:rPr>
        <w:t>。</w:t>
      </w:r>
      <w:r w:rsidRPr="003E34D1">
        <w:rPr>
          <w:rFonts w:hint="eastAsia"/>
          <w:sz w:val="24"/>
        </w:rPr>
        <w:t>确权完成后，基金份额持有人方可在场外对相关基金份额进行赎回及其他交易</w:t>
      </w:r>
      <w:r w:rsidR="00135B16">
        <w:rPr>
          <w:rFonts w:hint="eastAsia"/>
          <w:sz w:val="24"/>
        </w:rPr>
        <w:t>。</w:t>
      </w:r>
      <w:r w:rsidR="00F26B70">
        <w:rPr>
          <w:rFonts w:hint="eastAsia"/>
          <w:sz w:val="24"/>
        </w:rPr>
        <w:t>基金转型前</w:t>
      </w:r>
      <w:r w:rsidR="00135B16" w:rsidRPr="00135B16">
        <w:rPr>
          <w:rFonts w:hint="eastAsia"/>
          <w:sz w:val="24"/>
        </w:rPr>
        <w:t>基金份额持有人通过二级市场买入的场内份额在转型后不受锁定持有期的限制，但仍需根据转型后《东方红</w:t>
      </w:r>
      <w:r w:rsidR="00597A80">
        <w:rPr>
          <w:rFonts w:hint="eastAsia"/>
          <w:sz w:val="24"/>
        </w:rPr>
        <w:t>恒阳</w:t>
      </w:r>
      <w:r w:rsidR="00135B16" w:rsidRPr="00135B16">
        <w:rPr>
          <w:rFonts w:hint="eastAsia"/>
          <w:sz w:val="24"/>
        </w:rPr>
        <w:t>五年持有期混合型证券投资基金招募说明书》的规定办理</w:t>
      </w:r>
      <w:r w:rsidRPr="003E34D1">
        <w:rPr>
          <w:rFonts w:hint="eastAsia"/>
          <w:sz w:val="24"/>
        </w:rPr>
        <w:t>。</w:t>
      </w:r>
    </w:p>
    <w:p w:rsidR="003E34D1" w:rsidRPr="00F42FE1" w:rsidRDefault="003E34D1" w:rsidP="003E34D1">
      <w:pPr>
        <w:spacing w:line="360" w:lineRule="auto"/>
        <w:ind w:firstLineChars="200" w:firstLine="480"/>
        <w:rPr>
          <w:sz w:val="24"/>
        </w:rPr>
      </w:pPr>
    </w:p>
    <w:p w:rsidR="007A7725" w:rsidRPr="003E34D1" w:rsidRDefault="007A7725" w:rsidP="006F13CB">
      <w:pPr>
        <w:spacing w:line="360" w:lineRule="auto"/>
        <w:ind w:firstLineChars="200" w:firstLine="480"/>
        <w:rPr>
          <w:sz w:val="24"/>
        </w:rPr>
      </w:pPr>
    </w:p>
    <w:p w:rsidR="0050566D" w:rsidRPr="00F756F9" w:rsidRDefault="0050566D" w:rsidP="000B59CC">
      <w:pPr>
        <w:autoSpaceDE w:val="0"/>
        <w:autoSpaceDN w:val="0"/>
        <w:adjustRightInd w:val="0"/>
        <w:spacing w:line="360" w:lineRule="auto"/>
        <w:ind w:firstLineChars="200" w:firstLine="480"/>
        <w:jc w:val="left"/>
        <w:rPr>
          <w:rFonts w:ascii="宋体" w:cs="宋体"/>
          <w:kern w:val="0"/>
          <w:sz w:val="24"/>
          <w:szCs w:val="24"/>
        </w:rPr>
      </w:pPr>
    </w:p>
    <w:p w:rsidR="0050566D" w:rsidRPr="00F756F9" w:rsidRDefault="0050566D" w:rsidP="0050566D">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以上议案，请予审议。</w:t>
      </w:r>
    </w:p>
    <w:p w:rsidR="0050566D" w:rsidRPr="00F756F9" w:rsidRDefault="0050566D" w:rsidP="00B37EC7">
      <w:pPr>
        <w:adjustRightInd w:val="0"/>
        <w:snapToGrid w:val="0"/>
        <w:spacing w:beforeLines="100" w:line="400" w:lineRule="exact"/>
        <w:ind w:firstLineChars="236" w:firstLine="566"/>
        <w:rPr>
          <w:rFonts w:ascii="Arial Unicode MS" w:hAnsi="Arial Unicode MS" w:cs="新宋体-18030"/>
          <w:sz w:val="24"/>
          <w:szCs w:val="24"/>
        </w:rPr>
      </w:pPr>
    </w:p>
    <w:p w:rsidR="0050566D" w:rsidRPr="00F756F9" w:rsidRDefault="00456C66" w:rsidP="00B37EC7">
      <w:pPr>
        <w:adjustRightInd w:val="0"/>
        <w:snapToGrid w:val="0"/>
        <w:spacing w:beforeLines="100" w:line="400" w:lineRule="exact"/>
        <w:ind w:firstLineChars="200" w:firstLine="480"/>
        <w:jc w:val="right"/>
        <w:rPr>
          <w:rFonts w:ascii="Arial Unicode MS" w:hAnsi="Arial Unicode MS"/>
          <w:sz w:val="24"/>
        </w:rPr>
      </w:pPr>
      <w:r>
        <w:rPr>
          <w:rFonts w:ascii="宋体" w:cs="宋体" w:hint="eastAsia"/>
          <w:kern w:val="0"/>
          <w:sz w:val="24"/>
          <w:szCs w:val="24"/>
        </w:rPr>
        <w:t>上海东方证券资产</w:t>
      </w:r>
      <w:r w:rsidR="0050566D" w:rsidRPr="00F756F9">
        <w:rPr>
          <w:rFonts w:ascii="Arial Unicode MS" w:hAnsi="Arial Unicode MS" w:hint="eastAsia"/>
          <w:sz w:val="24"/>
        </w:rPr>
        <w:t>管理有限公司</w:t>
      </w:r>
    </w:p>
    <w:p w:rsidR="00BF0B40" w:rsidRDefault="00F26B70" w:rsidP="00CC75E9">
      <w:pPr>
        <w:wordWrap w:val="0"/>
        <w:autoSpaceDE w:val="0"/>
        <w:autoSpaceDN w:val="0"/>
        <w:adjustRightInd w:val="0"/>
        <w:spacing w:line="360" w:lineRule="auto"/>
        <w:ind w:firstLineChars="200" w:firstLine="480"/>
        <w:jc w:val="right"/>
        <w:rPr>
          <w:rFonts w:ascii="宋体" w:cs="宋体"/>
          <w:kern w:val="0"/>
          <w:sz w:val="24"/>
          <w:szCs w:val="24"/>
        </w:rPr>
      </w:pPr>
      <w:r w:rsidRPr="00B9509D">
        <w:rPr>
          <w:rFonts w:ascii="宋体" w:cs="宋体" w:hint="eastAsia"/>
          <w:kern w:val="0"/>
          <w:sz w:val="24"/>
          <w:szCs w:val="24"/>
        </w:rPr>
        <w:t>20</w:t>
      </w:r>
      <w:r>
        <w:rPr>
          <w:rFonts w:ascii="宋体" w:cs="宋体"/>
          <w:kern w:val="0"/>
          <w:sz w:val="24"/>
          <w:szCs w:val="24"/>
        </w:rPr>
        <w:t>24</w:t>
      </w:r>
      <w:r w:rsidR="006952CA" w:rsidRPr="00B9509D">
        <w:rPr>
          <w:rFonts w:ascii="宋体" w:cs="宋体" w:hint="eastAsia"/>
          <w:kern w:val="0"/>
          <w:sz w:val="24"/>
          <w:szCs w:val="24"/>
        </w:rPr>
        <w:t>年</w:t>
      </w:r>
      <w:r>
        <w:rPr>
          <w:rFonts w:ascii="宋体" w:cs="宋体"/>
          <w:kern w:val="0"/>
          <w:sz w:val="24"/>
          <w:szCs w:val="24"/>
        </w:rPr>
        <w:t>12</w:t>
      </w:r>
      <w:r w:rsidR="006952CA" w:rsidRPr="00B9509D">
        <w:rPr>
          <w:rFonts w:ascii="宋体" w:cs="宋体" w:hint="eastAsia"/>
          <w:kern w:val="0"/>
          <w:sz w:val="24"/>
          <w:szCs w:val="24"/>
        </w:rPr>
        <w:t>月</w:t>
      </w:r>
      <w:r w:rsidR="006A0382">
        <w:rPr>
          <w:rFonts w:ascii="宋体" w:cs="宋体"/>
          <w:kern w:val="0"/>
          <w:sz w:val="24"/>
          <w:szCs w:val="24"/>
        </w:rPr>
        <w:t>24</w:t>
      </w:r>
      <w:r w:rsidR="006952CA" w:rsidRPr="00B9509D">
        <w:rPr>
          <w:rFonts w:ascii="宋体" w:cs="宋体" w:hint="eastAsia"/>
          <w:kern w:val="0"/>
          <w:sz w:val="24"/>
          <w:szCs w:val="24"/>
        </w:rPr>
        <w:t>日</w:t>
      </w:r>
    </w:p>
    <w:p w:rsidR="00BF0B40" w:rsidRDefault="00BF0B40" w:rsidP="00BF0B40">
      <w:pPr>
        <w:autoSpaceDE w:val="0"/>
        <w:autoSpaceDN w:val="0"/>
        <w:adjustRightInd w:val="0"/>
        <w:spacing w:line="360" w:lineRule="auto"/>
        <w:ind w:firstLineChars="200" w:firstLine="480"/>
        <w:jc w:val="right"/>
        <w:rPr>
          <w:rFonts w:ascii="宋体" w:cs="宋体"/>
          <w:kern w:val="0"/>
          <w:sz w:val="24"/>
          <w:szCs w:val="24"/>
        </w:rPr>
        <w:sectPr w:rsidR="00BF0B40" w:rsidSect="00842BCE">
          <w:headerReference w:type="default" r:id="rId8"/>
          <w:footerReference w:type="default" r:id="rId9"/>
          <w:pgSz w:w="11906" w:h="16838"/>
          <w:pgMar w:top="1440" w:right="1800" w:bottom="1440" w:left="1800" w:header="851" w:footer="992" w:gutter="0"/>
          <w:cols w:space="425"/>
          <w:docGrid w:type="lines" w:linePitch="312"/>
        </w:sectPr>
      </w:pPr>
    </w:p>
    <w:p w:rsidR="00B003D7" w:rsidRPr="00BF0B40" w:rsidRDefault="00B003D7" w:rsidP="00BF0B40">
      <w:pPr>
        <w:pStyle w:val="1"/>
        <w:rPr>
          <w:sz w:val="32"/>
          <w:szCs w:val="32"/>
        </w:rPr>
      </w:pPr>
      <w:r w:rsidRPr="00B003D7">
        <w:rPr>
          <w:rFonts w:hint="eastAsia"/>
          <w:sz w:val="32"/>
          <w:szCs w:val="32"/>
        </w:rPr>
        <w:t>附件二：</w:t>
      </w:r>
    </w:p>
    <w:p w:rsidR="00B003D7" w:rsidRDefault="00B003D7" w:rsidP="00B003D7">
      <w:pPr>
        <w:autoSpaceDE w:val="0"/>
        <w:autoSpaceDN w:val="0"/>
        <w:adjustRightInd w:val="0"/>
        <w:spacing w:line="360" w:lineRule="auto"/>
        <w:ind w:firstLineChars="200" w:firstLine="562"/>
        <w:jc w:val="center"/>
        <w:rPr>
          <w:rFonts w:ascii="宋体" w:cs="宋体"/>
          <w:b/>
          <w:kern w:val="0"/>
          <w:sz w:val="28"/>
          <w:szCs w:val="28"/>
        </w:rPr>
      </w:pPr>
      <w:r w:rsidRPr="007A7725">
        <w:rPr>
          <w:rFonts w:ascii="宋体" w:cs="宋体" w:hint="eastAsia"/>
          <w:b/>
          <w:kern w:val="0"/>
          <w:sz w:val="28"/>
          <w:szCs w:val="28"/>
        </w:rPr>
        <w:t>关于</w:t>
      </w:r>
      <w:r w:rsidR="00A42367">
        <w:rPr>
          <w:rFonts w:ascii="宋体" w:cs="宋体" w:hint="eastAsia"/>
          <w:b/>
          <w:kern w:val="0"/>
          <w:sz w:val="28"/>
          <w:szCs w:val="28"/>
        </w:rPr>
        <w:t>东方红</w:t>
      </w:r>
      <w:r w:rsidR="00597A80">
        <w:rPr>
          <w:rFonts w:ascii="宋体" w:cs="宋体" w:hint="eastAsia"/>
          <w:b/>
          <w:kern w:val="0"/>
          <w:sz w:val="28"/>
          <w:szCs w:val="28"/>
        </w:rPr>
        <w:t>恒阳</w:t>
      </w:r>
      <w:r w:rsidR="00ED4487">
        <w:rPr>
          <w:rFonts w:ascii="宋体" w:cs="宋体" w:hint="eastAsia"/>
          <w:b/>
          <w:kern w:val="0"/>
          <w:sz w:val="28"/>
          <w:szCs w:val="28"/>
        </w:rPr>
        <w:t>五</w:t>
      </w:r>
      <w:r w:rsidR="00A42367">
        <w:rPr>
          <w:rFonts w:ascii="宋体" w:cs="宋体" w:hint="eastAsia"/>
          <w:b/>
          <w:kern w:val="0"/>
          <w:sz w:val="28"/>
          <w:szCs w:val="28"/>
        </w:rPr>
        <w:t>年定期开放混合型证券投资基金</w:t>
      </w:r>
    </w:p>
    <w:p w:rsidR="00B003D7" w:rsidRDefault="00872141" w:rsidP="00B003D7">
      <w:pPr>
        <w:autoSpaceDE w:val="0"/>
        <w:autoSpaceDN w:val="0"/>
        <w:adjustRightInd w:val="0"/>
        <w:spacing w:line="360" w:lineRule="auto"/>
        <w:ind w:firstLineChars="200" w:firstLine="562"/>
        <w:jc w:val="center"/>
        <w:rPr>
          <w:rFonts w:ascii="宋体" w:cs="宋体"/>
          <w:b/>
          <w:kern w:val="0"/>
          <w:sz w:val="28"/>
          <w:szCs w:val="28"/>
        </w:rPr>
      </w:pPr>
      <w:r>
        <w:rPr>
          <w:rFonts w:ascii="宋体" w:cs="宋体" w:hint="eastAsia"/>
          <w:b/>
          <w:kern w:val="0"/>
          <w:sz w:val="28"/>
          <w:szCs w:val="28"/>
        </w:rPr>
        <w:t>转型及</w:t>
      </w:r>
      <w:r w:rsidR="00BC6708">
        <w:rPr>
          <w:rFonts w:ascii="宋体" w:cs="宋体" w:hint="eastAsia"/>
          <w:b/>
          <w:kern w:val="0"/>
          <w:sz w:val="28"/>
          <w:szCs w:val="28"/>
        </w:rPr>
        <w:t>修改基金合同</w:t>
      </w:r>
      <w:r>
        <w:rPr>
          <w:rFonts w:ascii="宋体" w:cs="宋体" w:hint="eastAsia"/>
          <w:b/>
          <w:kern w:val="0"/>
          <w:sz w:val="28"/>
          <w:szCs w:val="28"/>
        </w:rPr>
        <w:t>有关事项</w:t>
      </w:r>
      <w:r w:rsidR="00B003D7" w:rsidRPr="007A7725">
        <w:rPr>
          <w:rFonts w:ascii="宋体" w:cs="宋体" w:hint="eastAsia"/>
          <w:b/>
          <w:kern w:val="0"/>
          <w:sz w:val="28"/>
          <w:szCs w:val="28"/>
        </w:rPr>
        <w:t>的说明</w:t>
      </w:r>
    </w:p>
    <w:p w:rsidR="00B83141" w:rsidRDefault="004C6414" w:rsidP="00BF4765">
      <w:pPr>
        <w:spacing w:line="540" w:lineRule="exact"/>
        <w:ind w:firstLineChars="200" w:firstLine="480"/>
        <w:rPr>
          <w:rFonts w:ascii="宋体" w:cs="宋体"/>
          <w:kern w:val="0"/>
          <w:sz w:val="24"/>
          <w:szCs w:val="24"/>
        </w:rPr>
      </w:pPr>
      <w:r w:rsidRPr="004C6414">
        <w:rPr>
          <w:rFonts w:hint="eastAsia"/>
          <w:sz w:val="24"/>
        </w:rPr>
        <w:t>为更好地满足投资者需求，保护投资者利益，</w:t>
      </w:r>
      <w:r w:rsidR="00B003D7">
        <w:rPr>
          <w:rFonts w:hint="eastAsia"/>
          <w:sz w:val="24"/>
        </w:rPr>
        <w:t>根据</w:t>
      </w:r>
      <w:r w:rsidR="00B003D7" w:rsidRPr="005965BB">
        <w:rPr>
          <w:rFonts w:hint="eastAsia"/>
          <w:sz w:val="24"/>
        </w:rPr>
        <w:t>《中华人民共和国证券投资基金法》、《公开募集证券投资基金运作管理办法》</w:t>
      </w:r>
      <w:r w:rsidR="00FE5C4B">
        <w:rPr>
          <w:rFonts w:hint="eastAsia"/>
          <w:sz w:val="24"/>
        </w:rPr>
        <w:t>和</w:t>
      </w:r>
      <w:r w:rsidR="00B003D7" w:rsidRPr="005965BB">
        <w:rPr>
          <w:rFonts w:hint="eastAsia"/>
          <w:sz w:val="24"/>
        </w:rPr>
        <w:t>《</w:t>
      </w:r>
      <w:r w:rsidR="00AC25BC">
        <w:rPr>
          <w:rFonts w:hint="eastAsia"/>
          <w:sz w:val="24"/>
        </w:rPr>
        <w:t>东方红</w:t>
      </w:r>
      <w:r w:rsidR="00597A80">
        <w:rPr>
          <w:rFonts w:hint="eastAsia"/>
          <w:sz w:val="24"/>
        </w:rPr>
        <w:t>恒阳</w:t>
      </w:r>
      <w:r w:rsidR="00ED4487">
        <w:rPr>
          <w:rFonts w:hint="eastAsia"/>
          <w:sz w:val="24"/>
        </w:rPr>
        <w:t>五</w:t>
      </w:r>
      <w:r w:rsidR="00AC25BC">
        <w:rPr>
          <w:rFonts w:hint="eastAsia"/>
          <w:sz w:val="24"/>
        </w:rPr>
        <w:t>年定期开放混合型证券投资基金</w:t>
      </w:r>
      <w:r w:rsidR="00B003D7" w:rsidRPr="005965BB">
        <w:rPr>
          <w:rFonts w:hint="eastAsia"/>
          <w:sz w:val="24"/>
        </w:rPr>
        <w:t>基金合同》（以下</w:t>
      </w:r>
      <w:r w:rsidR="00482C5B">
        <w:rPr>
          <w:rFonts w:hint="eastAsia"/>
          <w:sz w:val="24"/>
        </w:rPr>
        <w:t>简</w:t>
      </w:r>
      <w:r w:rsidR="00B003D7" w:rsidRPr="005965BB">
        <w:rPr>
          <w:rFonts w:hint="eastAsia"/>
          <w:sz w:val="24"/>
        </w:rPr>
        <w:t>称《基金合同》）的有关规定，</w:t>
      </w:r>
      <w:r w:rsidR="005E53B3" w:rsidRPr="005E53B3">
        <w:rPr>
          <w:rFonts w:hint="eastAsia"/>
          <w:sz w:val="24"/>
        </w:rPr>
        <w:t>基金管理人上海东方证券资产管理有限公司（以下简称</w:t>
      </w:r>
      <w:r w:rsidR="00F26B70">
        <w:rPr>
          <w:rFonts w:hint="eastAsia"/>
          <w:sz w:val="24"/>
        </w:rPr>
        <w:t>“</w:t>
      </w:r>
      <w:r w:rsidR="005E53B3" w:rsidRPr="005E53B3">
        <w:rPr>
          <w:rFonts w:hint="eastAsia"/>
          <w:sz w:val="24"/>
        </w:rPr>
        <w:t>基金管理人</w:t>
      </w:r>
      <w:r w:rsidR="00F26B70">
        <w:rPr>
          <w:rFonts w:hint="eastAsia"/>
          <w:sz w:val="24"/>
        </w:rPr>
        <w:t>”</w:t>
      </w:r>
      <w:r w:rsidR="005E53B3" w:rsidRPr="005E53B3">
        <w:rPr>
          <w:rFonts w:hint="eastAsia"/>
          <w:sz w:val="24"/>
        </w:rPr>
        <w:t>）经与本基金</w:t>
      </w:r>
      <w:r w:rsidR="005F48AD">
        <w:rPr>
          <w:rFonts w:hint="eastAsia"/>
          <w:sz w:val="24"/>
        </w:rPr>
        <w:t>基金</w:t>
      </w:r>
      <w:r w:rsidR="005E53B3" w:rsidRPr="005E53B3">
        <w:rPr>
          <w:rFonts w:hint="eastAsia"/>
          <w:sz w:val="24"/>
        </w:rPr>
        <w:t>托管人</w:t>
      </w:r>
      <w:r w:rsidR="002269A7">
        <w:rPr>
          <w:rFonts w:hint="eastAsia"/>
          <w:sz w:val="24"/>
        </w:rPr>
        <w:t>招商</w:t>
      </w:r>
      <w:r w:rsidR="00FD4CAB">
        <w:rPr>
          <w:rFonts w:hint="eastAsia"/>
          <w:sz w:val="24"/>
        </w:rPr>
        <w:t>银行股份有限公司</w:t>
      </w:r>
      <w:r w:rsidR="005E53B3" w:rsidRPr="005E53B3">
        <w:rPr>
          <w:rFonts w:hint="eastAsia"/>
          <w:sz w:val="24"/>
        </w:rPr>
        <w:t>协商一致，拟对</w:t>
      </w:r>
      <w:r w:rsidR="00A42367">
        <w:rPr>
          <w:rFonts w:hint="eastAsia"/>
          <w:sz w:val="24"/>
        </w:rPr>
        <w:t>东方红</w:t>
      </w:r>
      <w:r w:rsidR="00597A80">
        <w:rPr>
          <w:rFonts w:hint="eastAsia"/>
          <w:sz w:val="24"/>
        </w:rPr>
        <w:t>恒阳</w:t>
      </w:r>
      <w:r w:rsidR="00ED4487">
        <w:rPr>
          <w:rFonts w:hint="eastAsia"/>
          <w:sz w:val="24"/>
        </w:rPr>
        <w:t>五</w:t>
      </w:r>
      <w:r w:rsidR="00A42367">
        <w:rPr>
          <w:rFonts w:hint="eastAsia"/>
          <w:sz w:val="24"/>
        </w:rPr>
        <w:t>年定期开放混合型证券投资基金</w:t>
      </w:r>
      <w:r w:rsidR="005E53B3" w:rsidRPr="005E53B3">
        <w:rPr>
          <w:rFonts w:hint="eastAsia"/>
          <w:sz w:val="24"/>
        </w:rPr>
        <w:t>实施转型，本基金的转型已经中国证监会变更注册，</w:t>
      </w:r>
      <w:r w:rsidR="003E34D1" w:rsidRPr="003E34D1">
        <w:rPr>
          <w:rFonts w:hint="eastAsia"/>
          <w:sz w:val="24"/>
        </w:rPr>
        <w:t>基金份额持有人大会决议自表决通过之日起生效，</w:t>
      </w:r>
      <w:r w:rsidR="005E53B3" w:rsidRPr="005E53B3">
        <w:rPr>
          <w:rFonts w:hint="eastAsia"/>
          <w:sz w:val="24"/>
        </w:rPr>
        <w:t>表决通过的决议需依法报中国证监会备案。</w:t>
      </w:r>
    </w:p>
    <w:p w:rsidR="00B003D7" w:rsidRDefault="00B003D7" w:rsidP="00B7172F">
      <w:pPr>
        <w:spacing w:line="360" w:lineRule="auto"/>
        <w:rPr>
          <w:rFonts w:ascii="宋体" w:cs="宋体"/>
          <w:kern w:val="0"/>
          <w:sz w:val="24"/>
          <w:szCs w:val="24"/>
        </w:rPr>
      </w:pPr>
    </w:p>
    <w:p w:rsidR="00384CC3" w:rsidRPr="00384CC3" w:rsidRDefault="00384CC3" w:rsidP="00384CC3">
      <w:pPr>
        <w:spacing w:line="540" w:lineRule="exact"/>
        <w:ind w:firstLineChars="200" w:firstLine="482"/>
        <w:outlineLvl w:val="1"/>
        <w:rPr>
          <w:b/>
          <w:sz w:val="24"/>
        </w:rPr>
      </w:pPr>
      <w:r w:rsidRPr="00384CC3">
        <w:rPr>
          <w:rFonts w:hint="eastAsia"/>
          <w:b/>
          <w:sz w:val="24"/>
        </w:rPr>
        <w:t>一、转型方案要点</w:t>
      </w:r>
    </w:p>
    <w:p w:rsidR="00384CC3" w:rsidRPr="00B60785" w:rsidRDefault="00384CC3" w:rsidP="00B60785">
      <w:pPr>
        <w:pStyle w:val="ae"/>
        <w:numPr>
          <w:ilvl w:val="0"/>
          <w:numId w:val="17"/>
        </w:numPr>
        <w:spacing w:line="540" w:lineRule="exact"/>
        <w:ind w:firstLine="480"/>
        <w:outlineLvl w:val="2"/>
        <w:rPr>
          <w:sz w:val="24"/>
        </w:rPr>
      </w:pPr>
      <w:r w:rsidRPr="00B60785">
        <w:rPr>
          <w:rFonts w:hint="eastAsia"/>
          <w:sz w:val="24"/>
        </w:rPr>
        <w:t>变更基金名称</w:t>
      </w:r>
    </w:p>
    <w:p w:rsidR="00384CC3" w:rsidRPr="00384CC3" w:rsidRDefault="00384CC3" w:rsidP="00384CC3">
      <w:pPr>
        <w:spacing w:line="540" w:lineRule="exact"/>
        <w:ind w:firstLineChars="200" w:firstLine="480"/>
        <w:rPr>
          <w:sz w:val="24"/>
        </w:rPr>
      </w:pPr>
      <w:r w:rsidRPr="00384CC3">
        <w:rPr>
          <w:rFonts w:hint="eastAsia"/>
          <w:sz w:val="24"/>
        </w:rPr>
        <w:t>基金名称由“</w:t>
      </w:r>
      <w:r w:rsidR="00A42367">
        <w:rPr>
          <w:rFonts w:hint="eastAsia"/>
          <w:sz w:val="24"/>
        </w:rPr>
        <w:t>东方红</w:t>
      </w:r>
      <w:r w:rsidR="00597A80">
        <w:rPr>
          <w:rFonts w:hint="eastAsia"/>
          <w:sz w:val="24"/>
        </w:rPr>
        <w:t>恒阳</w:t>
      </w:r>
      <w:r w:rsidR="00ED4487">
        <w:rPr>
          <w:rFonts w:hint="eastAsia"/>
          <w:sz w:val="24"/>
        </w:rPr>
        <w:t>五</w:t>
      </w:r>
      <w:r w:rsidR="00A42367">
        <w:rPr>
          <w:rFonts w:hint="eastAsia"/>
          <w:sz w:val="24"/>
        </w:rPr>
        <w:t>年定期开放混合型证券投资基金</w:t>
      </w:r>
      <w:r w:rsidRPr="00384CC3">
        <w:rPr>
          <w:rFonts w:hint="eastAsia"/>
          <w:sz w:val="24"/>
        </w:rPr>
        <w:t>”变更为“</w:t>
      </w:r>
      <w:r w:rsidR="00AC25BC">
        <w:rPr>
          <w:rFonts w:hint="eastAsia"/>
          <w:sz w:val="24"/>
        </w:rPr>
        <w:t>东方红</w:t>
      </w:r>
      <w:r w:rsidR="00597A80">
        <w:rPr>
          <w:rFonts w:hint="eastAsia"/>
          <w:sz w:val="24"/>
        </w:rPr>
        <w:t>恒阳</w:t>
      </w:r>
      <w:r w:rsidR="00ED4487">
        <w:rPr>
          <w:rFonts w:hint="eastAsia"/>
          <w:sz w:val="24"/>
        </w:rPr>
        <w:t>五</w:t>
      </w:r>
      <w:r w:rsidR="00AC25BC">
        <w:rPr>
          <w:rFonts w:hint="eastAsia"/>
          <w:sz w:val="24"/>
        </w:rPr>
        <w:t>年持有期混合型证券投资基金</w:t>
      </w:r>
      <w:r w:rsidRPr="00384CC3">
        <w:rPr>
          <w:rFonts w:hint="eastAsia"/>
          <w:sz w:val="24"/>
        </w:rPr>
        <w:t>”。</w:t>
      </w:r>
    </w:p>
    <w:p w:rsidR="00384CC3" w:rsidRPr="00384CC3" w:rsidRDefault="00384CC3" w:rsidP="00B60785">
      <w:pPr>
        <w:pStyle w:val="ae"/>
        <w:numPr>
          <w:ilvl w:val="0"/>
          <w:numId w:val="17"/>
        </w:numPr>
        <w:spacing w:line="540" w:lineRule="exact"/>
        <w:ind w:firstLine="480"/>
        <w:outlineLvl w:val="2"/>
        <w:rPr>
          <w:sz w:val="24"/>
        </w:rPr>
      </w:pPr>
      <w:r w:rsidRPr="00384CC3">
        <w:rPr>
          <w:rFonts w:hint="eastAsia"/>
          <w:sz w:val="24"/>
        </w:rPr>
        <w:t>变更基金的运作方式</w:t>
      </w:r>
    </w:p>
    <w:p w:rsidR="00384CC3" w:rsidRDefault="000857D8" w:rsidP="00B60785">
      <w:pPr>
        <w:spacing w:line="540" w:lineRule="exact"/>
        <w:ind w:firstLineChars="200" w:firstLine="480"/>
        <w:rPr>
          <w:sz w:val="24"/>
        </w:rPr>
      </w:pPr>
      <w:r w:rsidRPr="00B60785">
        <w:rPr>
          <w:rFonts w:hint="eastAsia"/>
          <w:sz w:val="24"/>
        </w:rPr>
        <w:t>由</w:t>
      </w:r>
      <w:r w:rsidR="000E3041">
        <w:rPr>
          <w:rFonts w:hint="eastAsia"/>
          <w:sz w:val="24"/>
        </w:rPr>
        <w:t>五</w:t>
      </w:r>
      <w:r w:rsidRPr="00B60785">
        <w:rPr>
          <w:rFonts w:hint="eastAsia"/>
          <w:sz w:val="24"/>
        </w:rPr>
        <w:t>年定期开放</w:t>
      </w:r>
      <w:r>
        <w:rPr>
          <w:rFonts w:hint="eastAsia"/>
          <w:sz w:val="24"/>
        </w:rPr>
        <w:t>变更为</w:t>
      </w:r>
      <w:r w:rsidR="00D819CB">
        <w:rPr>
          <w:rFonts w:hint="eastAsia"/>
          <w:sz w:val="24"/>
        </w:rPr>
        <w:t>设置</w:t>
      </w:r>
      <w:r w:rsidR="000E3041">
        <w:rPr>
          <w:rFonts w:hint="eastAsia"/>
          <w:sz w:val="24"/>
        </w:rPr>
        <w:t>五</w:t>
      </w:r>
      <w:r>
        <w:rPr>
          <w:rFonts w:hint="eastAsia"/>
          <w:sz w:val="24"/>
        </w:rPr>
        <w:t>年</w:t>
      </w:r>
      <w:r w:rsidR="003E34D1">
        <w:rPr>
          <w:rFonts w:hint="eastAsia"/>
          <w:sz w:val="24"/>
        </w:rPr>
        <w:t>锁定</w:t>
      </w:r>
      <w:r>
        <w:rPr>
          <w:rFonts w:hint="eastAsia"/>
          <w:sz w:val="24"/>
        </w:rPr>
        <w:t>持有期。变更后的运作方式为：</w:t>
      </w:r>
    </w:p>
    <w:p w:rsidR="000857D8" w:rsidRDefault="000857D8" w:rsidP="00B60785">
      <w:pPr>
        <w:spacing w:line="540" w:lineRule="exact"/>
        <w:ind w:firstLineChars="200" w:firstLine="480"/>
        <w:rPr>
          <w:sz w:val="24"/>
        </w:rPr>
      </w:pPr>
      <w:r>
        <w:rPr>
          <w:rFonts w:hint="eastAsia"/>
          <w:sz w:val="24"/>
        </w:rPr>
        <w:t>“</w:t>
      </w:r>
      <w:r w:rsidR="00DC63DB" w:rsidRPr="00DC63DB">
        <w:rPr>
          <w:rFonts w:hint="eastAsia"/>
          <w:sz w:val="24"/>
        </w:rPr>
        <w:t>除基金合同另有约定外，</w:t>
      </w:r>
      <w:r w:rsidRPr="000857D8">
        <w:rPr>
          <w:rFonts w:hint="eastAsia"/>
          <w:sz w:val="24"/>
        </w:rPr>
        <w:t>本基金对每份基金份额设置</w:t>
      </w:r>
      <w:r w:rsidR="000E3041">
        <w:rPr>
          <w:rFonts w:hint="eastAsia"/>
          <w:sz w:val="24"/>
        </w:rPr>
        <w:t>五</w:t>
      </w:r>
      <w:r w:rsidRPr="000857D8">
        <w:rPr>
          <w:rFonts w:hint="eastAsia"/>
          <w:sz w:val="24"/>
        </w:rPr>
        <w:t>年锁定持有期。锁定持有期指基金份额登记日（对基金合同生效前已经持有的份额而言，下同）、基金份额申购申请日（对基金合同生效后申购份额而言，下同）或基金份额转换转入</w:t>
      </w:r>
      <w:r w:rsidR="009A738D">
        <w:rPr>
          <w:rFonts w:hint="eastAsia"/>
          <w:sz w:val="24"/>
        </w:rPr>
        <w:t>申请</w:t>
      </w:r>
      <w:r w:rsidRPr="000857D8">
        <w:rPr>
          <w:rFonts w:hint="eastAsia"/>
          <w:sz w:val="24"/>
        </w:rPr>
        <w:t>日（对基金合同生效后转换转入份额而言，下同）起（即锁定持有期起始日），至基金份额登记日、基金份额申购申请日或基金份额转换转入申请日次</w:t>
      </w:r>
      <w:r w:rsidR="000E3041">
        <w:rPr>
          <w:rFonts w:hint="eastAsia"/>
          <w:sz w:val="24"/>
        </w:rPr>
        <w:t>五</w:t>
      </w:r>
      <w:r w:rsidRPr="000857D8">
        <w:rPr>
          <w:rFonts w:hint="eastAsia"/>
          <w:sz w:val="24"/>
        </w:rPr>
        <w:t>年的年度对日的前一日（即锁定持有期到期日）之间的区间。每份基金份额的锁定持有期结束后即进入开放持有期，开放持有期首日为锁定持有期起始日次</w:t>
      </w:r>
      <w:r w:rsidR="000E3041">
        <w:rPr>
          <w:rFonts w:hint="eastAsia"/>
          <w:sz w:val="24"/>
        </w:rPr>
        <w:t>五</w:t>
      </w:r>
      <w:r w:rsidRPr="000857D8">
        <w:rPr>
          <w:rFonts w:hint="eastAsia"/>
          <w:sz w:val="24"/>
        </w:rPr>
        <w:t>年的年度对日。每份基金份额在开放持有期的开放日可以办理赎回及转换转出业务。</w:t>
      </w:r>
      <w:r w:rsidRPr="00B60785">
        <w:rPr>
          <w:rFonts w:hint="eastAsia"/>
          <w:sz w:val="24"/>
        </w:rPr>
        <w:t>”</w:t>
      </w:r>
    </w:p>
    <w:p w:rsidR="00994E0D" w:rsidRDefault="00994E0D" w:rsidP="00B60785">
      <w:pPr>
        <w:spacing w:line="540" w:lineRule="exact"/>
        <w:ind w:firstLineChars="200" w:firstLine="480"/>
        <w:rPr>
          <w:sz w:val="24"/>
        </w:rPr>
      </w:pPr>
      <w:r>
        <w:rPr>
          <w:rFonts w:hint="eastAsia"/>
          <w:sz w:val="24"/>
        </w:rPr>
        <w:t>相应删除《基金合同》中有关封闭期、开放期的内容，增加有关持有期的内容。</w:t>
      </w:r>
    </w:p>
    <w:p w:rsidR="000857D8" w:rsidRDefault="000857D8" w:rsidP="00B60785">
      <w:pPr>
        <w:pStyle w:val="ae"/>
        <w:numPr>
          <w:ilvl w:val="0"/>
          <w:numId w:val="17"/>
        </w:numPr>
        <w:spacing w:line="540" w:lineRule="exact"/>
        <w:ind w:firstLine="480"/>
        <w:outlineLvl w:val="2"/>
        <w:rPr>
          <w:sz w:val="24"/>
        </w:rPr>
      </w:pPr>
      <w:r w:rsidRPr="000857D8">
        <w:rPr>
          <w:rFonts w:hint="eastAsia"/>
          <w:sz w:val="24"/>
        </w:rPr>
        <w:t>终止</w:t>
      </w:r>
      <w:r w:rsidR="00D0195B">
        <w:rPr>
          <w:rFonts w:hint="eastAsia"/>
          <w:sz w:val="24"/>
        </w:rPr>
        <w:t>本</w:t>
      </w:r>
      <w:r w:rsidRPr="000857D8">
        <w:rPr>
          <w:rFonts w:hint="eastAsia"/>
          <w:sz w:val="24"/>
        </w:rPr>
        <w:t>基金的上市交易及场内申购赎回安排。相应删去《基金合</w:t>
      </w:r>
      <w:r w:rsidRPr="00B60785">
        <w:rPr>
          <w:rFonts w:hint="eastAsia"/>
          <w:sz w:val="24"/>
        </w:rPr>
        <w:t>同》中基金上市交易、场内申购赎回相关的内容。</w:t>
      </w:r>
    </w:p>
    <w:p w:rsidR="000E49E7" w:rsidRDefault="000857D8" w:rsidP="00B60785">
      <w:pPr>
        <w:pStyle w:val="ae"/>
        <w:numPr>
          <w:ilvl w:val="0"/>
          <w:numId w:val="17"/>
        </w:numPr>
        <w:spacing w:line="540" w:lineRule="exact"/>
        <w:ind w:firstLine="480"/>
        <w:outlineLvl w:val="2"/>
        <w:rPr>
          <w:sz w:val="24"/>
        </w:rPr>
      </w:pPr>
      <w:r w:rsidRPr="000857D8">
        <w:rPr>
          <w:rFonts w:hint="eastAsia"/>
          <w:sz w:val="24"/>
        </w:rPr>
        <w:t>变更投资范围</w:t>
      </w:r>
    </w:p>
    <w:p w:rsidR="000857D8" w:rsidRPr="003D131F" w:rsidRDefault="003D131F" w:rsidP="00910C14">
      <w:pPr>
        <w:pStyle w:val="ae"/>
        <w:spacing w:line="540" w:lineRule="exact"/>
        <w:ind w:firstLineChars="0"/>
        <w:rPr>
          <w:sz w:val="24"/>
        </w:rPr>
      </w:pPr>
      <w:r w:rsidRPr="003D131F">
        <w:rPr>
          <w:rFonts w:hint="eastAsia"/>
          <w:sz w:val="24"/>
        </w:rPr>
        <w:t>新增“超短期融资券、可分离交易可转债、银行存款、同业存单、股票期权、信用衍生品”且可根据法律法规参与融资</w:t>
      </w:r>
      <w:r>
        <w:rPr>
          <w:rFonts w:hint="eastAsia"/>
          <w:sz w:val="24"/>
        </w:rPr>
        <w:t>业务，删去“中小板、分离交易可转债的纯债部分、转融通出借业务”</w:t>
      </w:r>
      <w:r w:rsidR="000857D8" w:rsidRPr="003D131F">
        <w:rPr>
          <w:rFonts w:hint="eastAsia"/>
          <w:sz w:val="24"/>
        </w:rPr>
        <w:t>。变更后的投资范围为：</w:t>
      </w:r>
    </w:p>
    <w:p w:rsidR="000857D8" w:rsidRDefault="003E34D1" w:rsidP="00B60785">
      <w:pPr>
        <w:spacing w:line="540" w:lineRule="exact"/>
        <w:ind w:firstLineChars="200" w:firstLine="480"/>
        <w:rPr>
          <w:sz w:val="24"/>
        </w:rPr>
      </w:pPr>
      <w:r>
        <w:rPr>
          <w:rFonts w:hint="eastAsia"/>
          <w:sz w:val="24"/>
        </w:rPr>
        <w:t>“</w:t>
      </w:r>
      <w:r w:rsidR="00766DC3" w:rsidRPr="00766DC3">
        <w:rPr>
          <w:rFonts w:hint="eastAsia"/>
          <w:sz w:val="24"/>
        </w:rPr>
        <w:t>本基金的投资范围包括国内依法发行上市的股票及存托凭证（含创业板及其他经中国证监会核准或注册上市的股票及存托凭证）、港股通标的股票、债券（包括国内依法发行的国债、地方政府债、政府支持机构债、金融债、</w:t>
      </w:r>
      <w:r w:rsidR="00062ED8">
        <w:rPr>
          <w:rFonts w:hint="eastAsia"/>
          <w:sz w:val="24"/>
        </w:rPr>
        <w:t>公开发行的</w:t>
      </w:r>
      <w:r w:rsidR="00766DC3" w:rsidRPr="00766DC3">
        <w:rPr>
          <w:rFonts w:hint="eastAsia"/>
          <w:sz w:val="24"/>
        </w:rPr>
        <w:t>次级债</w:t>
      </w:r>
      <w:r w:rsidR="00062ED8">
        <w:rPr>
          <w:rFonts w:hint="eastAsia"/>
          <w:sz w:val="24"/>
        </w:rPr>
        <w:t>券</w:t>
      </w:r>
      <w:r w:rsidR="00766DC3" w:rsidRPr="00766DC3">
        <w:rPr>
          <w:rFonts w:hint="eastAsia"/>
          <w:sz w:val="24"/>
        </w:rPr>
        <w:t>、中央银行票据、企业债、公司债、中期票据、短期融资券、超短期融资券、可转换债券、可分离交易可转债、可交换债券）、债券回购、银行存款、同业存单、货币市场工具、资产支持证券、股指期货、国债期货、股票期权</w:t>
      </w:r>
      <w:r w:rsidR="00012555">
        <w:rPr>
          <w:rFonts w:hint="eastAsia"/>
          <w:sz w:val="24"/>
        </w:rPr>
        <w:t>、信用衍生品</w:t>
      </w:r>
      <w:r w:rsidR="00766DC3" w:rsidRPr="00766DC3">
        <w:rPr>
          <w:rFonts w:hint="eastAsia"/>
          <w:sz w:val="24"/>
        </w:rPr>
        <w:t>以及经中国证监会允许基金投资的其他金融工具（但须符合中国证监会的相关规定）。本基金可根据法律法规和基金合同的约定参与融资业务。</w:t>
      </w:r>
      <w:r>
        <w:rPr>
          <w:rFonts w:hint="eastAsia"/>
          <w:sz w:val="24"/>
        </w:rPr>
        <w:t>”</w:t>
      </w:r>
    </w:p>
    <w:p w:rsidR="000E49E7" w:rsidRDefault="00766DC3" w:rsidP="00B60785">
      <w:pPr>
        <w:pStyle w:val="ae"/>
        <w:numPr>
          <w:ilvl w:val="0"/>
          <w:numId w:val="17"/>
        </w:numPr>
        <w:spacing w:line="540" w:lineRule="exact"/>
        <w:ind w:firstLine="480"/>
        <w:outlineLvl w:val="2"/>
        <w:rPr>
          <w:sz w:val="24"/>
        </w:rPr>
      </w:pPr>
      <w:r>
        <w:rPr>
          <w:rFonts w:hint="eastAsia"/>
          <w:sz w:val="24"/>
        </w:rPr>
        <w:t>变更投资比例</w:t>
      </w:r>
    </w:p>
    <w:p w:rsidR="00766DC3" w:rsidRPr="00B60785" w:rsidRDefault="00766DC3" w:rsidP="00B60785">
      <w:pPr>
        <w:spacing w:line="540" w:lineRule="exact"/>
        <w:ind w:firstLineChars="200" w:firstLine="480"/>
        <w:rPr>
          <w:sz w:val="24"/>
        </w:rPr>
      </w:pPr>
      <w:r w:rsidRPr="00766DC3">
        <w:rPr>
          <w:rFonts w:hint="eastAsia"/>
          <w:sz w:val="24"/>
        </w:rPr>
        <w:t>由于本基金运作方式的变更，基金投资比例相应变更为</w:t>
      </w:r>
      <w:r>
        <w:rPr>
          <w:rFonts w:hint="eastAsia"/>
          <w:sz w:val="24"/>
        </w:rPr>
        <w:t>：“</w:t>
      </w:r>
      <w:r w:rsidRPr="00766DC3">
        <w:rPr>
          <w:rFonts w:hint="eastAsia"/>
          <w:sz w:val="24"/>
        </w:rPr>
        <w:t>本基金投资于股票资产（含存托凭证）的比例为基金资产的</w:t>
      </w:r>
      <w:r w:rsidRPr="00766DC3">
        <w:rPr>
          <w:rFonts w:hint="eastAsia"/>
          <w:sz w:val="24"/>
        </w:rPr>
        <w:t>60%-95%</w:t>
      </w:r>
      <w:r w:rsidRPr="00766DC3">
        <w:rPr>
          <w:rFonts w:hint="eastAsia"/>
          <w:sz w:val="24"/>
        </w:rPr>
        <w:t>（其中投资于港股通标的股票的比例占股票资产的</w:t>
      </w:r>
      <w:r w:rsidRPr="00766DC3">
        <w:rPr>
          <w:rFonts w:hint="eastAsia"/>
          <w:sz w:val="24"/>
        </w:rPr>
        <w:t>0%-50%</w:t>
      </w:r>
      <w:r w:rsidRPr="00766DC3">
        <w:rPr>
          <w:rFonts w:hint="eastAsia"/>
          <w:sz w:val="24"/>
        </w:rPr>
        <w:t>）。</w:t>
      </w:r>
      <w:r w:rsidRPr="00B60785">
        <w:rPr>
          <w:rFonts w:hint="eastAsia"/>
          <w:sz w:val="24"/>
        </w:rPr>
        <w:t>本基金每个交易日日终在扣除股指期货、国债期货及股票期权合约需缴纳的交易保证金后，保持现金或者到期日在一年以内的政府债券投资比例合计不低于基金资产净值的</w:t>
      </w:r>
      <w:r w:rsidRPr="00B60785">
        <w:rPr>
          <w:rFonts w:hint="eastAsia"/>
          <w:sz w:val="24"/>
        </w:rPr>
        <w:t>5%</w:t>
      </w:r>
      <w:r w:rsidRPr="00B60785">
        <w:rPr>
          <w:rFonts w:hint="eastAsia"/>
          <w:sz w:val="24"/>
        </w:rPr>
        <w:t>。前述现金不包括结算备付金、存出保证金、应收申购款等。”</w:t>
      </w:r>
    </w:p>
    <w:p w:rsidR="000E49E7" w:rsidRDefault="00766DC3" w:rsidP="00B60785">
      <w:pPr>
        <w:pStyle w:val="ae"/>
        <w:numPr>
          <w:ilvl w:val="0"/>
          <w:numId w:val="17"/>
        </w:numPr>
        <w:spacing w:line="540" w:lineRule="exact"/>
        <w:ind w:firstLine="480"/>
        <w:outlineLvl w:val="2"/>
        <w:rPr>
          <w:sz w:val="24"/>
        </w:rPr>
      </w:pPr>
      <w:r w:rsidRPr="00766DC3">
        <w:rPr>
          <w:rFonts w:hint="eastAsia"/>
          <w:sz w:val="24"/>
        </w:rPr>
        <w:t>变更投资策略</w:t>
      </w:r>
    </w:p>
    <w:p w:rsidR="00766DC3" w:rsidRDefault="00766DC3" w:rsidP="00B60785">
      <w:pPr>
        <w:spacing w:line="540" w:lineRule="exact"/>
        <w:ind w:firstLineChars="200" w:firstLine="480"/>
        <w:rPr>
          <w:sz w:val="24"/>
        </w:rPr>
      </w:pPr>
      <w:r w:rsidRPr="00766DC3">
        <w:rPr>
          <w:rFonts w:hint="eastAsia"/>
          <w:sz w:val="24"/>
        </w:rPr>
        <w:t>根据本基金运作方式和投资范围的变更，变更完善部分可投资标的的投资策略。变更后的投资策略包括：资产配置、</w:t>
      </w:r>
      <w:r w:rsidR="00114479">
        <w:rPr>
          <w:rFonts w:hint="eastAsia"/>
          <w:sz w:val="24"/>
        </w:rPr>
        <w:t>股票投资策略</w:t>
      </w:r>
      <w:r w:rsidR="000E49E7">
        <w:rPr>
          <w:rFonts w:hint="eastAsia"/>
          <w:sz w:val="24"/>
        </w:rPr>
        <w:t>、</w:t>
      </w:r>
      <w:r w:rsidR="000E49E7" w:rsidRPr="000E49E7">
        <w:rPr>
          <w:rFonts w:hint="eastAsia"/>
          <w:sz w:val="24"/>
        </w:rPr>
        <w:t>可转换债券、可分离交易可转债和可交换债券的投资策略</w:t>
      </w:r>
      <w:r w:rsidR="000E49E7">
        <w:rPr>
          <w:rFonts w:hint="eastAsia"/>
          <w:sz w:val="24"/>
        </w:rPr>
        <w:t>、</w:t>
      </w:r>
      <w:r w:rsidR="000E49E7" w:rsidRPr="000E49E7">
        <w:rPr>
          <w:rFonts w:hint="eastAsia"/>
          <w:sz w:val="24"/>
        </w:rPr>
        <w:t>其他固定收益类证券投资策略</w:t>
      </w:r>
      <w:r w:rsidR="000E49E7">
        <w:rPr>
          <w:rFonts w:hint="eastAsia"/>
          <w:sz w:val="24"/>
        </w:rPr>
        <w:t>、</w:t>
      </w:r>
      <w:r w:rsidR="000E49E7" w:rsidRPr="000E49E7">
        <w:rPr>
          <w:rFonts w:hint="eastAsia"/>
          <w:sz w:val="24"/>
        </w:rPr>
        <w:t>资产支持证券投资策略</w:t>
      </w:r>
      <w:r w:rsidR="000E49E7">
        <w:rPr>
          <w:rFonts w:hint="eastAsia"/>
          <w:sz w:val="24"/>
        </w:rPr>
        <w:t>、</w:t>
      </w:r>
      <w:r w:rsidR="000E49E7" w:rsidRPr="000E49E7">
        <w:rPr>
          <w:rFonts w:hint="eastAsia"/>
          <w:sz w:val="24"/>
        </w:rPr>
        <w:t>股指期货投资策略</w:t>
      </w:r>
      <w:r w:rsidR="000E49E7">
        <w:rPr>
          <w:rFonts w:hint="eastAsia"/>
          <w:sz w:val="24"/>
        </w:rPr>
        <w:t>、</w:t>
      </w:r>
      <w:r w:rsidR="000E49E7" w:rsidRPr="000E49E7">
        <w:rPr>
          <w:rFonts w:hint="eastAsia"/>
          <w:sz w:val="24"/>
        </w:rPr>
        <w:t>国债期货投资策略</w:t>
      </w:r>
      <w:r w:rsidR="000E49E7">
        <w:rPr>
          <w:rFonts w:hint="eastAsia"/>
          <w:sz w:val="24"/>
        </w:rPr>
        <w:t>、</w:t>
      </w:r>
      <w:r w:rsidR="000E49E7" w:rsidRPr="000E49E7">
        <w:rPr>
          <w:rFonts w:hint="eastAsia"/>
          <w:sz w:val="24"/>
        </w:rPr>
        <w:t>股票期权投资策略</w:t>
      </w:r>
      <w:r w:rsidR="000E49E7">
        <w:rPr>
          <w:rFonts w:hint="eastAsia"/>
          <w:sz w:val="24"/>
        </w:rPr>
        <w:t>、</w:t>
      </w:r>
      <w:r w:rsidR="00814A10" w:rsidRPr="00814A10">
        <w:rPr>
          <w:rFonts w:hint="eastAsia"/>
          <w:sz w:val="24"/>
        </w:rPr>
        <w:t>信用衍生品投资策略、</w:t>
      </w:r>
      <w:r w:rsidR="007D2078" w:rsidRPr="002213D1">
        <w:rPr>
          <w:rFonts w:hint="eastAsia"/>
          <w:sz w:val="24"/>
        </w:rPr>
        <w:t>参与融资业务</w:t>
      </w:r>
      <w:r w:rsidR="000E49E7" w:rsidRPr="000E49E7">
        <w:rPr>
          <w:rFonts w:hint="eastAsia"/>
          <w:sz w:val="24"/>
        </w:rPr>
        <w:t>策略</w:t>
      </w:r>
      <w:r w:rsidRPr="00766DC3">
        <w:rPr>
          <w:rFonts w:hint="eastAsia"/>
          <w:sz w:val="24"/>
        </w:rPr>
        <w:t>。</w:t>
      </w:r>
    </w:p>
    <w:p w:rsidR="000E49E7" w:rsidRDefault="000E49E7" w:rsidP="00B60785">
      <w:pPr>
        <w:pStyle w:val="ae"/>
        <w:numPr>
          <w:ilvl w:val="0"/>
          <w:numId w:val="17"/>
        </w:numPr>
        <w:spacing w:line="540" w:lineRule="exact"/>
        <w:ind w:firstLine="480"/>
        <w:outlineLvl w:val="2"/>
        <w:rPr>
          <w:sz w:val="24"/>
        </w:rPr>
      </w:pPr>
      <w:r>
        <w:rPr>
          <w:rFonts w:hint="eastAsia"/>
          <w:sz w:val="24"/>
        </w:rPr>
        <w:t>调整投资限制</w:t>
      </w:r>
    </w:p>
    <w:p w:rsidR="00766DC3" w:rsidRDefault="000E49E7" w:rsidP="00B60785">
      <w:pPr>
        <w:spacing w:line="540" w:lineRule="exact"/>
        <w:ind w:firstLineChars="200" w:firstLine="480"/>
        <w:rPr>
          <w:sz w:val="24"/>
        </w:rPr>
      </w:pPr>
      <w:r w:rsidRPr="000E49E7">
        <w:rPr>
          <w:rFonts w:hint="eastAsia"/>
          <w:sz w:val="24"/>
        </w:rPr>
        <w:t>根据转型后的产品特点及可投资标的，基金投资限制条款相应调整为：</w:t>
      </w:r>
    </w:p>
    <w:p w:rsidR="008D11DB" w:rsidRPr="008D11DB" w:rsidRDefault="000E49E7" w:rsidP="008D11DB">
      <w:pPr>
        <w:spacing w:line="540" w:lineRule="exact"/>
        <w:ind w:firstLineChars="200" w:firstLine="480"/>
        <w:rPr>
          <w:sz w:val="24"/>
        </w:rPr>
      </w:pPr>
      <w:r>
        <w:rPr>
          <w:rFonts w:hint="eastAsia"/>
          <w:sz w:val="24"/>
        </w:rPr>
        <w:t>“</w:t>
      </w:r>
      <w:r w:rsidR="008D11DB" w:rsidRPr="008D11DB">
        <w:rPr>
          <w:rFonts w:hint="eastAsia"/>
          <w:sz w:val="24"/>
        </w:rPr>
        <w:t>（</w:t>
      </w:r>
      <w:r w:rsidR="008D11DB" w:rsidRPr="008D11DB">
        <w:rPr>
          <w:rFonts w:hint="eastAsia"/>
          <w:sz w:val="24"/>
        </w:rPr>
        <w:t>1</w:t>
      </w:r>
      <w:r w:rsidR="008D11DB" w:rsidRPr="008D11DB">
        <w:rPr>
          <w:rFonts w:hint="eastAsia"/>
          <w:sz w:val="24"/>
        </w:rPr>
        <w:t>）本基金投资于股票资产（含存托凭证）的比例为基金资产的</w:t>
      </w:r>
      <w:r w:rsidR="008D11DB" w:rsidRPr="008D11DB">
        <w:rPr>
          <w:rFonts w:hint="eastAsia"/>
          <w:sz w:val="24"/>
        </w:rPr>
        <w:t>60%-95%</w:t>
      </w:r>
      <w:r w:rsidR="008D11DB" w:rsidRPr="008D11DB">
        <w:rPr>
          <w:rFonts w:hint="eastAsia"/>
          <w:sz w:val="24"/>
        </w:rPr>
        <w:t>（其中投资于港股通标的股票的比例占股票资产的</w:t>
      </w:r>
      <w:r w:rsidR="008D11DB" w:rsidRPr="008D11DB">
        <w:rPr>
          <w:rFonts w:hint="eastAsia"/>
          <w:sz w:val="24"/>
        </w:rPr>
        <w:t>0%-50%</w:t>
      </w:r>
      <w:r w:rsidR="008D11DB" w:rsidRPr="008D11DB">
        <w:rPr>
          <w:rFonts w:hint="eastAsia"/>
          <w:sz w:val="24"/>
        </w:rPr>
        <w:t>）</w:t>
      </w:r>
      <w:r w:rsidR="008D11DB" w:rsidRPr="008D11DB">
        <w:rPr>
          <w:sz w:val="24"/>
        </w:rPr>
        <w:t>；</w:t>
      </w:r>
      <w:r w:rsidR="008D11DB" w:rsidRPr="008D11DB">
        <w:rPr>
          <w:rFonts w:hint="eastAsia"/>
          <w:sz w:val="24"/>
        </w:rPr>
        <w:t xml:space="preserve"> </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2</w:t>
      </w:r>
      <w:r w:rsidRPr="008D11DB">
        <w:rPr>
          <w:rFonts w:hint="eastAsia"/>
          <w:sz w:val="24"/>
        </w:rPr>
        <w:t>）本基金每个交易日日终在扣除股指期货、国债期货和股票期权合约需缴纳的交易保证金后，保持不低于基金资产净值</w:t>
      </w:r>
      <w:r w:rsidRPr="008D11DB">
        <w:rPr>
          <w:rFonts w:hint="eastAsia"/>
          <w:sz w:val="24"/>
        </w:rPr>
        <w:t>5%</w:t>
      </w:r>
      <w:r w:rsidRPr="008D11DB">
        <w:rPr>
          <w:rFonts w:hint="eastAsia"/>
          <w:sz w:val="24"/>
        </w:rPr>
        <w:t>的现金或者到期日在一年以内的政府债券。前述现金不包括结算备付金、存出保证金、应收申购款等；</w:t>
      </w:r>
    </w:p>
    <w:p w:rsidR="008D11DB" w:rsidRPr="008D11DB" w:rsidRDefault="008D11DB" w:rsidP="008D11DB">
      <w:pPr>
        <w:spacing w:line="540" w:lineRule="exact"/>
        <w:ind w:firstLineChars="200" w:firstLine="480"/>
        <w:rPr>
          <w:sz w:val="24"/>
        </w:rPr>
      </w:pPr>
      <w:r w:rsidRPr="008D11DB">
        <w:rPr>
          <w:sz w:val="24"/>
        </w:rPr>
        <w:t>（</w:t>
      </w:r>
      <w:r w:rsidRPr="008D11DB">
        <w:rPr>
          <w:sz w:val="24"/>
        </w:rPr>
        <w:t>3</w:t>
      </w:r>
      <w:r w:rsidRPr="008D11DB">
        <w:rPr>
          <w:sz w:val="24"/>
        </w:rPr>
        <w:t>）基金财产参与股票发行申购，本基金所申报的金额不超过本基金的总资产，本基金所申报的股票数量不超过拟发行股票公司本次发行股票的总量；</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4</w:t>
      </w:r>
      <w:r w:rsidRPr="008D11DB">
        <w:rPr>
          <w:sz w:val="24"/>
        </w:rPr>
        <w:t>）本基金持有一家</w:t>
      </w:r>
      <w:r w:rsidRPr="008D11DB">
        <w:rPr>
          <w:rFonts w:hint="eastAsia"/>
          <w:sz w:val="24"/>
        </w:rPr>
        <w:t>公司发行</w:t>
      </w:r>
      <w:r w:rsidRPr="008D11DB">
        <w:rPr>
          <w:sz w:val="24"/>
        </w:rPr>
        <w:t>的证券，其市值</w:t>
      </w:r>
      <w:r w:rsidRPr="008D11DB">
        <w:rPr>
          <w:rFonts w:hint="eastAsia"/>
          <w:sz w:val="24"/>
        </w:rPr>
        <w:t>（同一家公司在内地和香港同时上市的</w:t>
      </w:r>
      <w:r w:rsidRPr="008D11DB">
        <w:rPr>
          <w:rFonts w:hint="eastAsia"/>
          <w:sz w:val="24"/>
        </w:rPr>
        <w:t>A+H</w:t>
      </w:r>
      <w:r w:rsidRPr="008D11DB">
        <w:rPr>
          <w:rFonts w:hint="eastAsia"/>
          <w:sz w:val="24"/>
        </w:rPr>
        <w:t>股合计计算）</w:t>
      </w:r>
      <w:r w:rsidRPr="008D11DB">
        <w:rPr>
          <w:sz w:val="24"/>
        </w:rPr>
        <w:t>不超过基金资产净值的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5</w:t>
      </w:r>
      <w:r w:rsidRPr="008D11DB">
        <w:rPr>
          <w:sz w:val="24"/>
        </w:rPr>
        <w:t>）本基金管理人管理的全部基金持有一家公司发行的证券</w:t>
      </w:r>
      <w:r w:rsidRPr="008D11DB">
        <w:rPr>
          <w:rFonts w:hint="eastAsia"/>
          <w:sz w:val="24"/>
        </w:rPr>
        <w:t>（同一家公司在内地和香港同时上市的</w:t>
      </w:r>
      <w:r w:rsidRPr="008D11DB">
        <w:rPr>
          <w:rFonts w:hint="eastAsia"/>
          <w:sz w:val="24"/>
        </w:rPr>
        <w:t>A+H</w:t>
      </w:r>
      <w:r w:rsidRPr="008D11DB">
        <w:rPr>
          <w:rFonts w:hint="eastAsia"/>
          <w:sz w:val="24"/>
        </w:rPr>
        <w:t>股合计计算），</w:t>
      </w:r>
      <w:r w:rsidRPr="008D11DB">
        <w:rPr>
          <w:sz w:val="24"/>
        </w:rPr>
        <w:t>不超过该证券的</w:t>
      </w:r>
      <w:r w:rsidRPr="008D11DB">
        <w:rPr>
          <w:sz w:val="24"/>
        </w:rPr>
        <w:t>10</w:t>
      </w:r>
      <w:r w:rsidRPr="008D11DB">
        <w:rPr>
          <w:sz w:val="24"/>
        </w:rPr>
        <w:t>％</w:t>
      </w:r>
      <w:r w:rsidRPr="008D11DB">
        <w:rPr>
          <w:rFonts w:hint="eastAsia"/>
          <w:sz w:val="24"/>
        </w:rPr>
        <w:t>，完全按照有关指数的构成比例进行证券投资的基金品种可以不受此条款规定的比例限制</w:t>
      </w:r>
      <w:r w:rsidRPr="008D11DB">
        <w:rPr>
          <w:sz w:val="24"/>
        </w:rPr>
        <w:t>；</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6</w:t>
      </w:r>
      <w:r w:rsidRPr="008D11DB">
        <w:rPr>
          <w:rFonts w:hint="eastAsia"/>
          <w:sz w:val="24"/>
        </w:rPr>
        <w:t>）本基金管理人管理的全部开放式基金</w:t>
      </w:r>
      <w:r w:rsidRPr="008D11DB">
        <w:rPr>
          <w:rFonts w:hint="eastAsia"/>
          <w:bCs/>
          <w:sz w:val="24"/>
        </w:rPr>
        <w:t>（</w:t>
      </w:r>
      <w:r w:rsidRPr="008D11DB">
        <w:rPr>
          <w:bCs/>
          <w:sz w:val="24"/>
        </w:rPr>
        <w:t>包括开放式基金以及处于开放期的定期开放基金</w:t>
      </w:r>
      <w:r w:rsidRPr="008D11DB">
        <w:rPr>
          <w:rFonts w:hint="eastAsia"/>
          <w:bCs/>
          <w:sz w:val="24"/>
        </w:rPr>
        <w:t>）</w:t>
      </w:r>
      <w:r w:rsidRPr="008D11DB">
        <w:rPr>
          <w:rFonts w:hint="eastAsia"/>
          <w:sz w:val="24"/>
        </w:rPr>
        <w:t>持有一家上市公司发行的可流通股票，不得超过该上市公司可流通股票的</w:t>
      </w:r>
      <w:r w:rsidRPr="008D11DB">
        <w:rPr>
          <w:rFonts w:hint="eastAsia"/>
          <w:sz w:val="24"/>
        </w:rPr>
        <w:t>15%</w:t>
      </w:r>
      <w:r w:rsidRPr="008D11DB">
        <w:rPr>
          <w:rFonts w:hint="eastAsia"/>
          <w:sz w:val="24"/>
        </w:rPr>
        <w:t>；本基金管理人管理的全部投资组合持有一家上市公司发行的可流通股票，不得超过该上市公司可流通股票的</w:t>
      </w:r>
      <w:r w:rsidRPr="008D11DB">
        <w:rPr>
          <w:rFonts w:hint="eastAsia"/>
          <w:sz w:val="24"/>
        </w:rPr>
        <w:t>30%</w:t>
      </w:r>
      <w:r w:rsidRPr="008D11DB">
        <w:rPr>
          <w:rFonts w:hint="eastAsia"/>
          <w:sz w:val="24"/>
        </w:rPr>
        <w:t>。完全按照有关指数的构成比例进行证券投资的开放式基金以及中国证监会认定的特殊投资组合可不受前述比例限制；</w:t>
      </w:r>
    </w:p>
    <w:p w:rsidR="008D11DB" w:rsidRPr="008D11DB" w:rsidRDefault="008D11DB" w:rsidP="008D11DB">
      <w:pPr>
        <w:spacing w:line="540" w:lineRule="exact"/>
        <w:ind w:firstLineChars="200" w:firstLine="480"/>
        <w:rPr>
          <w:sz w:val="24"/>
        </w:rPr>
      </w:pPr>
      <w:r w:rsidRPr="008D11DB">
        <w:rPr>
          <w:sz w:val="24"/>
        </w:rPr>
        <w:t>（</w:t>
      </w:r>
      <w:r w:rsidRPr="008D11DB">
        <w:rPr>
          <w:sz w:val="24"/>
        </w:rPr>
        <w:t>7</w:t>
      </w:r>
      <w:r w:rsidRPr="008D11DB">
        <w:rPr>
          <w:sz w:val="24"/>
        </w:rPr>
        <w:t>）本基金投资于同一原始权益人的各类资产支持证券的比例，不得超过基金资产净值的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sz w:val="24"/>
        </w:rPr>
        <w:t>8</w:t>
      </w:r>
      <w:r w:rsidRPr="008D11DB">
        <w:rPr>
          <w:sz w:val="24"/>
        </w:rPr>
        <w:t>）本基金持有的全部资产支持证券，其市值不得超过基金资产净值的</w:t>
      </w:r>
      <w:r w:rsidRPr="008D11DB">
        <w:rPr>
          <w:sz w:val="24"/>
        </w:rPr>
        <w:t>20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sz w:val="24"/>
        </w:rPr>
        <w:t>9</w:t>
      </w:r>
      <w:r w:rsidRPr="008D11DB">
        <w:rPr>
          <w:sz w:val="24"/>
        </w:rPr>
        <w:t>）本基金持有的同一</w:t>
      </w:r>
      <w:r w:rsidRPr="008D11DB">
        <w:rPr>
          <w:sz w:val="24"/>
        </w:rPr>
        <w:t>(</w:t>
      </w:r>
      <w:r w:rsidRPr="008D11DB">
        <w:rPr>
          <w:sz w:val="24"/>
        </w:rPr>
        <w:t>指同一信用级别</w:t>
      </w:r>
      <w:r w:rsidRPr="008D11DB">
        <w:rPr>
          <w:sz w:val="24"/>
        </w:rPr>
        <w:t>)</w:t>
      </w:r>
      <w:r w:rsidRPr="008D11DB">
        <w:rPr>
          <w:sz w:val="24"/>
        </w:rPr>
        <w:t>资产支持证券的比例，不得超过该资产支持证券规模的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1</w:t>
      </w:r>
      <w:r w:rsidRPr="008D11DB">
        <w:rPr>
          <w:sz w:val="24"/>
        </w:rPr>
        <w:t>0</w:t>
      </w:r>
      <w:r w:rsidRPr="008D11DB">
        <w:rPr>
          <w:sz w:val="24"/>
        </w:rPr>
        <w:t>）本基金管理人管理的全部基金投资于同一原始权益人的各类资产支持证券，不得超过其各类资产支持证券合计规模的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1</w:t>
      </w:r>
      <w:r w:rsidRPr="008D11DB">
        <w:rPr>
          <w:sz w:val="24"/>
        </w:rPr>
        <w:t>1</w:t>
      </w:r>
      <w:r w:rsidRPr="008D11DB">
        <w:rPr>
          <w:sz w:val="24"/>
        </w:rPr>
        <w:t>）本基金应投资于信用级别评级为</w:t>
      </w:r>
      <w:r w:rsidRPr="008D11DB">
        <w:rPr>
          <w:sz w:val="24"/>
        </w:rPr>
        <w:t>BBB</w:t>
      </w:r>
      <w:r w:rsidRPr="008D11DB">
        <w:rPr>
          <w:sz w:val="24"/>
        </w:rPr>
        <w:t>以上</w:t>
      </w:r>
      <w:r w:rsidRPr="008D11DB">
        <w:rPr>
          <w:sz w:val="24"/>
        </w:rPr>
        <w:t>(</w:t>
      </w:r>
      <w:r w:rsidRPr="008D11DB">
        <w:rPr>
          <w:sz w:val="24"/>
        </w:rPr>
        <w:t>含</w:t>
      </w:r>
      <w:r w:rsidRPr="008D11DB">
        <w:rPr>
          <w:sz w:val="24"/>
        </w:rPr>
        <w:t>BBB)</w:t>
      </w:r>
      <w:r w:rsidRPr="008D11DB">
        <w:rPr>
          <w:sz w:val="24"/>
        </w:rPr>
        <w:t>的资产支持证券。基金持有资产支持证券期间，如果其信用等级下降、不再符合投资标准，应在评级报告发布之日起</w:t>
      </w:r>
      <w:r w:rsidRPr="008D11DB">
        <w:rPr>
          <w:sz w:val="24"/>
        </w:rPr>
        <w:t>3</w:t>
      </w:r>
      <w:r w:rsidRPr="008D11DB">
        <w:rPr>
          <w:sz w:val="24"/>
        </w:rPr>
        <w:t>个月内予以全部卖出；</w:t>
      </w:r>
    </w:p>
    <w:p w:rsidR="008D11DB" w:rsidRPr="008D11DB" w:rsidRDefault="008D11DB" w:rsidP="008D11DB">
      <w:pPr>
        <w:spacing w:line="540" w:lineRule="exact"/>
        <w:ind w:firstLineChars="200" w:firstLine="480"/>
        <w:rPr>
          <w:sz w:val="24"/>
        </w:rPr>
      </w:pPr>
      <w:r w:rsidRPr="008D11DB">
        <w:rPr>
          <w:sz w:val="24"/>
        </w:rPr>
        <w:t>（</w:t>
      </w:r>
      <w:r w:rsidRPr="008D11DB">
        <w:rPr>
          <w:sz w:val="24"/>
        </w:rPr>
        <w:t>12</w:t>
      </w:r>
      <w:r w:rsidRPr="008D11DB">
        <w:rPr>
          <w:sz w:val="24"/>
        </w:rPr>
        <w:t>）本</w:t>
      </w:r>
      <w:r w:rsidRPr="008D11DB">
        <w:rPr>
          <w:rFonts w:hint="eastAsia"/>
          <w:sz w:val="24"/>
        </w:rPr>
        <w:t>基金总资产不得超过基金净资产的</w:t>
      </w:r>
      <w:r w:rsidRPr="008D11DB">
        <w:rPr>
          <w:rFonts w:hint="eastAsia"/>
          <w:sz w:val="24"/>
        </w:rPr>
        <w:t>140%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1</w:t>
      </w:r>
      <w:r w:rsidRPr="008D11DB">
        <w:rPr>
          <w:sz w:val="24"/>
        </w:rPr>
        <w:t>3</w:t>
      </w:r>
      <w:r w:rsidRPr="008D11DB">
        <w:rPr>
          <w:rFonts w:hint="eastAsia"/>
          <w:sz w:val="24"/>
        </w:rPr>
        <w:t>）本基金参与股指期货和</w:t>
      </w:r>
      <w:r w:rsidRPr="008D11DB">
        <w:rPr>
          <w:rFonts w:hint="eastAsia"/>
          <w:sz w:val="24"/>
        </w:rPr>
        <w:t>/</w:t>
      </w:r>
      <w:r w:rsidRPr="008D11DB">
        <w:rPr>
          <w:rFonts w:hint="eastAsia"/>
          <w:sz w:val="24"/>
        </w:rPr>
        <w:t>或国债期货交易时，应当遵守下列要求：</w:t>
      </w:r>
    </w:p>
    <w:p w:rsidR="008D11DB" w:rsidRPr="008D11DB" w:rsidRDefault="008D11DB" w:rsidP="008D11DB">
      <w:pPr>
        <w:spacing w:line="540" w:lineRule="exact"/>
        <w:ind w:firstLineChars="200" w:firstLine="480"/>
        <w:rPr>
          <w:sz w:val="24"/>
        </w:rPr>
      </w:pPr>
      <w:r w:rsidRPr="008D11DB">
        <w:rPr>
          <w:rFonts w:hint="eastAsia"/>
          <w:sz w:val="24"/>
        </w:rPr>
        <w:t>1</w:t>
      </w:r>
      <w:r w:rsidRPr="008D11DB">
        <w:rPr>
          <w:rFonts w:hint="eastAsia"/>
          <w:sz w:val="24"/>
        </w:rPr>
        <w:t>）基金在任何交易日日终，持有的买入股指期货合约价值不得超过基金资产净值的</w:t>
      </w:r>
      <w:r w:rsidRPr="008D11DB">
        <w:rPr>
          <w:rFonts w:hint="eastAsia"/>
          <w:sz w:val="24"/>
        </w:rPr>
        <w:t>10%</w:t>
      </w:r>
      <w:r w:rsidRPr="008D11DB">
        <w:rPr>
          <w:rFonts w:hint="eastAsia"/>
          <w:sz w:val="24"/>
        </w:rPr>
        <w:t>，持有的买入国债期货合约价值，不得超过基金资产净值的</w:t>
      </w:r>
      <w:r w:rsidRPr="008D11DB">
        <w:rPr>
          <w:rFonts w:hint="eastAsia"/>
          <w:sz w:val="24"/>
        </w:rPr>
        <w:t>15%</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2</w:t>
      </w:r>
      <w:r w:rsidRPr="008D11DB">
        <w:rPr>
          <w:rFonts w:hint="eastAsia"/>
          <w:sz w:val="24"/>
        </w:rPr>
        <w:t>）基金在任何交易日日终，持有的卖出股指期货合约价值不得超过基金持有的股票总市值的</w:t>
      </w:r>
      <w:r w:rsidRPr="008D11DB">
        <w:rPr>
          <w:rFonts w:hint="eastAsia"/>
          <w:sz w:val="24"/>
        </w:rPr>
        <w:t>20%</w:t>
      </w:r>
      <w:r w:rsidRPr="008D11DB">
        <w:rPr>
          <w:rFonts w:hint="eastAsia"/>
          <w:sz w:val="24"/>
        </w:rPr>
        <w:t>，持有的卖出国债期货合约价值不得超过基金持有的债券总市值的</w:t>
      </w:r>
      <w:r w:rsidRPr="008D11DB">
        <w:rPr>
          <w:rFonts w:hint="eastAsia"/>
          <w:sz w:val="24"/>
        </w:rPr>
        <w:t>30%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3</w:t>
      </w:r>
      <w:r w:rsidRPr="008D11DB">
        <w:rPr>
          <w:rFonts w:hint="eastAsia"/>
          <w:sz w:val="24"/>
        </w:rPr>
        <w:t>）基金在任何交易日内交易（不包括平仓）的股指期货合约的成交金额不得超过上一交易日基金资产净值的</w:t>
      </w:r>
      <w:r w:rsidRPr="008D11DB">
        <w:rPr>
          <w:rFonts w:hint="eastAsia"/>
          <w:sz w:val="24"/>
        </w:rPr>
        <w:t>20%</w:t>
      </w:r>
      <w:r w:rsidRPr="008D11DB">
        <w:rPr>
          <w:rFonts w:hint="eastAsia"/>
          <w:sz w:val="24"/>
        </w:rPr>
        <w:t>，在任何交易日内交易（不包括平仓）的国债期货合约的成交金额不得超过上一交易日基金资产净值的</w:t>
      </w:r>
      <w:r w:rsidRPr="008D11DB">
        <w:rPr>
          <w:rFonts w:hint="eastAsia"/>
          <w:sz w:val="24"/>
        </w:rPr>
        <w:t>30%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4</w:t>
      </w:r>
      <w:r w:rsidRPr="008D11DB">
        <w:rPr>
          <w:rFonts w:hint="eastAsia"/>
          <w:sz w:val="24"/>
        </w:rPr>
        <w:t>）基金在任何交易日日终，持有的买入国债期货和股指期货合约价值与有价证券市值之和，不得超过基金资产净值的</w:t>
      </w:r>
      <w:r w:rsidRPr="008D11DB">
        <w:rPr>
          <w:rFonts w:hint="eastAsia"/>
          <w:sz w:val="24"/>
        </w:rPr>
        <w:t>95%</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其中，有价证券指股票、债券（不含到期日在一年以内的政府债券）、资产支持证券、买入返售金融资产（不含质押式回购）等。</w:t>
      </w:r>
    </w:p>
    <w:p w:rsidR="008D11DB" w:rsidRPr="008D11DB" w:rsidRDefault="008D11DB" w:rsidP="008D11DB">
      <w:pPr>
        <w:spacing w:line="540" w:lineRule="exact"/>
        <w:ind w:firstLineChars="200" w:firstLine="480"/>
        <w:rPr>
          <w:sz w:val="24"/>
        </w:rPr>
      </w:pPr>
      <w:r w:rsidRPr="008D11DB">
        <w:rPr>
          <w:rFonts w:hint="eastAsia"/>
          <w:sz w:val="24"/>
        </w:rPr>
        <w:t>5</w:t>
      </w:r>
      <w:r w:rsidRPr="008D11DB">
        <w:rPr>
          <w:rFonts w:hint="eastAsia"/>
          <w:sz w:val="24"/>
        </w:rPr>
        <w:t>）基金所持有的股票市值和买入、卖出股指期货合约价值，合计（轧差计算）应当符合基金合同关于股票投资比例的有关约定；</w:t>
      </w:r>
    </w:p>
    <w:p w:rsidR="008D11DB" w:rsidRPr="008D11DB" w:rsidRDefault="008D11DB" w:rsidP="008D11DB">
      <w:pPr>
        <w:spacing w:line="540" w:lineRule="exact"/>
        <w:ind w:firstLineChars="200" w:firstLine="480"/>
        <w:rPr>
          <w:sz w:val="24"/>
        </w:rPr>
      </w:pPr>
      <w:r w:rsidRPr="008D11DB">
        <w:rPr>
          <w:rFonts w:hint="eastAsia"/>
          <w:sz w:val="24"/>
        </w:rPr>
        <w:t>基金所持有的债券（不含到期日在一年以内的政府债券）市值和买入、卖出国债期货合约价值，合计（轧差计算）应当符合基金合同关于债券投资比例的有关约定；</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1</w:t>
      </w:r>
      <w:r w:rsidRPr="008D11DB">
        <w:rPr>
          <w:sz w:val="24"/>
        </w:rPr>
        <w:t>4</w:t>
      </w:r>
      <w:r w:rsidRPr="008D11DB">
        <w:rPr>
          <w:rFonts w:hint="eastAsia"/>
          <w:sz w:val="24"/>
        </w:rPr>
        <w:t>）本基金参与股票期权交易的，应当符合下列要求：</w:t>
      </w:r>
    </w:p>
    <w:p w:rsidR="008D11DB" w:rsidRPr="008D11DB" w:rsidRDefault="008D11DB" w:rsidP="008D11DB">
      <w:pPr>
        <w:spacing w:line="540" w:lineRule="exact"/>
        <w:ind w:firstLineChars="200" w:firstLine="480"/>
        <w:rPr>
          <w:sz w:val="24"/>
        </w:rPr>
      </w:pPr>
      <w:r w:rsidRPr="008D11DB">
        <w:rPr>
          <w:rFonts w:hint="eastAsia"/>
          <w:sz w:val="24"/>
        </w:rPr>
        <w:t>1</w:t>
      </w:r>
      <w:r w:rsidRPr="008D11DB">
        <w:rPr>
          <w:rFonts w:hint="eastAsia"/>
          <w:sz w:val="24"/>
        </w:rPr>
        <w:t>）基金因未平仓的期权合约支付和收取的权利金总额不得超过基金资产净值的</w:t>
      </w:r>
      <w:r w:rsidRPr="008D11DB">
        <w:rPr>
          <w:rFonts w:hint="eastAsia"/>
          <w:sz w:val="24"/>
        </w:rPr>
        <w:t>10%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2</w:t>
      </w:r>
      <w:r w:rsidRPr="008D11DB">
        <w:rPr>
          <w:rFonts w:hint="eastAsia"/>
          <w:sz w:val="24"/>
        </w:rPr>
        <w:t>）开仓卖出认购期权的，应持有足额标的证券；开仓卖出认沽期权的，应持有合约行权所需的全额现金或交易所规则认可的可冲抵期权保证金的现金等价物；</w:t>
      </w:r>
    </w:p>
    <w:p w:rsidR="008D11DB" w:rsidRDefault="008D11DB" w:rsidP="008D11DB">
      <w:pPr>
        <w:spacing w:line="540" w:lineRule="exact"/>
        <w:ind w:firstLineChars="200" w:firstLine="480"/>
        <w:rPr>
          <w:sz w:val="24"/>
        </w:rPr>
      </w:pPr>
      <w:r w:rsidRPr="008D11DB">
        <w:rPr>
          <w:rFonts w:hint="eastAsia"/>
          <w:sz w:val="24"/>
        </w:rPr>
        <w:t>3</w:t>
      </w:r>
      <w:r w:rsidRPr="008D11DB">
        <w:rPr>
          <w:rFonts w:hint="eastAsia"/>
          <w:sz w:val="24"/>
        </w:rPr>
        <w:t>）未平仓的期权合约面值不得超过基金资产净值的</w:t>
      </w:r>
      <w:r w:rsidRPr="008D11DB">
        <w:rPr>
          <w:rFonts w:hint="eastAsia"/>
          <w:sz w:val="24"/>
        </w:rPr>
        <w:t>20%</w:t>
      </w:r>
      <w:r w:rsidRPr="008D11DB">
        <w:rPr>
          <w:rFonts w:hint="eastAsia"/>
          <w:sz w:val="24"/>
        </w:rPr>
        <w:t>，其中，合约面值按照行权价乘以合约乘数计算；</w:t>
      </w:r>
    </w:p>
    <w:p w:rsidR="00A63019" w:rsidRPr="006D5C09" w:rsidRDefault="00A63019" w:rsidP="00A63019">
      <w:pPr>
        <w:spacing w:line="540" w:lineRule="exact"/>
        <w:ind w:firstLineChars="200" w:firstLine="480"/>
        <w:rPr>
          <w:sz w:val="24"/>
        </w:rPr>
      </w:pPr>
      <w:r w:rsidRPr="006D5C09">
        <w:rPr>
          <w:rFonts w:hint="eastAsia"/>
          <w:sz w:val="24"/>
        </w:rPr>
        <w:t>（</w:t>
      </w:r>
      <w:r w:rsidRPr="006D5C09">
        <w:rPr>
          <w:rFonts w:hint="eastAsia"/>
          <w:sz w:val="24"/>
        </w:rPr>
        <w:t>15</w:t>
      </w:r>
      <w:r w:rsidRPr="006D5C09">
        <w:rPr>
          <w:rFonts w:hint="eastAsia"/>
          <w:sz w:val="24"/>
        </w:rPr>
        <w:t>）本基金不得持有信用保护卖方属性的信用衍生品，不得持有合约类信用衍生品，持有的信用衍生品的名义本金不得超过本基金对应受保护债券面值的</w:t>
      </w:r>
      <w:r w:rsidRPr="006D5C09">
        <w:rPr>
          <w:rFonts w:hint="eastAsia"/>
          <w:sz w:val="24"/>
        </w:rPr>
        <w:t>100%</w:t>
      </w:r>
      <w:r w:rsidRPr="006D5C09">
        <w:rPr>
          <w:rFonts w:hint="eastAsia"/>
          <w:sz w:val="24"/>
        </w:rPr>
        <w:t>；</w:t>
      </w:r>
    </w:p>
    <w:p w:rsidR="00A63019" w:rsidRPr="006D5C09" w:rsidRDefault="00A63019" w:rsidP="00A63019">
      <w:pPr>
        <w:spacing w:line="540" w:lineRule="exact"/>
        <w:ind w:firstLineChars="200" w:firstLine="480"/>
        <w:rPr>
          <w:sz w:val="24"/>
        </w:rPr>
      </w:pPr>
      <w:r w:rsidRPr="006D5C09">
        <w:rPr>
          <w:rFonts w:hint="eastAsia"/>
          <w:sz w:val="24"/>
        </w:rPr>
        <w:t>（</w:t>
      </w:r>
      <w:r w:rsidRPr="006D5C09">
        <w:rPr>
          <w:rFonts w:hint="eastAsia"/>
          <w:sz w:val="24"/>
        </w:rPr>
        <w:t>16</w:t>
      </w:r>
      <w:r w:rsidRPr="006D5C09">
        <w:rPr>
          <w:rFonts w:hint="eastAsia"/>
          <w:sz w:val="24"/>
        </w:rPr>
        <w:t>）本基金投资于同一信用保护卖方的各类信用衍生品的名义本金合计不得超过基金资产净值的</w:t>
      </w:r>
      <w:r w:rsidRPr="006D5C09">
        <w:rPr>
          <w:rFonts w:hint="eastAsia"/>
          <w:sz w:val="24"/>
        </w:rPr>
        <w:t>10%</w:t>
      </w:r>
      <w:r w:rsidRPr="006D5C09">
        <w:rPr>
          <w:rFonts w:hint="eastAsia"/>
          <w:sz w:val="24"/>
        </w:rPr>
        <w:t>；</w:t>
      </w:r>
    </w:p>
    <w:p w:rsidR="00A63019" w:rsidRPr="008D11DB" w:rsidRDefault="00A63019" w:rsidP="00A63019">
      <w:pPr>
        <w:spacing w:line="540" w:lineRule="exact"/>
        <w:ind w:firstLineChars="200" w:firstLine="480"/>
        <w:rPr>
          <w:sz w:val="24"/>
        </w:rPr>
      </w:pPr>
      <w:r w:rsidRPr="006D5C09">
        <w:rPr>
          <w:rFonts w:hint="eastAsia"/>
          <w:sz w:val="24"/>
        </w:rPr>
        <w:t>因证券、期货市场波动、证券发行人合并、基金规模变动等基金管理人之外的因素致使基金不符合前述（</w:t>
      </w:r>
      <w:r w:rsidRPr="006D5C09">
        <w:rPr>
          <w:rFonts w:hint="eastAsia"/>
          <w:sz w:val="24"/>
        </w:rPr>
        <w:t>15</w:t>
      </w:r>
      <w:r w:rsidRPr="006D5C09">
        <w:rPr>
          <w:rFonts w:hint="eastAsia"/>
          <w:sz w:val="24"/>
        </w:rPr>
        <w:t>）、（</w:t>
      </w:r>
      <w:r w:rsidRPr="006D5C09">
        <w:rPr>
          <w:rFonts w:hint="eastAsia"/>
          <w:sz w:val="24"/>
        </w:rPr>
        <w:t>16</w:t>
      </w:r>
      <w:r w:rsidRPr="006D5C09">
        <w:rPr>
          <w:rFonts w:hint="eastAsia"/>
          <w:sz w:val="24"/>
        </w:rPr>
        <w:t>）所规定比例限制的，基金管理人应在</w:t>
      </w:r>
      <w:r w:rsidRPr="006D5C09">
        <w:rPr>
          <w:rFonts w:hint="eastAsia"/>
          <w:sz w:val="24"/>
        </w:rPr>
        <w:t>3</w:t>
      </w:r>
      <w:r w:rsidRPr="006D5C09">
        <w:rPr>
          <w:rFonts w:hint="eastAsia"/>
          <w:sz w:val="24"/>
        </w:rPr>
        <w:t>个月之内进行调整；</w:t>
      </w:r>
    </w:p>
    <w:p w:rsidR="008D11DB" w:rsidRPr="008D11DB" w:rsidRDefault="008D11DB" w:rsidP="008D11DB">
      <w:pPr>
        <w:spacing w:line="540" w:lineRule="exact"/>
        <w:ind w:firstLineChars="200" w:firstLine="480"/>
        <w:rPr>
          <w:sz w:val="24"/>
        </w:rPr>
      </w:pPr>
      <w:r w:rsidRPr="008D11DB">
        <w:rPr>
          <w:rFonts w:hint="eastAsia"/>
          <w:sz w:val="24"/>
        </w:rPr>
        <w:t>（</w:t>
      </w:r>
      <w:r w:rsidR="00A63019">
        <w:rPr>
          <w:sz w:val="24"/>
        </w:rPr>
        <w:t>17</w:t>
      </w:r>
      <w:r w:rsidRPr="008D11DB">
        <w:rPr>
          <w:rFonts w:hint="eastAsia"/>
          <w:sz w:val="24"/>
        </w:rPr>
        <w:t>）本基金与私募类证券资管产品及中国证监会认定的其他主体为交易对手开展逆回购交易的，可接受质押品的资质要求应当与基金合同约定的投资范围保持一致；</w:t>
      </w:r>
    </w:p>
    <w:p w:rsidR="008D11DB" w:rsidRPr="008D11DB" w:rsidRDefault="008D11DB" w:rsidP="008D11DB">
      <w:pPr>
        <w:spacing w:line="540" w:lineRule="exact"/>
        <w:ind w:firstLineChars="200" w:firstLine="480"/>
        <w:rPr>
          <w:sz w:val="24"/>
        </w:rPr>
      </w:pPr>
      <w:r w:rsidRPr="008D11DB">
        <w:rPr>
          <w:rFonts w:hint="eastAsia"/>
          <w:sz w:val="24"/>
        </w:rPr>
        <w:t>（</w:t>
      </w:r>
      <w:r w:rsidR="00A63019" w:rsidRPr="008D11DB">
        <w:rPr>
          <w:sz w:val="24"/>
        </w:rPr>
        <w:t>1</w:t>
      </w:r>
      <w:r w:rsidR="00A63019">
        <w:rPr>
          <w:sz w:val="24"/>
        </w:rPr>
        <w:t>8</w:t>
      </w:r>
      <w:r w:rsidRPr="008D11DB">
        <w:rPr>
          <w:rFonts w:hint="eastAsia"/>
          <w:sz w:val="24"/>
        </w:rPr>
        <w:t>）</w:t>
      </w:r>
      <w:r w:rsidRPr="008D11DB">
        <w:rPr>
          <w:rFonts w:hint="eastAsia"/>
          <w:bCs/>
          <w:sz w:val="24"/>
        </w:rPr>
        <w:t>本基金主动投资于流动性受限资产的市值合计不得超过本基金资产净值的</w:t>
      </w:r>
      <w:r w:rsidRPr="008D11DB">
        <w:rPr>
          <w:rFonts w:hint="eastAsia"/>
          <w:bCs/>
          <w:sz w:val="24"/>
        </w:rPr>
        <w:t>15%</w:t>
      </w:r>
      <w:r w:rsidRPr="008D11DB">
        <w:rPr>
          <w:rFonts w:hint="eastAsia"/>
          <w:bCs/>
          <w:sz w:val="24"/>
        </w:rPr>
        <w:t>；因证券市场波动、上市公司股票停牌、基金规模变动等基金管理人之外的因素致使基金不符合前款所规定的比例限制的，基金管理人不得主动新增流动性受限资产的投资；</w:t>
      </w:r>
    </w:p>
    <w:p w:rsidR="008D11DB" w:rsidRPr="008D11DB" w:rsidRDefault="008D11DB" w:rsidP="008D11DB">
      <w:pPr>
        <w:spacing w:line="540" w:lineRule="exact"/>
        <w:ind w:firstLineChars="200" w:firstLine="480"/>
        <w:rPr>
          <w:sz w:val="24"/>
        </w:rPr>
      </w:pPr>
      <w:r w:rsidRPr="008D11DB">
        <w:rPr>
          <w:rFonts w:hint="eastAsia"/>
          <w:bCs/>
          <w:sz w:val="24"/>
        </w:rPr>
        <w:t>（</w:t>
      </w:r>
      <w:r w:rsidR="00A63019" w:rsidRPr="008D11DB">
        <w:rPr>
          <w:rFonts w:hint="eastAsia"/>
          <w:bCs/>
          <w:sz w:val="24"/>
        </w:rPr>
        <w:t>1</w:t>
      </w:r>
      <w:r w:rsidR="00A63019">
        <w:rPr>
          <w:bCs/>
          <w:sz w:val="24"/>
        </w:rPr>
        <w:t>9</w:t>
      </w:r>
      <w:r w:rsidRPr="008D11DB">
        <w:rPr>
          <w:rFonts w:hint="eastAsia"/>
          <w:bCs/>
          <w:sz w:val="24"/>
        </w:rPr>
        <w:t>）参与融资业务后，在任何交易日日终，本基金持有的融资买入股票与其他有价证券市值之和，不得超过基金资产净值的</w:t>
      </w:r>
      <w:r w:rsidRPr="008D11DB">
        <w:rPr>
          <w:rFonts w:hint="eastAsia"/>
          <w:bCs/>
          <w:sz w:val="24"/>
        </w:rPr>
        <w:t>95%</w:t>
      </w:r>
      <w:r w:rsidRPr="008D11DB">
        <w:rPr>
          <w:rFonts w:hint="eastAsia"/>
          <w:bCs/>
          <w:sz w:val="24"/>
        </w:rPr>
        <w:t>；</w:t>
      </w:r>
    </w:p>
    <w:p w:rsidR="008D11DB" w:rsidRPr="008D11DB" w:rsidRDefault="008D11DB" w:rsidP="008D11DB">
      <w:pPr>
        <w:spacing w:line="540" w:lineRule="exact"/>
        <w:ind w:firstLineChars="200" w:firstLine="480"/>
        <w:rPr>
          <w:bCs/>
          <w:sz w:val="24"/>
        </w:rPr>
      </w:pPr>
      <w:r w:rsidRPr="008D11DB">
        <w:rPr>
          <w:rFonts w:hint="eastAsia"/>
          <w:bCs/>
          <w:sz w:val="24"/>
        </w:rPr>
        <w:t>（</w:t>
      </w:r>
      <w:r w:rsidR="00A63019">
        <w:rPr>
          <w:bCs/>
          <w:sz w:val="24"/>
        </w:rPr>
        <w:t>20</w:t>
      </w:r>
      <w:r w:rsidRPr="008D11DB">
        <w:rPr>
          <w:rFonts w:hint="eastAsia"/>
          <w:bCs/>
          <w:sz w:val="24"/>
        </w:rPr>
        <w:t>）本基金投资存托凭证的比例限制依照内地上市交易的股票执行；</w:t>
      </w:r>
    </w:p>
    <w:p w:rsidR="008D11DB" w:rsidRPr="008D11DB" w:rsidRDefault="008D11DB" w:rsidP="008D11DB">
      <w:pPr>
        <w:spacing w:line="540" w:lineRule="exact"/>
        <w:ind w:firstLineChars="200" w:firstLine="480"/>
        <w:rPr>
          <w:sz w:val="24"/>
        </w:rPr>
      </w:pPr>
      <w:r w:rsidRPr="008D11DB">
        <w:rPr>
          <w:sz w:val="24"/>
        </w:rPr>
        <w:t>（</w:t>
      </w:r>
      <w:r w:rsidR="00A63019">
        <w:rPr>
          <w:sz w:val="24"/>
        </w:rPr>
        <w:t>21</w:t>
      </w:r>
      <w:r w:rsidRPr="008D11DB">
        <w:rPr>
          <w:sz w:val="24"/>
        </w:rPr>
        <w:t>）</w:t>
      </w:r>
      <w:r w:rsidRPr="008D11DB">
        <w:rPr>
          <w:rFonts w:hint="eastAsia"/>
          <w:sz w:val="24"/>
        </w:rPr>
        <w:t>法律法规及中国证监会规定的和《基金合同》约定的其他投资限制。</w:t>
      </w:r>
    </w:p>
    <w:p w:rsidR="008D11DB" w:rsidRPr="008D11DB" w:rsidRDefault="008D11DB" w:rsidP="008D11DB">
      <w:pPr>
        <w:spacing w:line="540" w:lineRule="exact"/>
        <w:ind w:firstLineChars="200" w:firstLine="480"/>
        <w:rPr>
          <w:sz w:val="24"/>
        </w:rPr>
      </w:pPr>
      <w:r w:rsidRPr="008D11DB">
        <w:rPr>
          <w:rFonts w:hint="eastAsia"/>
          <w:sz w:val="24"/>
        </w:rPr>
        <w:t>法律法规或监管部门取消或调整上述限制，如适用于本基金，则在履行适当程序后，本基金投资不再受相关限制或按照调整后的规定执行</w:t>
      </w:r>
      <w:r w:rsidRPr="008D11DB">
        <w:rPr>
          <w:rFonts w:hint="eastAsia"/>
          <w:sz w:val="24"/>
        </w:rPr>
        <w:t>,</w:t>
      </w:r>
      <w:r w:rsidRPr="008D11DB">
        <w:rPr>
          <w:rFonts w:hint="eastAsia"/>
          <w:sz w:val="24"/>
        </w:rPr>
        <w:t>基金管理人及时根据《信息披露办法》规定在规定媒介公告。</w:t>
      </w:r>
    </w:p>
    <w:p w:rsidR="00766DC3" w:rsidRDefault="008D11DB" w:rsidP="008D11DB">
      <w:pPr>
        <w:spacing w:line="540" w:lineRule="exact"/>
        <w:ind w:firstLineChars="200" w:firstLine="480"/>
        <w:rPr>
          <w:sz w:val="24"/>
        </w:rPr>
      </w:pPr>
      <w:r w:rsidRPr="008D11DB">
        <w:rPr>
          <w:rFonts w:hint="eastAsia"/>
          <w:sz w:val="24"/>
        </w:rPr>
        <w:t>除（</w:t>
      </w:r>
      <w:r w:rsidRPr="008D11DB">
        <w:rPr>
          <w:rFonts w:hint="eastAsia"/>
          <w:sz w:val="24"/>
        </w:rPr>
        <w:t>2</w:t>
      </w:r>
      <w:r w:rsidRPr="008D11DB">
        <w:rPr>
          <w:rFonts w:hint="eastAsia"/>
          <w:sz w:val="24"/>
        </w:rPr>
        <w:t>）、（</w:t>
      </w:r>
      <w:r w:rsidRPr="008D11DB">
        <w:rPr>
          <w:rFonts w:hint="eastAsia"/>
          <w:sz w:val="24"/>
        </w:rPr>
        <w:t>11</w:t>
      </w:r>
      <w:r w:rsidRPr="008D11DB">
        <w:rPr>
          <w:rFonts w:hint="eastAsia"/>
          <w:sz w:val="24"/>
        </w:rPr>
        <w:t>）、（</w:t>
      </w:r>
      <w:r w:rsidRPr="008D11DB">
        <w:rPr>
          <w:rFonts w:hint="eastAsia"/>
          <w:sz w:val="24"/>
        </w:rPr>
        <w:t>15</w:t>
      </w:r>
      <w:r w:rsidRPr="008D11DB">
        <w:rPr>
          <w:rFonts w:hint="eastAsia"/>
          <w:sz w:val="24"/>
        </w:rPr>
        <w:t>）、（</w:t>
      </w:r>
      <w:r w:rsidRPr="008D11DB">
        <w:rPr>
          <w:rFonts w:hint="eastAsia"/>
          <w:sz w:val="24"/>
        </w:rPr>
        <w:t>16</w:t>
      </w:r>
      <w:r w:rsidRPr="008D11DB">
        <w:rPr>
          <w:rFonts w:hint="eastAsia"/>
          <w:sz w:val="24"/>
        </w:rPr>
        <w:t>）</w:t>
      </w:r>
      <w:r w:rsidR="00A63019" w:rsidRPr="006D5C09">
        <w:rPr>
          <w:rFonts w:hint="eastAsia"/>
          <w:sz w:val="24"/>
        </w:rPr>
        <w:t>、（</w:t>
      </w:r>
      <w:r w:rsidR="00A63019" w:rsidRPr="006D5C09">
        <w:rPr>
          <w:rFonts w:hint="eastAsia"/>
          <w:sz w:val="24"/>
        </w:rPr>
        <w:t>17</w:t>
      </w:r>
      <w:r w:rsidR="00A63019" w:rsidRPr="006D5C09">
        <w:rPr>
          <w:rFonts w:hint="eastAsia"/>
          <w:sz w:val="24"/>
        </w:rPr>
        <w:t>）、（</w:t>
      </w:r>
      <w:r w:rsidR="00A63019" w:rsidRPr="006D5C09">
        <w:rPr>
          <w:rFonts w:hint="eastAsia"/>
          <w:sz w:val="24"/>
        </w:rPr>
        <w:t>18</w:t>
      </w:r>
      <w:r w:rsidR="00A63019" w:rsidRPr="006D5C09">
        <w:rPr>
          <w:rFonts w:hint="eastAsia"/>
          <w:sz w:val="24"/>
        </w:rPr>
        <w:t>）</w:t>
      </w:r>
      <w:r w:rsidRPr="008D11DB">
        <w:rPr>
          <w:rFonts w:hint="eastAsia"/>
          <w:sz w:val="24"/>
        </w:rPr>
        <w:t>条外，因证券、期货市场波动、证券发行人合并、基金规模变动等基金管理人之外的因素致使基金投资比例不符合上述规定投资比例的，基金管理人应当在</w:t>
      </w:r>
      <w:r w:rsidRPr="008D11DB">
        <w:rPr>
          <w:sz w:val="24"/>
        </w:rPr>
        <w:t>10</w:t>
      </w:r>
      <w:r w:rsidRPr="008D11DB">
        <w:rPr>
          <w:rFonts w:hint="eastAsia"/>
          <w:sz w:val="24"/>
        </w:rPr>
        <w:t>个交易日内进行调整，但中国证监会规定的特殊情形除外。法律法规另有规定的，从其规定。</w:t>
      </w:r>
      <w:r w:rsidR="000E49E7">
        <w:rPr>
          <w:rFonts w:hint="eastAsia"/>
          <w:sz w:val="24"/>
        </w:rPr>
        <w:t>”</w:t>
      </w:r>
    </w:p>
    <w:p w:rsidR="000E49E7" w:rsidRDefault="000E49E7" w:rsidP="00B60785">
      <w:pPr>
        <w:pStyle w:val="ae"/>
        <w:numPr>
          <w:ilvl w:val="0"/>
          <w:numId w:val="17"/>
        </w:numPr>
        <w:spacing w:line="540" w:lineRule="exact"/>
        <w:ind w:firstLine="480"/>
        <w:outlineLvl w:val="2"/>
        <w:rPr>
          <w:sz w:val="24"/>
        </w:rPr>
      </w:pPr>
      <w:r w:rsidRPr="000E49E7">
        <w:rPr>
          <w:rFonts w:hint="eastAsia"/>
          <w:sz w:val="24"/>
        </w:rPr>
        <w:t>变更基金的收益与分配</w:t>
      </w:r>
    </w:p>
    <w:p w:rsidR="000E49E7" w:rsidRDefault="000E49E7" w:rsidP="00B60785">
      <w:pPr>
        <w:spacing w:line="540" w:lineRule="exact"/>
        <w:ind w:firstLineChars="200" w:firstLine="480"/>
        <w:rPr>
          <w:sz w:val="24"/>
        </w:rPr>
      </w:pPr>
      <w:r>
        <w:rPr>
          <w:rFonts w:ascii="宋体" w:cs="宋体" w:hint="eastAsia"/>
          <w:kern w:val="0"/>
          <w:sz w:val="24"/>
          <w:szCs w:val="24"/>
        </w:rPr>
        <w:t>由于本基金</w:t>
      </w:r>
      <w:r w:rsidR="00927544">
        <w:rPr>
          <w:rFonts w:ascii="宋体" w:cs="宋体" w:hint="eastAsia"/>
          <w:kern w:val="0"/>
          <w:sz w:val="24"/>
          <w:szCs w:val="24"/>
        </w:rPr>
        <w:t>终止上市交易</w:t>
      </w:r>
      <w:r>
        <w:rPr>
          <w:rFonts w:ascii="宋体" w:cs="宋体" w:hint="eastAsia"/>
          <w:kern w:val="0"/>
          <w:sz w:val="24"/>
          <w:szCs w:val="24"/>
        </w:rPr>
        <w:t>，调整基金收益分配原则如下：</w:t>
      </w:r>
    </w:p>
    <w:p w:rsidR="000E49E7" w:rsidRPr="000E49E7" w:rsidRDefault="000E49E7" w:rsidP="000E49E7">
      <w:pPr>
        <w:spacing w:line="540" w:lineRule="exact"/>
        <w:ind w:firstLineChars="200" w:firstLine="480"/>
        <w:rPr>
          <w:sz w:val="24"/>
        </w:rPr>
      </w:pPr>
      <w:r>
        <w:rPr>
          <w:rFonts w:hint="eastAsia"/>
          <w:sz w:val="24"/>
        </w:rPr>
        <w:t>“</w:t>
      </w:r>
      <w:r w:rsidRPr="000E49E7">
        <w:rPr>
          <w:sz w:val="24"/>
        </w:rPr>
        <w:t>1</w:t>
      </w:r>
      <w:r w:rsidRPr="000E49E7">
        <w:rPr>
          <w:rFonts w:hint="eastAsia"/>
          <w:sz w:val="24"/>
        </w:rPr>
        <w:t>、在符合有关基金分红条件的前提下，本基金管理人可以根据实际情况进行收益分配，具体分配方案以公告为准，若《基金合同》生效不满</w:t>
      </w:r>
      <w:r w:rsidRPr="000E49E7">
        <w:rPr>
          <w:sz w:val="24"/>
        </w:rPr>
        <w:t>3</w:t>
      </w:r>
      <w:r w:rsidRPr="000E49E7">
        <w:rPr>
          <w:rFonts w:hint="eastAsia"/>
          <w:sz w:val="24"/>
        </w:rPr>
        <w:t>个月则可不进行收益分配；</w:t>
      </w:r>
    </w:p>
    <w:p w:rsidR="000E49E7" w:rsidRPr="000E49E7" w:rsidRDefault="000E49E7" w:rsidP="000E49E7">
      <w:pPr>
        <w:spacing w:line="540" w:lineRule="exact"/>
        <w:ind w:firstLineChars="200" w:firstLine="480"/>
        <w:rPr>
          <w:sz w:val="24"/>
        </w:rPr>
      </w:pPr>
      <w:r w:rsidRPr="000E49E7">
        <w:rPr>
          <w:sz w:val="24"/>
        </w:rPr>
        <w:t>2</w:t>
      </w:r>
      <w:r w:rsidRPr="000E49E7">
        <w:rPr>
          <w:rFonts w:hint="eastAsia"/>
          <w:sz w:val="24"/>
        </w:rPr>
        <w:t>、本基金的收益分配方式分两种：现金分红与红利再投资，投资者可选择现金分红或将现金分红自动转为基金份额进行再投资；若投资者不选择，本基金默认的收益分配方式是现金分红；选择采取红利再投资形式的，红利再投资的份额免收申购费；</w:t>
      </w:r>
    </w:p>
    <w:p w:rsidR="000E49E7" w:rsidRPr="000E49E7" w:rsidRDefault="000E49E7" w:rsidP="000E49E7">
      <w:pPr>
        <w:spacing w:line="540" w:lineRule="exact"/>
        <w:ind w:firstLineChars="200" w:firstLine="480"/>
        <w:rPr>
          <w:sz w:val="24"/>
        </w:rPr>
      </w:pPr>
      <w:r w:rsidRPr="000E49E7">
        <w:rPr>
          <w:sz w:val="24"/>
        </w:rPr>
        <w:t>3</w:t>
      </w:r>
      <w:r w:rsidRPr="000E49E7">
        <w:rPr>
          <w:rFonts w:hint="eastAsia"/>
          <w:sz w:val="24"/>
        </w:rPr>
        <w:t>、基金收益分配后基金份额净值不能低于面值，即基金收益分配基准日的基金份额净值减去每单位基金份额收益分配金额后不能低于面值；</w:t>
      </w:r>
    </w:p>
    <w:p w:rsidR="000E49E7" w:rsidRPr="000E49E7" w:rsidRDefault="000E49E7" w:rsidP="000E49E7">
      <w:pPr>
        <w:spacing w:line="540" w:lineRule="exact"/>
        <w:ind w:firstLineChars="200" w:firstLine="480"/>
        <w:rPr>
          <w:sz w:val="24"/>
        </w:rPr>
      </w:pPr>
      <w:r w:rsidRPr="000E49E7">
        <w:rPr>
          <w:rFonts w:hint="eastAsia"/>
          <w:sz w:val="24"/>
        </w:rPr>
        <w:t>4</w:t>
      </w:r>
      <w:r w:rsidRPr="000E49E7">
        <w:rPr>
          <w:rFonts w:hint="eastAsia"/>
          <w:sz w:val="24"/>
        </w:rPr>
        <w:t>、</w:t>
      </w:r>
      <w:r w:rsidR="00A56286" w:rsidRPr="00A56286">
        <w:rPr>
          <w:rFonts w:hint="eastAsia"/>
          <w:sz w:val="24"/>
        </w:rPr>
        <w:t>本基金的每份基金份额享有同等分配权；</w:t>
      </w:r>
    </w:p>
    <w:p w:rsidR="000E49E7" w:rsidRDefault="000E49E7" w:rsidP="00B60785">
      <w:pPr>
        <w:spacing w:line="540" w:lineRule="exact"/>
        <w:ind w:firstLineChars="200" w:firstLine="480"/>
        <w:rPr>
          <w:sz w:val="24"/>
        </w:rPr>
      </w:pPr>
      <w:r w:rsidRPr="000E49E7">
        <w:rPr>
          <w:rFonts w:hint="eastAsia"/>
          <w:sz w:val="24"/>
        </w:rPr>
        <w:t>5</w:t>
      </w:r>
      <w:r w:rsidRPr="000E49E7">
        <w:rPr>
          <w:rFonts w:hint="eastAsia"/>
          <w:sz w:val="24"/>
        </w:rPr>
        <w:t>、法律法规或监管机关另有规定的，从其规定。</w:t>
      </w:r>
    </w:p>
    <w:p w:rsidR="000E49E7" w:rsidRDefault="000E49E7" w:rsidP="00B60785">
      <w:pPr>
        <w:spacing w:line="540" w:lineRule="exact"/>
        <w:ind w:firstLineChars="200" w:firstLine="480"/>
        <w:rPr>
          <w:sz w:val="24"/>
        </w:rPr>
      </w:pPr>
      <w:r w:rsidRPr="000E49E7">
        <w:rPr>
          <w:rFonts w:hint="eastAsia"/>
          <w:sz w:val="24"/>
        </w:rPr>
        <w:t>在对基金份额持有人利益无实质性不利影响的前提下</w:t>
      </w:r>
      <w:r w:rsidR="00583100" w:rsidRPr="00583100">
        <w:rPr>
          <w:rFonts w:hint="eastAsia"/>
          <w:sz w:val="24"/>
        </w:rPr>
        <w:t>并履行适当程序后</w:t>
      </w:r>
      <w:r w:rsidRPr="000E49E7">
        <w:rPr>
          <w:rFonts w:hint="eastAsia"/>
          <w:sz w:val="24"/>
        </w:rPr>
        <w:t>，基金管理人可对基金收益分配原则进行调整</w:t>
      </w:r>
      <w:r w:rsidR="00193191">
        <w:rPr>
          <w:rFonts w:hint="eastAsia"/>
          <w:sz w:val="24"/>
        </w:rPr>
        <w:t>。</w:t>
      </w:r>
      <w:r>
        <w:rPr>
          <w:rFonts w:hint="eastAsia"/>
          <w:sz w:val="24"/>
        </w:rPr>
        <w:t>”</w:t>
      </w:r>
    </w:p>
    <w:p w:rsidR="003F788C" w:rsidRPr="003F788C" w:rsidRDefault="003F788C" w:rsidP="003F788C">
      <w:pPr>
        <w:pStyle w:val="ae"/>
        <w:numPr>
          <w:ilvl w:val="0"/>
          <w:numId w:val="17"/>
        </w:numPr>
        <w:spacing w:line="540" w:lineRule="exact"/>
        <w:ind w:firstLine="480"/>
        <w:outlineLvl w:val="2"/>
        <w:rPr>
          <w:sz w:val="24"/>
        </w:rPr>
      </w:pPr>
      <w:r>
        <w:rPr>
          <w:rFonts w:hint="eastAsia"/>
          <w:sz w:val="24"/>
        </w:rPr>
        <w:t>调整基金的估值对象和估值方法</w:t>
      </w:r>
    </w:p>
    <w:p w:rsidR="00A76308" w:rsidRDefault="003F788C" w:rsidP="00B60785">
      <w:pPr>
        <w:spacing w:line="540" w:lineRule="exact"/>
        <w:ind w:firstLineChars="200" w:firstLine="480"/>
        <w:rPr>
          <w:rFonts w:ascii="Times New Roman" w:hAnsi="Times New Roman"/>
          <w:sz w:val="24"/>
        </w:rPr>
      </w:pPr>
      <w:r>
        <w:rPr>
          <w:rFonts w:ascii="Times New Roman" w:hAnsi="Times New Roman" w:hint="eastAsia"/>
          <w:sz w:val="24"/>
        </w:rPr>
        <w:t>根据</w:t>
      </w:r>
      <w:r w:rsidR="00482C5B">
        <w:rPr>
          <w:rFonts w:ascii="Times New Roman" w:hAnsi="Times New Roman" w:hint="eastAsia"/>
          <w:sz w:val="24"/>
        </w:rPr>
        <w:t>最</w:t>
      </w:r>
      <w:r>
        <w:rPr>
          <w:rFonts w:ascii="Times New Roman" w:hAnsi="Times New Roman" w:hint="eastAsia"/>
          <w:sz w:val="24"/>
        </w:rPr>
        <w:t>新的法律法规、相关规定及本次修改投资范围的实际情况，对原基金的估值对象和估值方法进行了补充调整。</w:t>
      </w:r>
    </w:p>
    <w:p w:rsidR="003F788C" w:rsidRDefault="00163349" w:rsidP="00B60785">
      <w:pPr>
        <w:spacing w:line="540" w:lineRule="exact"/>
        <w:ind w:firstLineChars="200" w:firstLine="480"/>
        <w:rPr>
          <w:rFonts w:ascii="Times New Roman" w:hAnsi="Times New Roman"/>
          <w:sz w:val="24"/>
        </w:rPr>
      </w:pPr>
      <w:r>
        <w:rPr>
          <w:rFonts w:ascii="Times New Roman" w:hAnsi="Times New Roman" w:hint="eastAsia"/>
          <w:sz w:val="24"/>
        </w:rPr>
        <w:t>变更后的估值对象为：</w:t>
      </w:r>
      <w:r w:rsidR="00A76308">
        <w:rPr>
          <w:rFonts w:ascii="Times New Roman" w:hAnsi="Times New Roman" w:hint="eastAsia"/>
          <w:sz w:val="24"/>
        </w:rPr>
        <w:t>“</w:t>
      </w:r>
      <w:r w:rsidR="00A76308" w:rsidRPr="00A76308">
        <w:rPr>
          <w:rFonts w:ascii="Times New Roman" w:hAnsi="Times New Roman" w:hint="eastAsia"/>
          <w:sz w:val="24"/>
        </w:rPr>
        <w:t>基金所拥有的股票、债券、资产支持证券、股票期权合约、股指期货合约、国债期货合约</w:t>
      </w:r>
      <w:r w:rsidR="00CD26A1" w:rsidRPr="00CD26A1">
        <w:rPr>
          <w:rFonts w:ascii="Times New Roman" w:hAnsi="Times New Roman" w:hint="eastAsia"/>
          <w:sz w:val="24"/>
        </w:rPr>
        <w:t>、信用衍生品</w:t>
      </w:r>
      <w:r w:rsidR="00A76308" w:rsidRPr="00A76308">
        <w:rPr>
          <w:rFonts w:ascii="Times New Roman" w:hAnsi="Times New Roman" w:hint="eastAsia"/>
          <w:sz w:val="24"/>
        </w:rPr>
        <w:t>和银行存款本息、应收款项、其它投资等资产和负债。</w:t>
      </w:r>
      <w:r w:rsidR="00A76308">
        <w:rPr>
          <w:rFonts w:ascii="Times New Roman" w:hAnsi="Times New Roman" w:hint="eastAsia"/>
          <w:sz w:val="24"/>
        </w:rPr>
        <w:t>”</w:t>
      </w:r>
    </w:p>
    <w:p w:rsidR="00A76308" w:rsidRDefault="00A76308" w:rsidP="00B60785">
      <w:pPr>
        <w:spacing w:line="540" w:lineRule="exact"/>
        <w:ind w:firstLineChars="200" w:firstLine="480"/>
        <w:rPr>
          <w:rFonts w:ascii="Times New Roman" w:hAnsi="Times New Roman"/>
          <w:sz w:val="24"/>
        </w:rPr>
      </w:pPr>
      <w:r>
        <w:rPr>
          <w:rFonts w:ascii="Times New Roman" w:hAnsi="Times New Roman" w:hint="eastAsia"/>
          <w:sz w:val="24"/>
        </w:rPr>
        <w:t>变更后的估值方法为：</w:t>
      </w:r>
    </w:p>
    <w:p w:rsidR="00A76308" w:rsidRPr="00A76308" w:rsidRDefault="00A76308" w:rsidP="00A76308">
      <w:pPr>
        <w:spacing w:line="540" w:lineRule="exact"/>
        <w:ind w:firstLineChars="200" w:firstLine="480"/>
        <w:rPr>
          <w:rFonts w:ascii="Times New Roman" w:hAnsi="Times New Roman"/>
          <w:sz w:val="24"/>
        </w:rPr>
      </w:pPr>
      <w:r>
        <w:rPr>
          <w:rFonts w:ascii="Times New Roman" w:hAnsi="Times New Roman" w:hint="eastAsia"/>
          <w:sz w:val="24"/>
        </w:rPr>
        <w:t>“</w:t>
      </w:r>
      <w:bookmarkStart w:id="0" w:name="_Hlk176186446"/>
      <w:r w:rsidRPr="00A76308">
        <w:rPr>
          <w:rFonts w:ascii="Times New Roman" w:hAnsi="Times New Roman"/>
          <w:sz w:val="24"/>
        </w:rPr>
        <w:t>1</w:t>
      </w:r>
      <w:r w:rsidRPr="00A76308">
        <w:rPr>
          <w:rFonts w:ascii="Times New Roman" w:hAnsi="Times New Roman" w:hint="eastAsia"/>
          <w:sz w:val="24"/>
        </w:rPr>
        <w:t>、上市或挂牌转让的有价证券的估值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1</w:t>
      </w:r>
      <w:r w:rsidRPr="00A76308">
        <w:rPr>
          <w:rFonts w:ascii="Times New Roman" w:hAnsi="Times New Roman"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2</w:t>
      </w:r>
      <w:r w:rsidRPr="00A76308">
        <w:rPr>
          <w:rFonts w:ascii="Times New Roman" w:hAnsi="Times New Roman" w:hint="eastAsia"/>
          <w:sz w:val="24"/>
        </w:rPr>
        <w:t>）已上市交易或挂牌转让的不含权固定收益品种</w:t>
      </w:r>
      <w:r w:rsidR="00193191" w:rsidRPr="00193191">
        <w:rPr>
          <w:rFonts w:ascii="Times New Roman" w:hAnsi="Times New Roman" w:hint="eastAsia"/>
          <w:sz w:val="24"/>
        </w:rPr>
        <w:t>（另有规定的除外）</w:t>
      </w:r>
      <w:r w:rsidRPr="00A76308">
        <w:rPr>
          <w:rFonts w:ascii="Times New Roman" w:hAnsi="Times New Roman" w:hint="eastAsia"/>
          <w:sz w:val="24"/>
        </w:rPr>
        <w:t>，选取估值日第三方估值基准服务机构提供的相应品种当日的估值全价进行估值；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3</w:t>
      </w:r>
      <w:r w:rsidRPr="00A76308">
        <w:rPr>
          <w:rFonts w:ascii="Times New Roman" w:hAnsi="Times New Roman" w:hint="eastAsia"/>
          <w:sz w:val="24"/>
        </w:rPr>
        <w:t>）已上市交易或挂牌转让的含权固定收益品种</w:t>
      </w:r>
      <w:r w:rsidR="00831CB8" w:rsidRPr="00831CB8">
        <w:rPr>
          <w:rFonts w:ascii="Times New Roman" w:hAnsi="Times New Roman" w:hint="eastAsia"/>
          <w:sz w:val="24"/>
        </w:rPr>
        <w:t>（另有规定的除外）</w:t>
      </w:r>
      <w:r w:rsidRPr="00A76308">
        <w:rPr>
          <w:rFonts w:ascii="Times New Roman" w:hAnsi="Times New Roman" w:hint="eastAsia"/>
          <w:sz w:val="24"/>
        </w:rPr>
        <w:t>，选取估值日第三方估值基准服务机构提供的相应品种当日的唯一估值全价或推荐估值全价进行估值；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4</w:t>
      </w:r>
      <w:r w:rsidRPr="00A76308">
        <w:rPr>
          <w:rFonts w:ascii="Times New Roman" w:hAnsi="Times New Roman" w:hint="eastAsia"/>
          <w:sz w:val="24"/>
        </w:rPr>
        <w:t>）对于交易所上市交易的公开发行的可转债等有活跃市场的含转股权的债券，实行全价交易的债券以估值日收盘价作为估值全价；实行净价交易的债券以估值日收盘价并加计每百元税前应计利息作为估值全价；</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5</w:t>
      </w:r>
      <w:r w:rsidRPr="00A76308">
        <w:rPr>
          <w:rFonts w:ascii="Times New Roman" w:hAnsi="Times New Roman" w:hint="eastAsia"/>
          <w:sz w:val="24"/>
        </w:rPr>
        <w:t>）对于含投资人回售权的固定收益品种，行使回售权的，在回售登记日至实际收款日期间以第三方估值基准服务机构提供的相应品种当日的唯一估值全价或推荐估值全价进行估值，同时充分考虑发行人的信用风险变化对公允价值的影响。回售登记期截止日（含当日）后未行使回售权的按照长待偿期所对应的价格进行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6</w:t>
      </w:r>
      <w:r w:rsidRPr="00A76308">
        <w:rPr>
          <w:rFonts w:ascii="Times New Roman" w:hAnsi="Times New Roman" w:hint="eastAsia"/>
          <w:sz w:val="24"/>
        </w:rPr>
        <w:t>）已上市或挂牌转让且不存在活跃市场的有价证券，采用估值技术确定公允价值。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2</w:t>
      </w:r>
      <w:r w:rsidRPr="00A76308">
        <w:rPr>
          <w:rFonts w:ascii="Times New Roman" w:hAnsi="Times New Roman" w:hint="eastAsia"/>
          <w:sz w:val="24"/>
        </w:rPr>
        <w:t>、处于未上市或未挂牌转让期间的有价证券应区分如下情况处理：</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1</w:t>
      </w:r>
      <w:r w:rsidRPr="00A76308">
        <w:rPr>
          <w:rFonts w:ascii="Times New Roman" w:hAnsi="Times New Roman" w:hint="eastAsia"/>
          <w:sz w:val="24"/>
        </w:rPr>
        <w:t>）送股、转增股、配股和公开增发的新股，按估值日在证券交易所挂牌的同一股票的估值方法估值；该日无交易的，以最近一日的市价（收盘价）估值；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2</w:t>
      </w:r>
      <w:r w:rsidRPr="00A76308">
        <w:rPr>
          <w:rFonts w:ascii="Times New Roman" w:hAnsi="Times New Roman" w:hint="eastAsia"/>
          <w:sz w:val="24"/>
        </w:rPr>
        <w:t>）首次公开发行未上市的股票，采用估值技术确定公允价值；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3</w:t>
      </w:r>
      <w:r w:rsidRPr="00A76308">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4</w:t>
      </w:r>
      <w:r w:rsidRPr="00A76308">
        <w:rPr>
          <w:rFonts w:ascii="Times New Roman" w:hAnsi="Times New Roman" w:hint="eastAsia"/>
          <w:sz w:val="24"/>
        </w:rPr>
        <w:t>）对于未上市或未挂牌转让且不存在活跃市场的固定收益品种，应采用在当前情况下适用并且有足够可利用数据和其他信息支持的估值技术确定其公允价值。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3</w:t>
      </w:r>
      <w:r w:rsidRPr="00A76308">
        <w:rPr>
          <w:rFonts w:ascii="Times New Roman" w:hAnsi="Times New Roman"/>
          <w:sz w:val="24"/>
        </w:rPr>
        <w:t>、</w:t>
      </w:r>
      <w:r w:rsidRPr="00A76308">
        <w:rPr>
          <w:rFonts w:ascii="Times New Roman" w:hAnsi="Times New Roman" w:hint="eastAsia"/>
          <w:sz w:val="24"/>
        </w:rPr>
        <w:t>对于发行人已破产、发行人未能按时足额偿付本金或利息，或者有其它可靠信息表明本金或利息无法按时足额偿付的债券投资品种，第三方估值基准服务机构如在提供推荐价格的同时提供价格区间作为公允价值的参考范围以及公允价值存在重大不确定性的相关提示的，基金管理人在与基金托管人协商一致后，可采用价格区间中的数据作为该债券投资品种的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4</w:t>
      </w:r>
      <w:r w:rsidRPr="00A76308">
        <w:rPr>
          <w:rFonts w:ascii="Times New Roman" w:hAnsi="Times New Roman"/>
          <w:sz w:val="24"/>
        </w:rPr>
        <w:t>、</w:t>
      </w:r>
      <w:r w:rsidRPr="00A76308">
        <w:rPr>
          <w:rFonts w:ascii="Times New Roman" w:hAnsi="Times New Roman" w:hint="eastAsia"/>
          <w:sz w:val="24"/>
        </w:rPr>
        <w:t>同一证券同时在两个或两个以上市场交易的，按证券所处的市场分别估值。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5</w:t>
      </w:r>
      <w:r w:rsidRPr="00A76308">
        <w:rPr>
          <w:rFonts w:ascii="Times New Roman" w:hAnsi="Times New Roman" w:hint="eastAsia"/>
          <w:sz w:val="24"/>
        </w:rPr>
        <w:t>、投资证券衍生品的估值方法</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1</w:t>
      </w:r>
      <w:r w:rsidRPr="00A76308">
        <w:rPr>
          <w:rFonts w:ascii="Times New Roman" w:hAnsi="Times New Roman" w:hint="eastAsia"/>
          <w:sz w:val="24"/>
        </w:rPr>
        <w:t>）股指期货合约，一般以估值当日结算价进行估值，估值当日无结算价的，</w:t>
      </w:r>
      <w:r w:rsidRPr="00A76308">
        <w:rPr>
          <w:rFonts w:ascii="Times New Roman" w:hAnsi="Times New Roman" w:hint="eastAsia"/>
          <w:sz w:val="24"/>
        </w:rPr>
        <w:t xml:space="preserve"> </w:t>
      </w:r>
      <w:r w:rsidRPr="00A76308">
        <w:rPr>
          <w:rFonts w:ascii="Times New Roman" w:hAnsi="Times New Roman" w:hint="eastAsia"/>
          <w:sz w:val="24"/>
        </w:rPr>
        <w:t>且最近交易日后经济环境未发生重大变化的，采用最近交易日结算价估值。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2</w:t>
      </w:r>
      <w:r w:rsidRPr="00A76308">
        <w:rPr>
          <w:rFonts w:ascii="Times New Roman" w:hAnsi="Times New Roman" w:hint="eastAsia"/>
          <w:sz w:val="24"/>
        </w:rPr>
        <w:t>）国债期货合约，一般以估值当日结算价进行估值，估值当日无结算价的，且最近交易日后经济环境未发生重大变化的，采用最近交易日结算价估值。</w:t>
      </w:r>
    </w:p>
    <w:p w:rsid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3</w:t>
      </w:r>
      <w:r w:rsidRPr="00A76308">
        <w:rPr>
          <w:rFonts w:ascii="Times New Roman" w:hAnsi="Times New Roman" w:hint="eastAsia"/>
          <w:sz w:val="24"/>
        </w:rPr>
        <w:t>）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072003" w:rsidRPr="00A76308" w:rsidRDefault="00072003" w:rsidP="00A76308">
      <w:pPr>
        <w:spacing w:line="540" w:lineRule="exact"/>
        <w:ind w:firstLineChars="200" w:firstLine="480"/>
        <w:rPr>
          <w:rFonts w:ascii="Times New Roman" w:hAnsi="Times New Roman"/>
          <w:sz w:val="24"/>
        </w:rPr>
      </w:pPr>
      <w:r w:rsidRPr="00072003">
        <w:rPr>
          <w:rFonts w:ascii="Times New Roman" w:hAnsi="Times New Roman" w:hint="eastAsia"/>
          <w:sz w:val="24"/>
        </w:rPr>
        <w:t>（</w:t>
      </w:r>
      <w:r w:rsidRPr="00072003">
        <w:rPr>
          <w:rFonts w:ascii="Times New Roman" w:hAnsi="Times New Roman" w:hint="eastAsia"/>
          <w:sz w:val="24"/>
        </w:rPr>
        <w:t>4</w:t>
      </w:r>
      <w:r w:rsidRPr="00072003">
        <w:rPr>
          <w:rFonts w:ascii="Times New Roman" w:hAnsi="Times New Roman" w:hint="eastAsia"/>
          <w:sz w:val="24"/>
        </w:rPr>
        <w:t>）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6</w:t>
      </w:r>
      <w:r w:rsidRPr="00A76308">
        <w:rPr>
          <w:rFonts w:ascii="Times New Roman" w:hAnsi="Times New Roman" w:hint="eastAsia"/>
          <w:sz w:val="24"/>
        </w:rPr>
        <w:t>、存款的估值方法</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持有的银行定期存款或通知存款以本金列示，按协议或合同利率逐日确认利息收入。如提前支取或利率发生变化，基金管理人应及时进行账务调整。</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7</w:t>
      </w:r>
      <w:r w:rsidRPr="00A76308">
        <w:rPr>
          <w:rFonts w:ascii="Times New Roman" w:hAnsi="Times New Roman" w:hint="eastAsia"/>
          <w:sz w:val="24"/>
        </w:rPr>
        <w:t>、汇率</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本基金外币资产价值计算中，涉及外币对人民币汇率的，应当以基金估值日中国人民银行或其授权机构公布的人民币汇率中间价为准。</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8</w:t>
      </w:r>
      <w:r w:rsidRPr="00A76308">
        <w:rPr>
          <w:rFonts w:ascii="Times New Roman" w:hAnsi="Times New Roman" w:hint="eastAsia"/>
          <w:sz w:val="24"/>
        </w:rPr>
        <w:t>、本基金参与融资业务的，按照相关法律法规和监管部门的规定估值。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9</w:t>
      </w:r>
      <w:r w:rsidRPr="00A76308">
        <w:rPr>
          <w:rFonts w:ascii="Times New Roman" w:hAnsi="Times New Roman" w:hint="eastAsia"/>
          <w:sz w:val="24"/>
        </w:rPr>
        <w:t>、本基金投资存托凭证的估值核算依照内地上市交易的股票执行。</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1</w:t>
      </w:r>
      <w:r w:rsidRPr="00A76308">
        <w:rPr>
          <w:rFonts w:ascii="Times New Roman" w:hAnsi="Times New Roman"/>
          <w:sz w:val="24"/>
        </w:rPr>
        <w:t>0</w:t>
      </w:r>
      <w:r w:rsidRPr="00A76308">
        <w:rPr>
          <w:rFonts w:ascii="Times New Roman" w:hAnsi="Times New Roman" w:hint="eastAsia"/>
          <w:sz w:val="24"/>
        </w:rPr>
        <w:t>、税收</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11</w:t>
      </w:r>
      <w:r w:rsidRPr="00A76308">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1</w:t>
      </w:r>
      <w:r w:rsidRPr="00A76308">
        <w:rPr>
          <w:rFonts w:ascii="Times New Roman" w:hAnsi="Times New Roman"/>
          <w:sz w:val="24"/>
        </w:rPr>
        <w:t>2</w:t>
      </w:r>
      <w:r w:rsidRPr="00A76308">
        <w:rPr>
          <w:rFonts w:ascii="Times New Roman" w:hAnsi="Times New Roman" w:hint="eastAsia"/>
          <w:sz w:val="24"/>
        </w:rPr>
        <w:t>、当发生大额申购或赎回情形时，基金管理人可以采用摆动定价机制，以确保基金估值的公平性</w:t>
      </w:r>
      <w:r w:rsidR="00072003" w:rsidRPr="00072003">
        <w:rPr>
          <w:rFonts w:ascii="Times New Roman" w:hAnsi="Times New Roman" w:hint="eastAsia"/>
          <w:sz w:val="24"/>
        </w:rPr>
        <w:t>，并履行相关信息披露义务。</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1</w:t>
      </w:r>
      <w:r w:rsidRPr="00A76308">
        <w:rPr>
          <w:rFonts w:ascii="Times New Roman" w:hAnsi="Times New Roman"/>
          <w:sz w:val="24"/>
        </w:rPr>
        <w:t>3</w:t>
      </w:r>
      <w:r w:rsidRPr="00A76308">
        <w:rPr>
          <w:rFonts w:ascii="Times New Roman" w:hAnsi="Times New Roman" w:hint="eastAsia"/>
          <w:sz w:val="24"/>
        </w:rPr>
        <w:t>、相关法律法规以及监管部门有强制规定的，从其规定。如有新增事项，按国家最新规定估值。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根据有关法律法规，基金管理人计算基金资产净值，基金托管人复核、审查基金管理人计算的基金资产净值。基金资产净值计算、基金份额净值计算和基金会计核算的义务由基金管理人承担。本基金的基金会计责任方由基金管理人担任，因此，就与本基金有关的会计问题，如经相关各方在平等基础上充分讨论后，仍无法达成一致的意见，</w:t>
      </w:r>
      <w:r w:rsidR="00831CB8" w:rsidRPr="00831CB8">
        <w:rPr>
          <w:rFonts w:ascii="Times New Roman" w:hAnsi="Times New Roman" w:hint="eastAsia"/>
          <w:sz w:val="24"/>
        </w:rPr>
        <w:t>基金管理人向基金托管人出具盖章的书面说明后，</w:t>
      </w:r>
      <w:r w:rsidRPr="00A76308">
        <w:rPr>
          <w:rFonts w:ascii="Times New Roman" w:hAnsi="Times New Roman" w:hint="eastAsia"/>
          <w:sz w:val="24"/>
        </w:rPr>
        <w:t>按照基金管理人对基金净值信息的计算结果对外予以公布。</w:t>
      </w:r>
      <w:bookmarkEnd w:id="0"/>
      <w:r>
        <w:rPr>
          <w:rFonts w:ascii="Times New Roman" w:hAnsi="Times New Roman" w:hint="eastAsia"/>
          <w:sz w:val="24"/>
        </w:rPr>
        <w:t>”</w:t>
      </w:r>
    </w:p>
    <w:p w:rsidR="00333558" w:rsidRPr="00F67514" w:rsidRDefault="00333558" w:rsidP="004E71F4">
      <w:pPr>
        <w:pStyle w:val="ae"/>
        <w:numPr>
          <w:ilvl w:val="0"/>
          <w:numId w:val="17"/>
        </w:numPr>
        <w:spacing w:line="540" w:lineRule="exact"/>
        <w:ind w:firstLine="480"/>
        <w:outlineLvl w:val="2"/>
        <w:rPr>
          <w:sz w:val="24"/>
        </w:rPr>
      </w:pPr>
      <w:r w:rsidRPr="00F67514">
        <w:rPr>
          <w:rFonts w:hint="eastAsia"/>
          <w:sz w:val="24"/>
        </w:rPr>
        <w:t>其他相关事项的修改</w:t>
      </w:r>
      <w:r w:rsidRPr="00F67514">
        <w:rPr>
          <w:sz w:val="24"/>
        </w:rPr>
        <w:t xml:space="preserve"> </w:t>
      </w:r>
    </w:p>
    <w:p w:rsidR="003C4C6E" w:rsidRPr="00273875" w:rsidRDefault="003C4C6E" w:rsidP="00910C14">
      <w:pPr>
        <w:pStyle w:val="ae"/>
        <w:numPr>
          <w:ilvl w:val="0"/>
          <w:numId w:val="21"/>
        </w:numPr>
        <w:spacing w:line="540" w:lineRule="exact"/>
        <w:ind w:firstLine="480"/>
        <w:rPr>
          <w:rFonts w:ascii="Times New Roman" w:hAnsi="Times New Roman"/>
          <w:sz w:val="24"/>
        </w:rPr>
      </w:pPr>
      <w:r w:rsidRPr="00273875">
        <w:rPr>
          <w:rFonts w:ascii="Times New Roman" w:hAnsi="Times New Roman" w:hint="eastAsia"/>
          <w:sz w:val="24"/>
        </w:rPr>
        <w:t>补充侧袋机制相关内容</w:t>
      </w:r>
      <w:r w:rsidR="00A65E94">
        <w:rPr>
          <w:rFonts w:ascii="Times New Roman" w:hAnsi="Times New Roman" w:hint="eastAsia"/>
          <w:sz w:val="24"/>
        </w:rPr>
        <w:t>，</w:t>
      </w:r>
      <w:r w:rsidR="00A65E94" w:rsidRPr="00A65E94">
        <w:rPr>
          <w:rFonts w:ascii="Times New Roman" w:hAnsi="Times New Roman" w:hint="eastAsia"/>
          <w:sz w:val="24"/>
        </w:rPr>
        <w:t>并更新基金托管人信息</w:t>
      </w:r>
      <w:r w:rsidRPr="00273875">
        <w:rPr>
          <w:rFonts w:ascii="Times New Roman" w:hAnsi="Times New Roman" w:hint="eastAsia"/>
          <w:sz w:val="24"/>
        </w:rPr>
        <w:t>。</w:t>
      </w:r>
    </w:p>
    <w:p w:rsidR="00333558" w:rsidRPr="00273875" w:rsidRDefault="00333558" w:rsidP="00BF4765">
      <w:pPr>
        <w:pStyle w:val="ae"/>
        <w:numPr>
          <w:ilvl w:val="0"/>
          <w:numId w:val="21"/>
        </w:numPr>
        <w:spacing w:line="540" w:lineRule="exact"/>
        <w:ind w:firstLine="480"/>
        <w:rPr>
          <w:rFonts w:ascii="Times New Roman" w:hAnsi="Times New Roman"/>
          <w:sz w:val="24"/>
        </w:rPr>
      </w:pPr>
      <w:r w:rsidRPr="00273875">
        <w:rPr>
          <w:rFonts w:ascii="Times New Roman" w:hAnsi="Times New Roman" w:hint="eastAsia"/>
          <w:sz w:val="24"/>
        </w:rPr>
        <w:t>删除</w:t>
      </w:r>
      <w:r w:rsidR="008D11DB" w:rsidRPr="00273875">
        <w:rPr>
          <w:rFonts w:ascii="Times New Roman" w:hAnsi="Times New Roman" w:hint="eastAsia"/>
          <w:sz w:val="24"/>
        </w:rPr>
        <w:t>《</w:t>
      </w:r>
      <w:r w:rsidRPr="00273875">
        <w:rPr>
          <w:rFonts w:ascii="Times New Roman" w:hAnsi="Times New Roman" w:hint="eastAsia"/>
          <w:sz w:val="24"/>
        </w:rPr>
        <w:t>基金合同</w:t>
      </w:r>
      <w:r w:rsidR="008D11DB" w:rsidRPr="00273875">
        <w:rPr>
          <w:rFonts w:ascii="Times New Roman" w:hAnsi="Times New Roman" w:hint="eastAsia"/>
          <w:sz w:val="24"/>
        </w:rPr>
        <w:t>》</w:t>
      </w:r>
      <w:r w:rsidRPr="00273875">
        <w:rPr>
          <w:rFonts w:ascii="Times New Roman" w:hAnsi="Times New Roman" w:hint="eastAsia"/>
          <w:sz w:val="24"/>
        </w:rPr>
        <w:t>中关于基金份额发售</w:t>
      </w:r>
      <w:r w:rsidR="005362EE" w:rsidRPr="00273875">
        <w:rPr>
          <w:rFonts w:ascii="Times New Roman" w:hAnsi="Times New Roman" w:hint="eastAsia"/>
          <w:sz w:val="24"/>
        </w:rPr>
        <w:t>和</w:t>
      </w:r>
      <w:r w:rsidRPr="00273875">
        <w:rPr>
          <w:rFonts w:ascii="Times New Roman" w:hAnsi="Times New Roman" w:hint="eastAsia"/>
          <w:sz w:val="24"/>
        </w:rPr>
        <w:t>基金备案的部分，并补充基金的历史沿革、基金的存续等内容。</w:t>
      </w:r>
      <w:r w:rsidRPr="00273875">
        <w:rPr>
          <w:rFonts w:ascii="Times New Roman" w:hAnsi="Times New Roman"/>
          <w:sz w:val="24"/>
        </w:rPr>
        <w:t xml:space="preserve"> </w:t>
      </w:r>
    </w:p>
    <w:p w:rsidR="00333558" w:rsidRDefault="00333558" w:rsidP="00BF4765">
      <w:pPr>
        <w:pStyle w:val="ae"/>
        <w:numPr>
          <w:ilvl w:val="0"/>
          <w:numId w:val="21"/>
        </w:numPr>
        <w:spacing w:line="540" w:lineRule="exact"/>
        <w:ind w:firstLine="480"/>
        <w:rPr>
          <w:rFonts w:ascii="Times New Roman" w:hAnsi="Times New Roman"/>
          <w:sz w:val="24"/>
        </w:rPr>
      </w:pPr>
      <w:r w:rsidRPr="00A24B09">
        <w:rPr>
          <w:rFonts w:ascii="Times New Roman" w:hAnsi="Times New Roman" w:hint="eastAsia"/>
          <w:sz w:val="24"/>
        </w:rPr>
        <w:t>基金管理人需要根据法律法规的要求及转型后的</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的产品特征</w:t>
      </w:r>
      <w:r w:rsidR="00FD0486">
        <w:rPr>
          <w:rFonts w:ascii="Times New Roman" w:hAnsi="Times New Roman" w:hint="eastAsia"/>
          <w:sz w:val="24"/>
        </w:rPr>
        <w:t>、实际运作</w:t>
      </w:r>
      <w:r w:rsidRPr="00A24B09">
        <w:rPr>
          <w:rFonts w:ascii="Times New Roman" w:hAnsi="Times New Roman" w:hint="eastAsia"/>
          <w:sz w:val="24"/>
        </w:rPr>
        <w:t>修订《基金合同》的相关内容。</w:t>
      </w:r>
    </w:p>
    <w:p w:rsidR="00021847" w:rsidRPr="00A24B09" w:rsidRDefault="00021847" w:rsidP="00BF4765">
      <w:pPr>
        <w:spacing w:line="540" w:lineRule="exact"/>
        <w:ind w:firstLineChars="200" w:firstLine="480"/>
        <w:rPr>
          <w:rFonts w:ascii="Times New Roman" w:hAnsi="Times New Roman"/>
          <w:sz w:val="24"/>
        </w:rPr>
      </w:pP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综上所述，基金管理人拟提请基金份额持有人大会授权基金管理人按照法律法规的规定及转型后的</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的产品特征</w:t>
      </w:r>
      <w:r w:rsidR="00C332A0">
        <w:rPr>
          <w:rFonts w:ascii="Times New Roman" w:hAnsi="Times New Roman" w:hint="eastAsia"/>
          <w:sz w:val="24"/>
        </w:rPr>
        <w:t>，并</w:t>
      </w:r>
      <w:r w:rsidRPr="00A24B09">
        <w:rPr>
          <w:rFonts w:ascii="Times New Roman" w:hAnsi="Times New Roman" w:hint="eastAsia"/>
          <w:sz w:val="24"/>
        </w:rPr>
        <w:t>根据基金份额持有人大会决议修订</w:t>
      </w:r>
      <w:r w:rsidR="00923D02">
        <w:rPr>
          <w:rFonts w:ascii="Times New Roman" w:hAnsi="Times New Roman" w:hint="eastAsia"/>
          <w:sz w:val="24"/>
        </w:rPr>
        <w:t>《</w:t>
      </w:r>
      <w:r w:rsidRPr="00A24B09">
        <w:rPr>
          <w:rFonts w:ascii="Times New Roman" w:hAnsi="Times New Roman" w:hint="eastAsia"/>
          <w:sz w:val="24"/>
        </w:rPr>
        <w:t>基金合同</w:t>
      </w:r>
      <w:r w:rsidR="00923D02">
        <w:rPr>
          <w:rFonts w:ascii="Times New Roman" w:hAnsi="Times New Roman" w:hint="eastAsia"/>
          <w:sz w:val="24"/>
        </w:rPr>
        <w:t>》</w:t>
      </w:r>
      <w:r w:rsidRPr="00A24B09">
        <w:rPr>
          <w:rFonts w:ascii="Times New Roman" w:hAnsi="Times New Roman" w:hint="eastAsia"/>
          <w:sz w:val="24"/>
        </w:rPr>
        <w:t>的其他内容。</w:t>
      </w:r>
      <w:r w:rsidR="008D11DB">
        <w:rPr>
          <w:rFonts w:ascii="Times New Roman" w:hAnsi="Times New Roman" w:hint="eastAsia"/>
          <w:sz w:val="24"/>
        </w:rPr>
        <w:t>具体请投资者关注附件</w:t>
      </w:r>
      <w:r w:rsidR="008D11DB" w:rsidRPr="008D11DB">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8D11DB" w:rsidRPr="008D11DB">
        <w:rPr>
          <w:rFonts w:ascii="Times New Roman" w:hAnsi="Times New Roman" w:hint="eastAsia"/>
          <w:sz w:val="24"/>
        </w:rPr>
        <w:t>年持有期混合型证券投资基金基金合同》</w:t>
      </w:r>
      <w:r w:rsidR="00754C86">
        <w:rPr>
          <w:rFonts w:ascii="Times New Roman" w:hAnsi="Times New Roman" w:hint="eastAsia"/>
          <w:sz w:val="24"/>
        </w:rPr>
        <w:t>。</w:t>
      </w:r>
    </w:p>
    <w:p w:rsidR="00333558" w:rsidRPr="00A24B09" w:rsidRDefault="00333558" w:rsidP="004E71F4">
      <w:pPr>
        <w:spacing w:line="540" w:lineRule="exact"/>
        <w:ind w:left="480"/>
        <w:outlineLvl w:val="1"/>
        <w:rPr>
          <w:b/>
          <w:sz w:val="24"/>
        </w:rPr>
      </w:pPr>
      <w:r w:rsidRPr="00A24B09">
        <w:rPr>
          <w:rFonts w:hint="eastAsia"/>
          <w:b/>
          <w:sz w:val="24"/>
        </w:rPr>
        <w:t>二、</w:t>
      </w:r>
      <w:r w:rsidR="007A3031">
        <w:rPr>
          <w:rFonts w:hint="eastAsia"/>
          <w:b/>
          <w:sz w:val="24"/>
        </w:rPr>
        <w:t>基金</w:t>
      </w:r>
      <w:r w:rsidRPr="00A24B09">
        <w:rPr>
          <w:rFonts w:hint="eastAsia"/>
          <w:b/>
          <w:sz w:val="24"/>
        </w:rPr>
        <w:t>转型前后的申购赎回安排</w:t>
      </w:r>
      <w:r w:rsidRPr="00A24B09">
        <w:rPr>
          <w:b/>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（一）</w:t>
      </w:r>
      <w:r w:rsidR="007A3031">
        <w:rPr>
          <w:rFonts w:ascii="Times New Roman" w:hAnsi="Times New Roman" w:hint="eastAsia"/>
          <w:sz w:val="24"/>
        </w:rPr>
        <w:t>安排办理</w:t>
      </w:r>
      <w:r w:rsidRPr="00A24B09">
        <w:rPr>
          <w:rFonts w:ascii="Times New Roman" w:hAnsi="Times New Roman" w:hint="eastAsia"/>
          <w:sz w:val="24"/>
        </w:rPr>
        <w:t>申购</w:t>
      </w:r>
      <w:r w:rsidR="00F8473E">
        <w:rPr>
          <w:rFonts w:ascii="Times New Roman" w:hAnsi="Times New Roman" w:hint="eastAsia"/>
          <w:sz w:val="24"/>
        </w:rPr>
        <w:t>和</w:t>
      </w:r>
      <w:r w:rsidRPr="00A24B09">
        <w:rPr>
          <w:rFonts w:ascii="Times New Roman" w:hAnsi="Times New Roman" w:hint="eastAsia"/>
          <w:sz w:val="24"/>
        </w:rPr>
        <w:t>赎回</w:t>
      </w:r>
      <w:r w:rsidR="007A3031">
        <w:rPr>
          <w:rFonts w:ascii="Times New Roman" w:hAnsi="Times New Roman" w:hint="eastAsia"/>
          <w:sz w:val="24"/>
        </w:rPr>
        <w:t>业务的</w:t>
      </w:r>
      <w:r w:rsidR="00E47094">
        <w:rPr>
          <w:rFonts w:ascii="Times New Roman" w:hAnsi="Times New Roman" w:hint="eastAsia"/>
          <w:sz w:val="24"/>
        </w:rPr>
        <w:t>转型</w:t>
      </w:r>
      <w:r w:rsidRPr="00A24B09">
        <w:rPr>
          <w:rFonts w:ascii="Times New Roman" w:hAnsi="Times New Roman" w:hint="eastAsia"/>
          <w:sz w:val="24"/>
        </w:rPr>
        <w:t>选择期</w:t>
      </w:r>
    </w:p>
    <w:p w:rsidR="006F0C7F" w:rsidRPr="006F0C7F" w:rsidRDefault="006F0C7F" w:rsidP="00BF4765">
      <w:pPr>
        <w:spacing w:line="540" w:lineRule="exact"/>
        <w:ind w:firstLineChars="200" w:firstLine="480"/>
        <w:rPr>
          <w:rFonts w:ascii="Times New Roman" w:hAnsi="Times New Roman"/>
          <w:sz w:val="24"/>
        </w:rPr>
      </w:pPr>
      <w:r>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Pr>
          <w:rFonts w:ascii="Times New Roman" w:hAnsi="Times New Roman" w:hint="eastAsia"/>
          <w:sz w:val="24"/>
        </w:rPr>
        <w:t>年定期开放混合型证券投资基金</w:t>
      </w:r>
      <w:r w:rsidRPr="006F0C7F">
        <w:rPr>
          <w:rFonts w:ascii="Times New Roman" w:hAnsi="Times New Roman" w:hint="eastAsia"/>
          <w:sz w:val="24"/>
        </w:rPr>
        <w:t>在</w:t>
      </w:r>
      <w:r w:rsidR="003D131F">
        <w:rPr>
          <w:rFonts w:ascii="Times New Roman" w:hAnsi="Times New Roman" w:hint="eastAsia"/>
          <w:sz w:val="24"/>
        </w:rPr>
        <w:t>深圳</w:t>
      </w:r>
      <w:r w:rsidRPr="006F0C7F">
        <w:rPr>
          <w:rFonts w:ascii="Times New Roman" w:hAnsi="Times New Roman" w:hint="eastAsia"/>
          <w:sz w:val="24"/>
        </w:rPr>
        <w:t>证券交易所上市交易，变更注册为</w:t>
      </w:r>
      <w:r>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Pr>
          <w:rFonts w:ascii="Times New Roman" w:hAnsi="Times New Roman" w:hint="eastAsia"/>
          <w:sz w:val="24"/>
        </w:rPr>
        <w:t>年持有期混合型证券投资基金</w:t>
      </w:r>
      <w:r w:rsidRPr="006F0C7F">
        <w:rPr>
          <w:rFonts w:ascii="Times New Roman" w:hAnsi="Times New Roman" w:hint="eastAsia"/>
          <w:sz w:val="24"/>
        </w:rPr>
        <w:t>后将不再上市交易，且同时取消场内申购赎回安排。本次基金份额持有人大会决议生效后，本基金管理人将向</w:t>
      </w:r>
      <w:r w:rsidR="003D131F">
        <w:rPr>
          <w:rFonts w:ascii="Times New Roman" w:hAnsi="Times New Roman" w:hint="eastAsia"/>
          <w:sz w:val="24"/>
        </w:rPr>
        <w:t>深圳</w:t>
      </w:r>
      <w:r w:rsidRPr="006F0C7F">
        <w:rPr>
          <w:rFonts w:ascii="Times New Roman" w:hAnsi="Times New Roman" w:hint="eastAsia"/>
          <w:sz w:val="24"/>
        </w:rPr>
        <w:t>证券交易所申请终止上市及终止场内申购、赎回等业务。</w:t>
      </w:r>
    </w:p>
    <w:p w:rsidR="006F0C7F" w:rsidRPr="006F0C7F" w:rsidRDefault="006F0C7F" w:rsidP="00BF4765">
      <w:pPr>
        <w:spacing w:line="540" w:lineRule="exact"/>
        <w:ind w:firstLineChars="200" w:firstLine="480"/>
        <w:rPr>
          <w:rFonts w:ascii="Times New Roman" w:hAnsi="Times New Roman"/>
          <w:sz w:val="24"/>
        </w:rPr>
      </w:pPr>
      <w:r w:rsidRPr="006F0C7F">
        <w:rPr>
          <w:rFonts w:ascii="Times New Roman" w:hAnsi="Times New Roman" w:hint="eastAsia"/>
          <w:sz w:val="24"/>
        </w:rPr>
        <w:t>基金管理人将在本次基金份额持有人大会</w:t>
      </w:r>
      <w:r w:rsidR="00114479" w:rsidRPr="00114479">
        <w:rPr>
          <w:rFonts w:ascii="Times New Roman" w:hAnsi="Times New Roman" w:hint="eastAsia"/>
          <w:sz w:val="24"/>
        </w:rPr>
        <w:t>决议生效后</w:t>
      </w:r>
      <w:r w:rsidRPr="006F0C7F">
        <w:rPr>
          <w:rFonts w:ascii="Times New Roman" w:hAnsi="Times New Roman" w:hint="eastAsia"/>
          <w:sz w:val="24"/>
        </w:rPr>
        <w:t>预留</w:t>
      </w:r>
      <w:r w:rsidR="00114479">
        <w:rPr>
          <w:rFonts w:ascii="Times New Roman" w:hAnsi="Times New Roman" w:hint="eastAsia"/>
          <w:sz w:val="24"/>
        </w:rPr>
        <w:t>不少于</w:t>
      </w:r>
      <w:r w:rsidRPr="006F0C7F">
        <w:rPr>
          <w:rFonts w:ascii="Times New Roman" w:hAnsi="Times New Roman" w:hint="eastAsia"/>
          <w:sz w:val="24"/>
        </w:rPr>
        <w:t>二十个交易日供持有人选择赎回的前提下，制订有关基金转型正式实施的日期、转型实施前的申购赎回安排、</w:t>
      </w:r>
      <w:r w:rsidR="00FD20D1" w:rsidRPr="00FD20D1">
        <w:rPr>
          <w:rFonts w:ascii="Times New Roman" w:hAnsi="Times New Roman" w:hint="eastAsia"/>
          <w:sz w:val="24"/>
        </w:rPr>
        <w:t>向深圳证券交易所申请</w:t>
      </w:r>
      <w:r w:rsidRPr="006F0C7F">
        <w:rPr>
          <w:rFonts w:ascii="Times New Roman" w:hAnsi="Times New Roman" w:hint="eastAsia"/>
          <w:sz w:val="24"/>
        </w:rPr>
        <w:t>终止上市交易等事项的转型实施安排并提前公告。提示投资者及时关注基金管理人届时发布的相关公告。</w:t>
      </w:r>
    </w:p>
    <w:p w:rsidR="006F0C7F" w:rsidRPr="00A24B09" w:rsidRDefault="006F0C7F" w:rsidP="00BF4765">
      <w:pPr>
        <w:spacing w:line="540" w:lineRule="exact"/>
        <w:ind w:firstLineChars="200" w:firstLine="480"/>
        <w:rPr>
          <w:rFonts w:ascii="Times New Roman" w:hAnsi="Times New Roman"/>
          <w:sz w:val="24"/>
        </w:rPr>
      </w:pPr>
      <w:r w:rsidRPr="006F0C7F">
        <w:rPr>
          <w:rFonts w:ascii="Times New Roman" w:hAnsi="Times New Roman" w:hint="eastAsia"/>
          <w:sz w:val="24"/>
        </w:rPr>
        <w:t>转型选择期期间，基金份额持有人可以选择将场内份额进行场内赎回、卖出或者通过跨系统转托管转到场外后继续持有场外份额。若</w:t>
      </w:r>
      <w:r w:rsidR="00624939">
        <w:rPr>
          <w:rFonts w:ascii="Times New Roman" w:hAnsi="Times New Roman" w:hint="eastAsia"/>
          <w:sz w:val="24"/>
        </w:rPr>
        <w:t>转型</w:t>
      </w:r>
      <w:r w:rsidRPr="006F0C7F">
        <w:rPr>
          <w:rFonts w:ascii="Times New Roman" w:hAnsi="Times New Roman" w:hint="eastAsia"/>
          <w:sz w:val="24"/>
        </w:rPr>
        <w:t>选择期结束后，基金份额持有人未选择将场内份额进行场内赎回、卖出或未主动通过跨系统转托管转到场外的，原登记在中国证券登记结算有限责任公司</w:t>
      </w:r>
      <w:r w:rsidR="003D131F">
        <w:rPr>
          <w:rFonts w:ascii="Times New Roman" w:hAnsi="Times New Roman" w:hint="eastAsia"/>
          <w:sz w:val="24"/>
        </w:rPr>
        <w:t>深圳</w:t>
      </w:r>
      <w:r w:rsidRPr="006F0C7F">
        <w:rPr>
          <w:rFonts w:ascii="Times New Roman" w:hAnsi="Times New Roman" w:hint="eastAsia"/>
          <w:sz w:val="24"/>
        </w:rPr>
        <w:t>证券登记结算系统的场内基金份额，将统一转登记至基金管理人开立的中国证券登记结算有限责任公司场外基金账户上，后续基金份额持有人需对持有的基金份额进行重新确认与登记，此过程即为“确权”</w:t>
      </w:r>
      <w:r w:rsidR="00837214">
        <w:rPr>
          <w:rFonts w:ascii="Times New Roman" w:hAnsi="Times New Roman" w:hint="eastAsia"/>
          <w:sz w:val="24"/>
        </w:rPr>
        <w:t>。</w:t>
      </w:r>
      <w:r w:rsidR="00837214" w:rsidRPr="00F42FE1">
        <w:rPr>
          <w:rFonts w:ascii="Times New Roman" w:hAnsi="Times New Roman" w:hint="eastAsia"/>
          <w:sz w:val="24"/>
        </w:rPr>
        <w:t>投资者未主动办理确权时，</w:t>
      </w:r>
      <w:r w:rsidR="00114479">
        <w:rPr>
          <w:rFonts w:ascii="Times New Roman" w:hAnsi="Times New Roman" w:hint="eastAsia"/>
          <w:sz w:val="24"/>
        </w:rPr>
        <w:t>基金</w:t>
      </w:r>
      <w:r w:rsidR="00837214" w:rsidRPr="00F42FE1">
        <w:rPr>
          <w:rFonts w:ascii="Times New Roman" w:hAnsi="Times New Roman" w:hint="eastAsia"/>
          <w:sz w:val="24"/>
        </w:rPr>
        <w:t>管理人有权根据届时发布的公告进行批量确</w:t>
      </w:r>
      <w:r w:rsidR="00837214">
        <w:rPr>
          <w:rFonts w:ascii="Times New Roman" w:hAnsi="Times New Roman" w:hint="eastAsia"/>
          <w:sz w:val="24"/>
        </w:rPr>
        <w:t>权</w:t>
      </w:r>
      <w:r w:rsidR="00837214" w:rsidRPr="00F42FE1">
        <w:rPr>
          <w:rFonts w:ascii="Times New Roman" w:hAnsi="Times New Roman" w:hint="eastAsia"/>
          <w:sz w:val="24"/>
        </w:rPr>
        <w:t>。</w:t>
      </w:r>
      <w:r w:rsidRPr="006F0C7F">
        <w:rPr>
          <w:rFonts w:ascii="Times New Roman" w:hAnsi="Times New Roman" w:hint="eastAsia"/>
          <w:sz w:val="24"/>
        </w:rPr>
        <w:t>确权完成后，基金份额持有人方可在场外对相关基金份额进行赎回及其他交易</w:t>
      </w:r>
      <w:r w:rsidR="00135B16" w:rsidRPr="00135B16">
        <w:rPr>
          <w:rFonts w:ascii="Times New Roman" w:hAnsi="Times New Roman" w:hint="eastAsia"/>
          <w:sz w:val="24"/>
        </w:rPr>
        <w:t>。</w:t>
      </w:r>
      <w:r w:rsidR="00114479">
        <w:rPr>
          <w:rFonts w:ascii="Times New Roman" w:hAnsi="Times New Roman" w:hint="eastAsia"/>
          <w:sz w:val="24"/>
        </w:rPr>
        <w:t>基金转型前</w:t>
      </w:r>
      <w:r w:rsidR="00135B16" w:rsidRPr="00135B16">
        <w:rPr>
          <w:rFonts w:ascii="Times New Roman" w:hAnsi="Times New Roman" w:hint="eastAsia"/>
          <w:sz w:val="24"/>
        </w:rPr>
        <w:t>基金份额持有人通过二级市场买入的场内份额在转型后不受锁定持有期的限制，但仍需根据转型后《东方红</w:t>
      </w:r>
      <w:r w:rsidR="00597A80">
        <w:rPr>
          <w:rFonts w:ascii="Times New Roman" w:hAnsi="Times New Roman" w:hint="eastAsia"/>
          <w:sz w:val="24"/>
        </w:rPr>
        <w:t>恒阳</w:t>
      </w:r>
      <w:r w:rsidR="00135B16" w:rsidRPr="00135B16">
        <w:rPr>
          <w:rFonts w:ascii="Times New Roman" w:hAnsi="Times New Roman" w:hint="eastAsia"/>
          <w:sz w:val="24"/>
        </w:rPr>
        <w:t>五年持有期混合型证券投资基金招募说明书》的规定办理</w:t>
      </w:r>
      <w:r w:rsidRPr="006F0C7F">
        <w:rPr>
          <w:rFonts w:ascii="Times New Roman" w:hAnsi="Times New Roman" w:hint="eastAsia"/>
          <w:sz w:val="24"/>
        </w:rPr>
        <w:t>。</w:t>
      </w:r>
    </w:p>
    <w:p w:rsidR="00333558" w:rsidRPr="00A24B09" w:rsidRDefault="006F0C7F" w:rsidP="00BF4765">
      <w:pPr>
        <w:spacing w:line="540" w:lineRule="exact"/>
        <w:ind w:firstLineChars="200" w:firstLine="480"/>
        <w:rPr>
          <w:rFonts w:ascii="Times New Roman" w:hAnsi="Times New Roman"/>
          <w:sz w:val="24"/>
        </w:rPr>
      </w:pPr>
      <w:r w:rsidRPr="006F0C7F">
        <w:rPr>
          <w:rFonts w:ascii="Times New Roman" w:hAnsi="Times New Roman" w:hint="eastAsia"/>
          <w:sz w:val="24"/>
        </w:rPr>
        <w:t>转型选择期期间，本基金将</w:t>
      </w:r>
      <w:r w:rsidR="00C623A3" w:rsidRPr="00C623A3">
        <w:rPr>
          <w:rFonts w:ascii="Times New Roman" w:hAnsi="Times New Roman" w:hint="eastAsia"/>
          <w:sz w:val="24"/>
        </w:rPr>
        <w:t>不开放</w:t>
      </w:r>
      <w:r w:rsidRPr="006F0C7F">
        <w:rPr>
          <w:rFonts w:ascii="Times New Roman" w:hAnsi="Times New Roman" w:hint="eastAsia"/>
          <w:sz w:val="24"/>
        </w:rPr>
        <w:t>场内</w:t>
      </w:r>
      <w:r w:rsidR="007E07E0">
        <w:rPr>
          <w:rFonts w:ascii="Times New Roman" w:hAnsi="Times New Roman" w:hint="eastAsia"/>
          <w:sz w:val="24"/>
        </w:rPr>
        <w:t>申购、场外</w:t>
      </w:r>
      <w:r w:rsidRPr="006F0C7F">
        <w:rPr>
          <w:rFonts w:ascii="Times New Roman" w:hAnsi="Times New Roman" w:hint="eastAsia"/>
          <w:sz w:val="24"/>
        </w:rPr>
        <w:t>申购</w:t>
      </w:r>
      <w:r w:rsidR="0048182C">
        <w:rPr>
          <w:rFonts w:ascii="Times New Roman" w:hAnsi="Times New Roman" w:hint="eastAsia"/>
          <w:sz w:val="24"/>
        </w:rPr>
        <w:t>及</w:t>
      </w:r>
      <w:r w:rsidR="00C623A3">
        <w:rPr>
          <w:rFonts w:ascii="Times New Roman" w:hAnsi="Times New Roman" w:hint="eastAsia"/>
          <w:sz w:val="24"/>
        </w:rPr>
        <w:t>转换转入</w:t>
      </w:r>
      <w:r w:rsidR="0048182C">
        <w:rPr>
          <w:rFonts w:ascii="Times New Roman" w:hAnsi="Times New Roman" w:hint="eastAsia"/>
          <w:sz w:val="24"/>
        </w:rPr>
        <w:t>业务</w:t>
      </w:r>
      <w:r w:rsidR="00EF7196">
        <w:rPr>
          <w:rFonts w:ascii="Times New Roman" w:hAnsi="Times New Roman" w:hint="eastAsia"/>
          <w:sz w:val="24"/>
        </w:rPr>
        <w:t>，</w:t>
      </w:r>
      <w:r w:rsidRPr="006F0C7F">
        <w:rPr>
          <w:rFonts w:ascii="Times New Roman" w:hAnsi="Times New Roman" w:hint="eastAsia"/>
          <w:sz w:val="24"/>
        </w:rPr>
        <w:t>以及</w:t>
      </w:r>
      <w:r w:rsidR="0048182C">
        <w:rPr>
          <w:rFonts w:ascii="Times New Roman" w:hAnsi="Times New Roman" w:hint="eastAsia"/>
          <w:sz w:val="24"/>
        </w:rPr>
        <w:t>暂停</w:t>
      </w:r>
      <w:r w:rsidRPr="006F0C7F">
        <w:rPr>
          <w:rFonts w:ascii="Times New Roman" w:hAnsi="Times New Roman" w:hint="eastAsia"/>
          <w:sz w:val="24"/>
        </w:rPr>
        <w:t>场外转场内的跨系统转托管业务。同时，本基金场内交易、场内赎回、场外赎回</w:t>
      </w:r>
      <w:r w:rsidR="003E34D1" w:rsidRPr="003E34D1">
        <w:rPr>
          <w:rFonts w:ascii="Times New Roman" w:hAnsi="Times New Roman" w:hint="eastAsia"/>
          <w:sz w:val="24"/>
        </w:rPr>
        <w:t>及转换转出</w:t>
      </w:r>
      <w:r w:rsidRPr="006F0C7F">
        <w:rPr>
          <w:rFonts w:ascii="Times New Roman" w:hAnsi="Times New Roman" w:hint="eastAsia"/>
          <w:sz w:val="24"/>
        </w:rPr>
        <w:t>、场内转场外跨系统转托管业务正常办理。</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（二）</w:t>
      </w:r>
      <w:r w:rsidRPr="00EF71A9">
        <w:rPr>
          <w:rFonts w:ascii="Times New Roman" w:hAnsi="Times New Roman" w:hint="eastAsia"/>
          <w:sz w:val="24"/>
        </w:rPr>
        <w:t>《</w:t>
      </w:r>
      <w:r w:rsidR="00AC25BC" w:rsidRPr="00EF71A9">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sidRPr="00EF71A9">
        <w:rPr>
          <w:rFonts w:ascii="Times New Roman" w:hAnsi="Times New Roman" w:hint="eastAsia"/>
          <w:sz w:val="24"/>
        </w:rPr>
        <w:t>年持有期混合型证券投资基金</w:t>
      </w:r>
      <w:r w:rsidRPr="00EF71A9">
        <w:rPr>
          <w:rFonts w:ascii="Times New Roman" w:hAnsi="Times New Roman" w:hint="eastAsia"/>
          <w:sz w:val="24"/>
        </w:rPr>
        <w:t>基金合同》的生效</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自</w:t>
      </w:r>
      <w:r w:rsidR="00624939">
        <w:rPr>
          <w:rFonts w:ascii="Times New Roman" w:hAnsi="Times New Roman" w:hint="eastAsia"/>
          <w:sz w:val="24"/>
        </w:rPr>
        <w:t>转型</w:t>
      </w:r>
      <w:r w:rsidRPr="00A24B09">
        <w:rPr>
          <w:rFonts w:ascii="Times New Roman" w:hAnsi="Times New Roman" w:hint="eastAsia"/>
          <w:sz w:val="24"/>
        </w:rPr>
        <w:t>选择期结束之日的次</w:t>
      </w:r>
      <w:r w:rsidR="00B45D27">
        <w:rPr>
          <w:rFonts w:ascii="Times New Roman" w:hAnsi="Times New Roman" w:hint="eastAsia"/>
          <w:sz w:val="24"/>
        </w:rPr>
        <w:t>一工作</w:t>
      </w:r>
      <w:r w:rsidRPr="00A24B09">
        <w:rPr>
          <w:rFonts w:ascii="Times New Roman" w:hAnsi="Times New Roman" w:hint="eastAsia"/>
          <w:sz w:val="24"/>
        </w:rPr>
        <w:t>日起，本基金管理人将根据</w:t>
      </w:r>
      <w:r w:rsidR="007F2B17">
        <w:rPr>
          <w:rFonts w:ascii="Times New Roman" w:hAnsi="Times New Roman" w:hint="eastAsia"/>
          <w:sz w:val="24"/>
        </w:rPr>
        <w:t>基金份额</w:t>
      </w:r>
      <w:r w:rsidRPr="00A24B09">
        <w:rPr>
          <w:rFonts w:ascii="Times New Roman" w:hAnsi="Times New Roman" w:hint="eastAsia"/>
          <w:sz w:val="24"/>
        </w:rPr>
        <w:t>持有人大会决议执行基金的正式转型，将原基金份额变更为</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的基金份额。</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自</w:t>
      </w:r>
      <w:r w:rsidR="005D6F13">
        <w:rPr>
          <w:rFonts w:ascii="Times New Roman" w:hAnsi="Times New Roman" w:hint="eastAsia"/>
          <w:sz w:val="24"/>
        </w:rPr>
        <w:t>转型</w:t>
      </w:r>
      <w:r w:rsidRPr="00A24B09">
        <w:rPr>
          <w:rFonts w:ascii="Times New Roman" w:hAnsi="Times New Roman" w:hint="eastAsia"/>
          <w:sz w:val="24"/>
        </w:rPr>
        <w:t>选择期结束之日的次</w:t>
      </w:r>
      <w:r w:rsidR="00B45D27">
        <w:rPr>
          <w:rFonts w:ascii="Times New Roman" w:hAnsi="Times New Roman" w:hint="eastAsia"/>
          <w:sz w:val="24"/>
        </w:rPr>
        <w:t>一工作</w:t>
      </w:r>
      <w:r w:rsidRPr="00A24B09">
        <w:rPr>
          <w:rFonts w:ascii="Times New Roman" w:hAnsi="Times New Roman" w:hint="eastAsia"/>
          <w:sz w:val="24"/>
        </w:rPr>
        <w:t>日起，《</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基金合同》生效，《</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年定期开放混合型证券投资基金</w:t>
      </w:r>
      <w:r w:rsidRPr="00A24B09">
        <w:rPr>
          <w:rFonts w:ascii="Times New Roman" w:hAnsi="Times New Roman" w:hint="eastAsia"/>
          <w:sz w:val="24"/>
        </w:rPr>
        <w:t>基金合同》同时失效，</w:t>
      </w:r>
      <w:r w:rsidR="00A42367">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42367">
        <w:rPr>
          <w:rFonts w:ascii="Times New Roman" w:hAnsi="Times New Roman" w:hint="eastAsia"/>
          <w:sz w:val="24"/>
        </w:rPr>
        <w:t>年定期开放混合型证券投资基金</w:t>
      </w:r>
      <w:r w:rsidRPr="00A24B09">
        <w:rPr>
          <w:rFonts w:ascii="Times New Roman" w:hAnsi="Times New Roman" w:hint="eastAsia"/>
          <w:sz w:val="24"/>
        </w:rPr>
        <w:t>正式变更为</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（以下简称“</w:t>
      </w:r>
      <w:r w:rsidR="007D55A0">
        <w:rPr>
          <w:rFonts w:ascii="Times New Roman" w:hAnsi="Times New Roman" w:hint="eastAsia"/>
          <w:sz w:val="24"/>
        </w:rPr>
        <w:t>转型后</w:t>
      </w:r>
      <w:r w:rsidRPr="00A24B09">
        <w:rPr>
          <w:rFonts w:ascii="Times New Roman" w:hAnsi="Times New Roman" w:hint="eastAsia"/>
          <w:sz w:val="24"/>
        </w:rPr>
        <w:t>基金”），基金合同当事人将按照《</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基金合同》享有权利并承担义务。</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（三）转型后基金申购、赎回业务的办理</w:t>
      </w:r>
      <w:r w:rsidRPr="00A24B09">
        <w:rPr>
          <w:rFonts w:ascii="Times New Roman" w:hAnsi="Times New Roman"/>
          <w:sz w:val="24"/>
        </w:rPr>
        <w:t xml:space="preserve"> </w:t>
      </w:r>
    </w:p>
    <w:p w:rsidR="007E2792" w:rsidRDefault="007D55A0" w:rsidP="00BF4765">
      <w:pPr>
        <w:spacing w:line="540" w:lineRule="exact"/>
        <w:ind w:firstLineChars="200" w:firstLine="480"/>
        <w:rPr>
          <w:rFonts w:ascii="Times New Roman" w:hAnsi="Times New Roman"/>
          <w:sz w:val="24"/>
        </w:rPr>
      </w:pPr>
      <w:r w:rsidRPr="007D55A0">
        <w:rPr>
          <w:rFonts w:ascii="Times New Roman" w:hAnsi="Times New Roman" w:hint="eastAsia"/>
          <w:sz w:val="24"/>
        </w:rPr>
        <w:t>转型后</w:t>
      </w:r>
      <w:r w:rsidR="007E2792" w:rsidRPr="007E2792">
        <w:rPr>
          <w:rFonts w:ascii="Times New Roman" w:hAnsi="Times New Roman" w:hint="eastAsia"/>
          <w:sz w:val="24"/>
        </w:rPr>
        <w:t>基金</w:t>
      </w:r>
      <w:r w:rsidR="00092C04" w:rsidRPr="00092C04">
        <w:rPr>
          <w:rFonts w:ascii="Times New Roman" w:hAnsi="Times New Roman" w:hint="eastAsia"/>
          <w:sz w:val="24"/>
        </w:rPr>
        <w:t>对每份基金份额设置</w:t>
      </w:r>
      <w:r w:rsidR="00FD5AD0">
        <w:rPr>
          <w:rFonts w:ascii="Times New Roman" w:hAnsi="Times New Roman" w:hint="eastAsia"/>
          <w:sz w:val="24"/>
        </w:rPr>
        <w:t>五</w:t>
      </w:r>
      <w:r w:rsidR="00092C04" w:rsidRPr="00092C04">
        <w:rPr>
          <w:rFonts w:ascii="Times New Roman" w:hAnsi="Times New Roman" w:hint="eastAsia"/>
          <w:sz w:val="24"/>
        </w:rPr>
        <w:t>年锁定持有期，</w:t>
      </w:r>
      <w:r w:rsidR="00F97C64">
        <w:rPr>
          <w:rFonts w:ascii="Times New Roman" w:hAnsi="Times New Roman" w:hint="eastAsia"/>
          <w:sz w:val="24"/>
        </w:rPr>
        <w:t>但基金合同另有约定除外</w:t>
      </w:r>
      <w:r w:rsidR="00092C04" w:rsidRPr="00092C04">
        <w:rPr>
          <w:rFonts w:ascii="Times New Roman" w:hAnsi="Times New Roman" w:hint="eastAsia"/>
          <w:sz w:val="24"/>
        </w:rPr>
        <w:t>。锁定持有期指基金份额登记日（对基金合同生效前已经持有的份额而言，下同）、基金份额申购申请日（对基金合同生效后申购份额而言，下同）或基金份额转换转入申请日（对基金合同生效后转换转入份额而言，下同）起（即锁定持有期起始日），至基金份额登记日、基金份额申购申请日或基金份额转换转入申请日次</w:t>
      </w:r>
      <w:r w:rsidR="00FD5AD0">
        <w:rPr>
          <w:rFonts w:ascii="Times New Roman" w:hAnsi="Times New Roman" w:hint="eastAsia"/>
          <w:sz w:val="24"/>
        </w:rPr>
        <w:t>五</w:t>
      </w:r>
      <w:r w:rsidR="00092C04" w:rsidRPr="00092C04">
        <w:rPr>
          <w:rFonts w:ascii="Times New Roman" w:hAnsi="Times New Roman" w:hint="eastAsia"/>
          <w:sz w:val="24"/>
        </w:rPr>
        <w:t>年的年度对日的前一日（即锁定持有期到期日）之间的区间。每份基金份额的锁定持有期结束后即进入开放持有期，开放持有期首日为锁定持有期起始日次</w:t>
      </w:r>
      <w:r w:rsidR="00FD5AD0">
        <w:rPr>
          <w:rFonts w:ascii="Times New Roman" w:hAnsi="Times New Roman" w:hint="eastAsia"/>
          <w:sz w:val="24"/>
        </w:rPr>
        <w:t>五</w:t>
      </w:r>
      <w:r w:rsidR="00092C04" w:rsidRPr="00092C04">
        <w:rPr>
          <w:rFonts w:ascii="Times New Roman" w:hAnsi="Times New Roman" w:hint="eastAsia"/>
          <w:sz w:val="24"/>
        </w:rPr>
        <w:t>年的年度对日。每份基金份额在开放持有期的开放日可以办理赎回及转换转出业务。</w:t>
      </w:r>
    </w:p>
    <w:p w:rsidR="00333558" w:rsidRPr="00A24B09" w:rsidRDefault="00333558" w:rsidP="004E71F4">
      <w:pPr>
        <w:spacing w:line="540" w:lineRule="exact"/>
        <w:ind w:left="480"/>
        <w:outlineLvl w:val="1"/>
        <w:rPr>
          <w:b/>
          <w:sz w:val="24"/>
        </w:rPr>
      </w:pPr>
      <w:r w:rsidRPr="00A24B09">
        <w:rPr>
          <w:rFonts w:hint="eastAsia"/>
          <w:b/>
          <w:sz w:val="24"/>
        </w:rPr>
        <w:t>三、</w:t>
      </w:r>
      <w:r w:rsidR="007A3031">
        <w:rPr>
          <w:rFonts w:hint="eastAsia"/>
          <w:b/>
          <w:sz w:val="24"/>
        </w:rPr>
        <w:t>召开基金份额持有人大会</w:t>
      </w:r>
      <w:r w:rsidRPr="00A24B09">
        <w:rPr>
          <w:rFonts w:hint="eastAsia"/>
          <w:b/>
          <w:sz w:val="24"/>
        </w:rPr>
        <w:t>的主要风险及预备措施</w:t>
      </w:r>
      <w:r w:rsidRPr="00A24B09">
        <w:rPr>
          <w:b/>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（一）转型方案被持有人大会否决的风险</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为防范转型方案被基金份额持有人大会否决的风险，基金管理人将提前向基金份额持有人征询意见。如有必要，基金管理人将根据基金份额持有人意见，对转型方案进行适当的修订，并重新公告。基金管理人可在必要情况下，推迟基金份额持有人大会的召开时间。</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如果议案未获得持有人大会的批准，基金管理人将按照有关规定重新向持有人大会提交转型方案议案。</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（二）转型</w:t>
      </w:r>
      <w:r w:rsidR="007A3031">
        <w:rPr>
          <w:rFonts w:ascii="Times New Roman" w:hAnsi="Times New Roman" w:hint="eastAsia"/>
          <w:sz w:val="24"/>
        </w:rPr>
        <w:t>方案通过</w:t>
      </w:r>
      <w:r w:rsidRPr="00A24B09">
        <w:rPr>
          <w:rFonts w:ascii="Times New Roman" w:hAnsi="Times New Roman" w:hint="eastAsia"/>
          <w:sz w:val="24"/>
        </w:rPr>
        <w:t>后遭遇大规模赎回的风险</w:t>
      </w:r>
      <w:r w:rsidRPr="00A24B09">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为应对转型</w:t>
      </w:r>
      <w:r w:rsidR="007A3031">
        <w:rPr>
          <w:rFonts w:ascii="Times New Roman" w:hAnsi="Times New Roman" w:hint="eastAsia"/>
          <w:sz w:val="24"/>
        </w:rPr>
        <w:t>方案通过</w:t>
      </w:r>
      <w:r w:rsidRPr="00A24B09">
        <w:rPr>
          <w:rFonts w:ascii="Times New Roman" w:hAnsi="Times New Roman" w:hint="eastAsia"/>
          <w:sz w:val="24"/>
        </w:rPr>
        <w:t>后遭遇大规模赎回，基金在转型期间将尽可能保证投资组合的流动性，应付转型前后可能出现的较大规模赎回，降低净值波动率。</w:t>
      </w:r>
      <w:r w:rsidRPr="00333558">
        <w:rPr>
          <w:rFonts w:ascii="Times New Roman" w:hAnsi="Times New Roman"/>
          <w:sz w:val="24"/>
        </w:rPr>
        <w:t xml:space="preserve"> </w:t>
      </w:r>
    </w:p>
    <w:p w:rsidR="00333558" w:rsidRPr="00333558" w:rsidRDefault="00333558" w:rsidP="004E71F4">
      <w:pPr>
        <w:spacing w:line="540" w:lineRule="exact"/>
        <w:ind w:left="480"/>
        <w:outlineLvl w:val="1"/>
        <w:rPr>
          <w:b/>
          <w:sz w:val="24"/>
        </w:rPr>
      </w:pPr>
      <w:r w:rsidRPr="00333558">
        <w:rPr>
          <w:rFonts w:hint="eastAsia"/>
          <w:b/>
          <w:sz w:val="24"/>
        </w:rPr>
        <w:t>四、基金管理人联系方式</w:t>
      </w:r>
      <w:r w:rsidRPr="00333558">
        <w:rPr>
          <w:b/>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基金份额持有人若对本方案的内容有任何意见和建议，请通过以下方式联系</w:t>
      </w:r>
      <w:r w:rsidRPr="00333558">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基金管理人：上海东方证券资产管理有限公司</w:t>
      </w:r>
      <w:r w:rsidRPr="00333558">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客服电话：</w:t>
      </w:r>
      <w:r w:rsidRPr="00333558">
        <w:rPr>
          <w:rFonts w:ascii="Times New Roman" w:hAnsi="Times New Roman"/>
          <w:sz w:val="24"/>
        </w:rPr>
        <w:t>400-</w:t>
      </w:r>
      <w:r w:rsidRPr="00333558">
        <w:rPr>
          <w:rFonts w:ascii="Times New Roman" w:hAnsi="Times New Roman" w:hint="eastAsia"/>
          <w:sz w:val="24"/>
        </w:rPr>
        <w:t>920</w:t>
      </w:r>
      <w:r w:rsidRPr="00333558">
        <w:rPr>
          <w:rFonts w:ascii="Times New Roman" w:hAnsi="Times New Roman"/>
          <w:sz w:val="24"/>
        </w:rPr>
        <w:t>-0</w:t>
      </w:r>
      <w:r w:rsidRPr="00333558">
        <w:rPr>
          <w:rFonts w:ascii="Times New Roman" w:hAnsi="Times New Roman" w:hint="eastAsia"/>
          <w:sz w:val="24"/>
        </w:rPr>
        <w:t>808</w:t>
      </w:r>
      <w:r w:rsidRPr="00333558">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公司网站：</w:t>
      </w:r>
      <w:r w:rsidRPr="00333558">
        <w:rPr>
          <w:rFonts w:ascii="Times New Roman" w:hAnsi="Times New Roman"/>
          <w:sz w:val="24"/>
        </w:rPr>
        <w:t>www.</w:t>
      </w:r>
      <w:r w:rsidRPr="00333558">
        <w:rPr>
          <w:rFonts w:ascii="Times New Roman" w:hAnsi="Times New Roman" w:hint="eastAsia"/>
          <w:sz w:val="24"/>
        </w:rPr>
        <w:t>dfham</w:t>
      </w:r>
      <w:r w:rsidRPr="00333558">
        <w:rPr>
          <w:rFonts w:ascii="Times New Roman" w:hAnsi="Times New Roman"/>
          <w:sz w:val="24"/>
        </w:rPr>
        <w:t>.com</w:t>
      </w:r>
    </w:p>
    <w:p w:rsidR="00333558" w:rsidRPr="00333558" w:rsidRDefault="00333558" w:rsidP="00B37EC7">
      <w:pPr>
        <w:adjustRightInd w:val="0"/>
        <w:snapToGrid w:val="0"/>
        <w:spacing w:beforeLines="100" w:line="540" w:lineRule="exact"/>
        <w:ind w:firstLineChars="200" w:firstLine="480"/>
        <w:rPr>
          <w:rFonts w:ascii="Arial Unicode MS" w:hAnsi="Arial Unicode MS" w:cs="新宋体-18030"/>
          <w:kern w:val="0"/>
          <w:sz w:val="24"/>
          <w:szCs w:val="24"/>
        </w:rPr>
      </w:pPr>
      <w:r w:rsidRPr="00333558">
        <w:rPr>
          <w:rFonts w:ascii="Arial Unicode MS" w:hAnsi="Arial Unicode MS" w:cs="新宋体-18030" w:hint="eastAsia"/>
          <w:kern w:val="0"/>
          <w:sz w:val="24"/>
          <w:szCs w:val="24"/>
        </w:rPr>
        <w:t>特此说明。</w:t>
      </w:r>
    </w:p>
    <w:p w:rsidR="00B7172F" w:rsidRPr="00F756F9" w:rsidRDefault="00B7172F" w:rsidP="00B37EC7">
      <w:pPr>
        <w:adjustRightInd w:val="0"/>
        <w:snapToGrid w:val="0"/>
        <w:spacing w:beforeLines="100" w:line="400" w:lineRule="exact"/>
        <w:ind w:firstLineChars="200" w:firstLine="480"/>
        <w:jc w:val="right"/>
        <w:rPr>
          <w:rFonts w:ascii="Arial Unicode MS" w:hAnsi="Arial Unicode MS"/>
          <w:sz w:val="24"/>
        </w:rPr>
      </w:pPr>
      <w:r>
        <w:rPr>
          <w:rFonts w:ascii="宋体" w:cs="宋体" w:hint="eastAsia"/>
          <w:kern w:val="0"/>
          <w:sz w:val="24"/>
          <w:szCs w:val="24"/>
        </w:rPr>
        <w:t>上海东方证券资产</w:t>
      </w:r>
      <w:r w:rsidRPr="00F756F9">
        <w:rPr>
          <w:rFonts w:ascii="Arial Unicode MS" w:hAnsi="Arial Unicode MS" w:hint="eastAsia"/>
          <w:sz w:val="24"/>
        </w:rPr>
        <w:t>管理有限公司</w:t>
      </w:r>
    </w:p>
    <w:p w:rsidR="00B7172F" w:rsidRPr="0096329D" w:rsidRDefault="00B45D27" w:rsidP="00B7172F">
      <w:pPr>
        <w:wordWrap w:val="0"/>
        <w:autoSpaceDE w:val="0"/>
        <w:autoSpaceDN w:val="0"/>
        <w:adjustRightInd w:val="0"/>
        <w:spacing w:line="360" w:lineRule="auto"/>
        <w:ind w:firstLineChars="200" w:firstLine="480"/>
        <w:jc w:val="right"/>
        <w:rPr>
          <w:rFonts w:ascii="宋体" w:cs="宋体"/>
          <w:kern w:val="0"/>
          <w:sz w:val="24"/>
          <w:szCs w:val="24"/>
        </w:rPr>
      </w:pPr>
      <w:r w:rsidRPr="00565B7B">
        <w:rPr>
          <w:rFonts w:ascii="宋体" w:cs="宋体"/>
          <w:kern w:val="0"/>
          <w:sz w:val="24"/>
          <w:szCs w:val="24"/>
        </w:rPr>
        <w:t>202</w:t>
      </w:r>
      <w:r>
        <w:rPr>
          <w:rFonts w:ascii="宋体" w:cs="宋体"/>
          <w:kern w:val="0"/>
          <w:sz w:val="24"/>
          <w:szCs w:val="24"/>
        </w:rPr>
        <w:t>4</w:t>
      </w:r>
      <w:r w:rsidR="00B7172F" w:rsidRPr="00565B7B">
        <w:rPr>
          <w:rFonts w:ascii="宋体" w:cs="宋体"/>
          <w:kern w:val="0"/>
          <w:sz w:val="24"/>
          <w:szCs w:val="24"/>
        </w:rPr>
        <w:t>年</w:t>
      </w:r>
      <w:r>
        <w:rPr>
          <w:rFonts w:ascii="宋体" w:cs="宋体"/>
          <w:kern w:val="0"/>
          <w:sz w:val="24"/>
          <w:szCs w:val="24"/>
        </w:rPr>
        <w:t>12</w:t>
      </w:r>
      <w:r w:rsidR="00B7172F" w:rsidRPr="00565B7B">
        <w:rPr>
          <w:rFonts w:ascii="宋体" w:cs="宋体"/>
          <w:kern w:val="0"/>
          <w:sz w:val="24"/>
          <w:szCs w:val="24"/>
        </w:rPr>
        <w:t>月</w:t>
      </w:r>
      <w:r w:rsidR="006A0382">
        <w:rPr>
          <w:rFonts w:ascii="宋体" w:cs="宋体"/>
          <w:kern w:val="0"/>
          <w:sz w:val="24"/>
          <w:szCs w:val="24"/>
        </w:rPr>
        <w:t>24</w:t>
      </w:r>
      <w:r w:rsidR="00B7172F" w:rsidRPr="00565B7B">
        <w:rPr>
          <w:rFonts w:ascii="宋体" w:cs="宋体"/>
          <w:kern w:val="0"/>
          <w:sz w:val="24"/>
          <w:szCs w:val="24"/>
        </w:rPr>
        <w:t>日</w:t>
      </w:r>
    </w:p>
    <w:p w:rsidR="00273D2E" w:rsidRPr="00482C5B" w:rsidRDefault="00273D2E" w:rsidP="00482C5B">
      <w:pPr>
        <w:wordWrap w:val="0"/>
        <w:autoSpaceDE w:val="0"/>
        <w:autoSpaceDN w:val="0"/>
        <w:adjustRightInd w:val="0"/>
        <w:spacing w:line="360" w:lineRule="auto"/>
        <w:ind w:firstLineChars="200" w:firstLine="480"/>
        <w:jc w:val="right"/>
        <w:rPr>
          <w:rFonts w:ascii="宋体" w:cs="宋体"/>
          <w:kern w:val="0"/>
          <w:sz w:val="24"/>
          <w:szCs w:val="24"/>
        </w:rPr>
        <w:sectPr w:rsidR="00273D2E" w:rsidRPr="00482C5B" w:rsidSect="00F67514">
          <w:pgSz w:w="11906" w:h="16838"/>
          <w:pgMar w:top="1440" w:right="1800" w:bottom="1440" w:left="1800" w:header="851" w:footer="992" w:gutter="0"/>
          <w:cols w:space="425"/>
          <w:docGrid w:type="lines" w:linePitch="312"/>
        </w:sectPr>
      </w:pPr>
    </w:p>
    <w:p w:rsidR="0057402A" w:rsidRPr="00BF0B40" w:rsidRDefault="0057402A" w:rsidP="0057402A">
      <w:pPr>
        <w:pStyle w:val="1"/>
        <w:rPr>
          <w:sz w:val="32"/>
          <w:szCs w:val="32"/>
        </w:rPr>
      </w:pPr>
      <w:r w:rsidRPr="00B003D7">
        <w:rPr>
          <w:rFonts w:hint="eastAsia"/>
          <w:sz w:val="32"/>
          <w:szCs w:val="32"/>
        </w:rPr>
        <w:t>附件</w:t>
      </w:r>
      <w:r>
        <w:rPr>
          <w:rFonts w:hint="eastAsia"/>
          <w:sz w:val="32"/>
          <w:szCs w:val="32"/>
        </w:rPr>
        <w:t>三</w:t>
      </w:r>
      <w:r w:rsidRPr="00B003D7">
        <w:rPr>
          <w:rFonts w:hint="eastAsia"/>
          <w:sz w:val="32"/>
          <w:szCs w:val="32"/>
        </w:rPr>
        <w:t>：</w:t>
      </w:r>
    </w:p>
    <w:p w:rsidR="0057402A" w:rsidRPr="00F756F9" w:rsidRDefault="00A42367" w:rsidP="0057402A">
      <w:pPr>
        <w:spacing w:line="360" w:lineRule="auto"/>
        <w:jc w:val="center"/>
        <w:rPr>
          <w:b/>
          <w:sz w:val="24"/>
          <w:szCs w:val="24"/>
        </w:rPr>
      </w:pPr>
      <w:r>
        <w:rPr>
          <w:rFonts w:ascii="宋体" w:cs="宋体" w:hint="eastAsia"/>
          <w:b/>
          <w:kern w:val="0"/>
          <w:sz w:val="24"/>
          <w:szCs w:val="24"/>
        </w:rPr>
        <w:t>东方红</w:t>
      </w:r>
      <w:r w:rsidR="00597A80">
        <w:rPr>
          <w:rFonts w:ascii="宋体" w:cs="宋体" w:hint="eastAsia"/>
          <w:b/>
          <w:kern w:val="0"/>
          <w:sz w:val="24"/>
          <w:szCs w:val="24"/>
        </w:rPr>
        <w:t>恒阳</w:t>
      </w:r>
      <w:r w:rsidR="00ED4487">
        <w:rPr>
          <w:rFonts w:ascii="宋体" w:cs="宋体" w:hint="eastAsia"/>
          <w:b/>
          <w:kern w:val="0"/>
          <w:sz w:val="24"/>
          <w:szCs w:val="24"/>
        </w:rPr>
        <w:t>五</w:t>
      </w:r>
      <w:r>
        <w:rPr>
          <w:rFonts w:ascii="宋体" w:cs="宋体" w:hint="eastAsia"/>
          <w:b/>
          <w:kern w:val="0"/>
          <w:sz w:val="24"/>
          <w:szCs w:val="24"/>
        </w:rPr>
        <w:t>年定期开放混合型证券投资基金</w:t>
      </w:r>
    </w:p>
    <w:p w:rsidR="0057402A" w:rsidRPr="00F756F9" w:rsidRDefault="0057402A" w:rsidP="0057402A">
      <w:pPr>
        <w:spacing w:line="360" w:lineRule="auto"/>
        <w:jc w:val="center"/>
        <w:rPr>
          <w:b/>
          <w:sz w:val="24"/>
          <w:szCs w:val="24"/>
        </w:rPr>
      </w:pPr>
      <w:r w:rsidRPr="00F756F9">
        <w:rPr>
          <w:rFonts w:hint="eastAsia"/>
          <w:b/>
          <w:sz w:val="24"/>
          <w:szCs w:val="24"/>
        </w:rPr>
        <w:t>基金份额持有人大会表决票效力认定程序和标准</w:t>
      </w:r>
    </w:p>
    <w:p w:rsidR="0057402A" w:rsidRPr="00F756F9" w:rsidRDefault="0057402A" w:rsidP="00B37EC7">
      <w:pPr>
        <w:pStyle w:val="ad"/>
        <w:spacing w:afterLines="50" w:line="360" w:lineRule="auto"/>
        <w:jc w:val="center"/>
        <w:rPr>
          <w:rStyle w:val="da"/>
          <w:szCs w:val="21"/>
        </w:rPr>
      </w:pPr>
    </w:p>
    <w:p w:rsidR="0057402A" w:rsidRPr="00F756F9" w:rsidRDefault="0057402A" w:rsidP="00B37EC7">
      <w:pPr>
        <w:pStyle w:val="20"/>
        <w:spacing w:afterLines="50" w:line="360" w:lineRule="auto"/>
        <w:ind w:firstLine="480"/>
        <w:rPr>
          <w:rFonts w:ascii="宋体" w:cs="宋体"/>
          <w:kern w:val="0"/>
          <w:sz w:val="24"/>
          <w:szCs w:val="24"/>
        </w:rPr>
      </w:pPr>
      <w:r w:rsidRPr="00F756F9">
        <w:rPr>
          <w:rFonts w:ascii="宋体" w:cs="宋体" w:hint="eastAsia"/>
          <w:kern w:val="0"/>
          <w:sz w:val="24"/>
          <w:szCs w:val="24"/>
        </w:rPr>
        <w:t>一、由本基金管理人授权的两名监督员在基金托管人授权代表的监督下进行计票，并由公证机关对其计票过程予以公证。</w:t>
      </w:r>
    </w:p>
    <w:p w:rsidR="004A5145" w:rsidRPr="00F40281" w:rsidRDefault="009849E8" w:rsidP="00B37EC7">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二、</w:t>
      </w:r>
      <w:r w:rsidR="00514A0E">
        <w:rPr>
          <w:rFonts w:ascii="宋体" w:cs="宋体" w:hint="eastAsia"/>
          <w:kern w:val="0"/>
          <w:sz w:val="24"/>
          <w:szCs w:val="24"/>
        </w:rPr>
        <w:t>纸质</w:t>
      </w:r>
      <w:r w:rsidRPr="009849E8">
        <w:rPr>
          <w:rFonts w:ascii="宋体" w:cs="宋体" w:hint="eastAsia"/>
          <w:kern w:val="0"/>
          <w:sz w:val="24"/>
          <w:szCs w:val="24"/>
        </w:rPr>
        <w:t>表决票通过专人送交</w:t>
      </w:r>
      <w:r>
        <w:rPr>
          <w:rFonts w:ascii="宋体" w:cs="宋体" w:hint="eastAsia"/>
          <w:kern w:val="0"/>
          <w:sz w:val="24"/>
          <w:szCs w:val="24"/>
          <w:lang w:eastAsia="zh-CN"/>
        </w:rPr>
        <w:t>或</w:t>
      </w:r>
      <w:r w:rsidRPr="009849E8">
        <w:rPr>
          <w:rFonts w:ascii="宋体" w:cs="宋体" w:hint="eastAsia"/>
          <w:kern w:val="0"/>
          <w:sz w:val="24"/>
          <w:szCs w:val="24"/>
        </w:rPr>
        <w:t>邮寄</w:t>
      </w:r>
      <w:r>
        <w:rPr>
          <w:rFonts w:ascii="宋体" w:cs="宋体" w:hint="eastAsia"/>
          <w:kern w:val="0"/>
          <w:sz w:val="24"/>
          <w:szCs w:val="24"/>
          <w:lang w:eastAsia="zh-CN"/>
        </w:rPr>
        <w:t>的方式</w:t>
      </w:r>
      <w:r w:rsidRPr="009849E8">
        <w:rPr>
          <w:rFonts w:ascii="宋体" w:cs="宋体" w:hint="eastAsia"/>
          <w:kern w:val="0"/>
          <w:sz w:val="24"/>
          <w:szCs w:val="24"/>
        </w:rPr>
        <w:t>送达本公告规定的收件人的，表决时间以本基金管理人收到时间为准。</w:t>
      </w:r>
      <w:r w:rsidR="00045B4A">
        <w:rPr>
          <w:rFonts w:ascii="宋体" w:cs="宋体" w:hint="eastAsia"/>
          <w:kern w:val="0"/>
          <w:sz w:val="24"/>
          <w:szCs w:val="24"/>
          <w:lang w:eastAsia="zh-CN"/>
        </w:rPr>
        <w:t>20</w:t>
      </w:r>
      <w:r w:rsidR="00045B4A">
        <w:rPr>
          <w:rFonts w:ascii="宋体" w:cs="宋体"/>
          <w:kern w:val="0"/>
          <w:sz w:val="24"/>
          <w:szCs w:val="24"/>
          <w:lang w:eastAsia="zh-CN"/>
        </w:rPr>
        <w:t>24</w:t>
      </w:r>
      <w:r w:rsidR="007B5835">
        <w:rPr>
          <w:rFonts w:ascii="宋体" w:cs="宋体" w:hint="eastAsia"/>
          <w:kern w:val="0"/>
          <w:sz w:val="24"/>
          <w:szCs w:val="24"/>
          <w:lang w:eastAsia="zh-CN"/>
        </w:rPr>
        <w:t>年</w:t>
      </w:r>
      <w:r w:rsidR="00045B4A">
        <w:rPr>
          <w:rFonts w:ascii="宋体" w:cs="宋体"/>
          <w:kern w:val="0"/>
          <w:sz w:val="24"/>
          <w:szCs w:val="24"/>
          <w:lang w:eastAsia="zh-CN"/>
        </w:rPr>
        <w:t>12</w:t>
      </w:r>
      <w:r w:rsidR="00E25139" w:rsidRPr="00E25139">
        <w:rPr>
          <w:rFonts w:ascii="宋体" w:cs="宋体" w:hint="eastAsia"/>
          <w:kern w:val="0"/>
          <w:sz w:val="24"/>
          <w:szCs w:val="24"/>
          <w:lang w:eastAsia="zh-CN"/>
        </w:rPr>
        <w:t>月</w:t>
      </w:r>
      <w:r w:rsidR="00045B4A">
        <w:rPr>
          <w:rFonts w:ascii="宋体" w:cs="宋体"/>
          <w:kern w:val="0"/>
          <w:sz w:val="24"/>
          <w:szCs w:val="24"/>
          <w:lang w:eastAsia="zh-CN"/>
        </w:rPr>
        <w:t>23</w:t>
      </w:r>
      <w:r w:rsidR="00E25139" w:rsidRPr="00E25139">
        <w:rPr>
          <w:rFonts w:ascii="宋体" w:cs="宋体" w:hint="eastAsia"/>
          <w:kern w:val="0"/>
          <w:sz w:val="24"/>
          <w:szCs w:val="24"/>
          <w:lang w:eastAsia="zh-CN"/>
        </w:rPr>
        <w:t>日</w:t>
      </w:r>
      <w:r w:rsidR="00E25139">
        <w:rPr>
          <w:rFonts w:ascii="宋体" w:cs="宋体" w:hint="eastAsia"/>
          <w:kern w:val="0"/>
          <w:sz w:val="24"/>
          <w:szCs w:val="24"/>
          <w:lang w:eastAsia="zh-CN"/>
        </w:rPr>
        <w:t>以前</w:t>
      </w:r>
      <w:r w:rsidR="009D4B8F">
        <w:rPr>
          <w:rFonts w:ascii="宋体" w:cs="宋体" w:hint="eastAsia"/>
          <w:kern w:val="0"/>
          <w:sz w:val="24"/>
          <w:szCs w:val="24"/>
          <w:lang w:eastAsia="zh-CN"/>
        </w:rPr>
        <w:t>或</w:t>
      </w:r>
      <w:r w:rsidR="00045B4A" w:rsidRPr="00214314">
        <w:rPr>
          <w:rFonts w:ascii="宋体" w:cs="宋体"/>
          <w:kern w:val="0"/>
          <w:sz w:val="24"/>
          <w:szCs w:val="24"/>
        </w:rPr>
        <w:t>20</w:t>
      </w:r>
      <w:r w:rsidR="00045B4A">
        <w:rPr>
          <w:rFonts w:ascii="宋体" w:cs="宋体"/>
          <w:kern w:val="0"/>
          <w:sz w:val="24"/>
          <w:szCs w:val="24"/>
          <w:lang w:eastAsia="zh-CN"/>
        </w:rPr>
        <w:t>25</w:t>
      </w:r>
      <w:r w:rsidRPr="00214314">
        <w:rPr>
          <w:rFonts w:ascii="宋体" w:cs="宋体" w:hint="eastAsia"/>
          <w:kern w:val="0"/>
          <w:sz w:val="24"/>
          <w:szCs w:val="24"/>
        </w:rPr>
        <w:t>年</w:t>
      </w:r>
      <w:r w:rsidR="00045B4A">
        <w:rPr>
          <w:rFonts w:ascii="宋体" w:cs="宋体"/>
          <w:kern w:val="0"/>
          <w:sz w:val="24"/>
          <w:szCs w:val="24"/>
          <w:lang w:eastAsia="zh-CN"/>
        </w:rPr>
        <w:t>3</w:t>
      </w:r>
      <w:r w:rsidRPr="00214314">
        <w:rPr>
          <w:rFonts w:ascii="宋体" w:cs="宋体" w:hint="eastAsia"/>
          <w:kern w:val="0"/>
          <w:sz w:val="24"/>
          <w:szCs w:val="24"/>
        </w:rPr>
        <w:t>月</w:t>
      </w:r>
      <w:r w:rsidR="00045B4A">
        <w:rPr>
          <w:rFonts w:ascii="宋体" w:cs="宋体"/>
          <w:kern w:val="0"/>
          <w:sz w:val="24"/>
          <w:szCs w:val="24"/>
          <w:lang w:eastAsia="zh-CN"/>
        </w:rPr>
        <w:t>5</w:t>
      </w:r>
      <w:r w:rsidRPr="00214314">
        <w:rPr>
          <w:rFonts w:ascii="宋体" w:cs="宋体" w:hint="eastAsia"/>
          <w:kern w:val="0"/>
          <w:sz w:val="24"/>
          <w:szCs w:val="24"/>
        </w:rPr>
        <w:t>日</w:t>
      </w:r>
      <w:r w:rsidRPr="00214314">
        <w:rPr>
          <w:rFonts w:ascii="宋体" w:cs="宋体" w:hint="eastAsia"/>
          <w:kern w:val="0"/>
          <w:sz w:val="24"/>
          <w:szCs w:val="24"/>
          <w:lang w:eastAsia="zh-CN"/>
        </w:rPr>
        <w:t>17</w:t>
      </w:r>
      <w:r w:rsidRPr="00214314">
        <w:rPr>
          <w:rFonts w:ascii="宋体" w:cs="宋体" w:hint="eastAsia"/>
          <w:kern w:val="0"/>
          <w:sz w:val="24"/>
          <w:szCs w:val="24"/>
        </w:rPr>
        <w:t>：</w:t>
      </w:r>
      <w:r w:rsidRPr="00214314">
        <w:rPr>
          <w:rFonts w:ascii="宋体" w:cs="宋体"/>
          <w:kern w:val="0"/>
          <w:sz w:val="24"/>
          <w:szCs w:val="24"/>
        </w:rPr>
        <w:t>00</w:t>
      </w:r>
      <w:r w:rsidRPr="00214314">
        <w:rPr>
          <w:rFonts w:ascii="宋体" w:cs="宋体" w:hint="eastAsia"/>
          <w:kern w:val="0"/>
          <w:sz w:val="24"/>
          <w:szCs w:val="24"/>
        </w:rPr>
        <w:t>以后</w:t>
      </w:r>
      <w:r w:rsidRPr="009849E8">
        <w:rPr>
          <w:rFonts w:ascii="宋体" w:cs="宋体" w:hint="eastAsia"/>
          <w:kern w:val="0"/>
          <w:sz w:val="24"/>
          <w:szCs w:val="24"/>
        </w:rPr>
        <w:t>送达基金管理人的，为无效表决</w:t>
      </w:r>
      <w:r w:rsidR="004A5145" w:rsidRPr="00F756F9">
        <w:rPr>
          <w:rFonts w:ascii="宋体" w:cs="宋体" w:hint="eastAsia"/>
          <w:kern w:val="0"/>
          <w:sz w:val="24"/>
          <w:szCs w:val="24"/>
        </w:rPr>
        <w:t>，不视为已参与本次基金份额持有人大会表决，亦不计入参与本次基金份额持有人大会表决的基金份额</w:t>
      </w:r>
      <w:r w:rsidR="004A5145">
        <w:rPr>
          <w:rFonts w:ascii="宋体" w:cs="宋体" w:hint="eastAsia"/>
          <w:kern w:val="0"/>
          <w:sz w:val="24"/>
          <w:szCs w:val="24"/>
        </w:rPr>
        <w:t>总数</w:t>
      </w:r>
      <w:r w:rsidR="004A5145" w:rsidRPr="00F756F9">
        <w:rPr>
          <w:rFonts w:ascii="宋体" w:cs="宋体" w:hint="eastAsia"/>
          <w:kern w:val="0"/>
          <w:sz w:val="24"/>
          <w:szCs w:val="24"/>
        </w:rPr>
        <w:t>之内</w:t>
      </w:r>
      <w:r w:rsidR="004A5145">
        <w:rPr>
          <w:rFonts w:ascii="宋体" w:cs="宋体" w:hint="eastAsia"/>
          <w:kern w:val="0"/>
          <w:sz w:val="24"/>
          <w:szCs w:val="24"/>
          <w:lang w:eastAsia="zh-CN"/>
        </w:rPr>
        <w:t>。</w:t>
      </w:r>
    </w:p>
    <w:p w:rsidR="00C15776" w:rsidRPr="00C15776" w:rsidRDefault="00615A2C" w:rsidP="00B37EC7">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三</w:t>
      </w:r>
      <w:r w:rsidR="00C15776">
        <w:rPr>
          <w:rFonts w:ascii="宋体" w:cs="宋体" w:hint="eastAsia"/>
          <w:kern w:val="0"/>
          <w:sz w:val="24"/>
          <w:szCs w:val="24"/>
          <w:lang w:eastAsia="zh-CN"/>
        </w:rPr>
        <w:t>、</w:t>
      </w:r>
      <w:r w:rsidR="00514A0E">
        <w:rPr>
          <w:rFonts w:ascii="宋体" w:cs="宋体" w:hint="eastAsia"/>
          <w:kern w:val="0"/>
          <w:sz w:val="24"/>
          <w:szCs w:val="24"/>
        </w:rPr>
        <w:t>纸质</w:t>
      </w:r>
      <w:r w:rsidR="00C15776" w:rsidRPr="00C15776">
        <w:rPr>
          <w:rFonts w:ascii="宋体" w:cs="宋体" w:hint="eastAsia"/>
          <w:kern w:val="0"/>
          <w:sz w:val="24"/>
          <w:szCs w:val="24"/>
        </w:rPr>
        <w:t>表决票的效力认定</w:t>
      </w:r>
    </w:p>
    <w:p w:rsidR="009849E8" w:rsidRDefault="00C15776" w:rsidP="00B37EC7">
      <w:pPr>
        <w:pStyle w:val="20"/>
        <w:spacing w:afterLines="50" w:line="360" w:lineRule="auto"/>
        <w:ind w:firstLine="480"/>
        <w:rPr>
          <w:rFonts w:ascii="宋体" w:cs="宋体"/>
          <w:kern w:val="0"/>
          <w:sz w:val="24"/>
          <w:szCs w:val="24"/>
          <w:lang w:eastAsia="zh-CN"/>
        </w:rPr>
      </w:pPr>
      <w:r>
        <w:rPr>
          <w:rFonts w:ascii="宋体" w:cs="宋体" w:hint="eastAsia"/>
          <w:kern w:val="0"/>
          <w:sz w:val="24"/>
          <w:szCs w:val="24"/>
          <w:lang w:eastAsia="zh-CN"/>
        </w:rPr>
        <w:t>1、</w:t>
      </w:r>
      <w:r w:rsidR="00514A0E">
        <w:rPr>
          <w:rFonts w:ascii="宋体" w:cs="宋体" w:hint="eastAsia"/>
          <w:kern w:val="0"/>
          <w:sz w:val="24"/>
          <w:szCs w:val="24"/>
        </w:rPr>
        <w:t>纸质</w:t>
      </w:r>
      <w:r w:rsidRPr="00C15776">
        <w:rPr>
          <w:rFonts w:ascii="宋体" w:cs="宋体" w:hint="eastAsia"/>
          <w:kern w:val="0"/>
          <w:sz w:val="24"/>
          <w:szCs w:val="24"/>
        </w:rPr>
        <w:t>表决票填写完整清晰，所提供文件符合本公告规定，且在规定时间之</w:t>
      </w:r>
      <w:r w:rsidR="007A4ABA">
        <w:rPr>
          <w:rFonts w:ascii="宋体" w:cs="宋体" w:hint="eastAsia"/>
          <w:kern w:val="0"/>
          <w:sz w:val="24"/>
          <w:szCs w:val="24"/>
          <w:lang w:eastAsia="zh-CN"/>
        </w:rPr>
        <w:t>内</w:t>
      </w:r>
      <w:r w:rsidRPr="00C15776">
        <w:rPr>
          <w:rFonts w:ascii="宋体" w:cs="宋体" w:hint="eastAsia"/>
          <w:kern w:val="0"/>
          <w:sz w:val="24"/>
          <w:szCs w:val="24"/>
        </w:rPr>
        <w:t>送达本基金管理人的，为有效表决票；有效表决票按表决意见计入相应的表决结果，其所代表的基金份额计入参加本次基金份额持有人大会表决的基金份额总数。</w:t>
      </w:r>
    </w:p>
    <w:p w:rsidR="00C15776" w:rsidRPr="00C15776" w:rsidRDefault="00C15776" w:rsidP="00B37EC7">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2、</w:t>
      </w:r>
      <w:r w:rsidR="00514A0E">
        <w:rPr>
          <w:rFonts w:ascii="宋体" w:cs="宋体" w:hint="eastAsia"/>
          <w:kern w:val="0"/>
          <w:sz w:val="24"/>
          <w:szCs w:val="24"/>
        </w:rPr>
        <w:t>纸质</w:t>
      </w:r>
      <w:r w:rsidRPr="00C15776">
        <w:rPr>
          <w:rFonts w:ascii="宋体" w:cs="宋体" w:hint="eastAsia"/>
          <w:kern w:val="0"/>
          <w:sz w:val="24"/>
          <w:szCs w:val="24"/>
        </w:rPr>
        <w:t>表决票上的表决意见未选、多选、模糊不清或相互矛盾</w:t>
      </w:r>
      <w:r w:rsidR="00252E8A" w:rsidRPr="00252E8A">
        <w:rPr>
          <w:rFonts w:ascii="宋体" w:cs="宋体" w:hint="eastAsia"/>
          <w:kern w:val="0"/>
          <w:sz w:val="24"/>
          <w:szCs w:val="24"/>
        </w:rPr>
        <w:t>，但其他各项符合</w:t>
      </w:r>
      <w:r w:rsidR="008A5AA3">
        <w:rPr>
          <w:rFonts w:ascii="宋体" w:cs="宋体" w:hint="eastAsia"/>
          <w:kern w:val="0"/>
          <w:sz w:val="24"/>
          <w:szCs w:val="24"/>
          <w:lang w:eastAsia="zh-CN"/>
        </w:rPr>
        <w:t>本公告</w:t>
      </w:r>
      <w:r w:rsidR="00252E8A" w:rsidRPr="00252E8A">
        <w:rPr>
          <w:rFonts w:ascii="宋体" w:cs="宋体" w:hint="eastAsia"/>
          <w:kern w:val="0"/>
          <w:sz w:val="24"/>
          <w:szCs w:val="24"/>
        </w:rPr>
        <w:t>规定</w:t>
      </w:r>
      <w:r w:rsidRPr="00C15776">
        <w:rPr>
          <w:rFonts w:ascii="宋体" w:cs="宋体" w:hint="eastAsia"/>
          <w:kern w:val="0"/>
          <w:sz w:val="24"/>
          <w:szCs w:val="24"/>
        </w:rPr>
        <w:t>的视为弃权表决，弃权表决票计入对应的表决结果，其所代表的基金份额计入出具</w:t>
      </w:r>
      <w:r w:rsidR="00A11D5A">
        <w:rPr>
          <w:rFonts w:ascii="宋体" w:cs="宋体" w:hint="eastAsia"/>
          <w:kern w:val="0"/>
          <w:sz w:val="24"/>
          <w:szCs w:val="24"/>
          <w:lang w:eastAsia="zh-CN"/>
        </w:rPr>
        <w:t>表决</w:t>
      </w:r>
      <w:r w:rsidRPr="00C15776">
        <w:rPr>
          <w:rFonts w:ascii="宋体" w:cs="宋体" w:hint="eastAsia"/>
          <w:kern w:val="0"/>
          <w:sz w:val="24"/>
          <w:szCs w:val="24"/>
        </w:rPr>
        <w:t>意见的基金份额持有人所代表的基金份额总数。</w:t>
      </w:r>
    </w:p>
    <w:p w:rsidR="00C15776" w:rsidRPr="00C15776" w:rsidRDefault="00C15776" w:rsidP="00B37EC7">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3、</w:t>
      </w:r>
      <w:r w:rsidR="00514A0E">
        <w:rPr>
          <w:rFonts w:ascii="宋体" w:cs="宋体" w:hint="eastAsia"/>
          <w:kern w:val="0"/>
          <w:sz w:val="24"/>
          <w:szCs w:val="24"/>
        </w:rPr>
        <w:t>纸质</w:t>
      </w:r>
      <w:r w:rsidRPr="00C15776">
        <w:rPr>
          <w:rFonts w:ascii="宋体" w:cs="宋体" w:hint="eastAsia"/>
          <w:kern w:val="0"/>
          <w:sz w:val="24"/>
          <w:szCs w:val="24"/>
        </w:rPr>
        <w:t>表决票上的签字或盖章部分填写不完整、不清晰的，或未能提供有效证明持有人身份或代理人经有效授权的证明文件的，或未能在</w:t>
      </w:r>
      <w:r w:rsidR="008A5AA3">
        <w:rPr>
          <w:rFonts w:ascii="宋体" w:cs="宋体" w:hint="eastAsia"/>
          <w:kern w:val="0"/>
          <w:sz w:val="24"/>
          <w:szCs w:val="24"/>
          <w:lang w:eastAsia="zh-CN"/>
        </w:rPr>
        <w:t>规定</w:t>
      </w:r>
      <w:r w:rsidRPr="00C15776">
        <w:rPr>
          <w:rFonts w:ascii="宋体" w:cs="宋体" w:hint="eastAsia"/>
          <w:kern w:val="0"/>
          <w:sz w:val="24"/>
          <w:szCs w:val="24"/>
        </w:rPr>
        <w:t>时间之</w:t>
      </w:r>
      <w:r w:rsidR="007A4ABA">
        <w:rPr>
          <w:rFonts w:ascii="宋体" w:cs="宋体" w:hint="eastAsia"/>
          <w:kern w:val="0"/>
          <w:sz w:val="24"/>
          <w:szCs w:val="24"/>
          <w:lang w:eastAsia="zh-CN"/>
        </w:rPr>
        <w:t>内</w:t>
      </w:r>
      <w:r w:rsidRPr="00C15776">
        <w:rPr>
          <w:rFonts w:ascii="宋体" w:cs="宋体" w:hint="eastAsia"/>
          <w:kern w:val="0"/>
          <w:sz w:val="24"/>
          <w:szCs w:val="24"/>
        </w:rPr>
        <w:t>送达本基金管理人的，均为无效表决票；无效表决票不计入参加本次基金份额持有人大会表决的基金份额总数。</w:t>
      </w:r>
    </w:p>
    <w:p w:rsidR="00C15776" w:rsidRPr="00C15776" w:rsidRDefault="00C15776" w:rsidP="00B37EC7">
      <w:pPr>
        <w:pStyle w:val="20"/>
        <w:spacing w:afterLines="50" w:line="360" w:lineRule="auto"/>
        <w:ind w:firstLine="480"/>
        <w:rPr>
          <w:rFonts w:ascii="宋体" w:cs="宋体"/>
          <w:kern w:val="0"/>
          <w:sz w:val="24"/>
          <w:szCs w:val="24"/>
        </w:rPr>
      </w:pPr>
      <w:r w:rsidRPr="00C15776">
        <w:rPr>
          <w:rFonts w:ascii="宋体" w:cs="宋体"/>
          <w:kern w:val="0"/>
          <w:sz w:val="24"/>
          <w:szCs w:val="24"/>
        </w:rPr>
        <w:t>4</w:t>
      </w:r>
      <w:r>
        <w:rPr>
          <w:rFonts w:ascii="宋体" w:cs="宋体" w:hint="eastAsia"/>
          <w:kern w:val="0"/>
          <w:sz w:val="24"/>
          <w:szCs w:val="24"/>
          <w:lang w:eastAsia="zh-CN"/>
        </w:rPr>
        <w:t>、</w:t>
      </w:r>
      <w:r w:rsidRPr="00C15776">
        <w:rPr>
          <w:rFonts w:ascii="宋体" w:cs="宋体" w:hint="eastAsia"/>
          <w:kern w:val="0"/>
          <w:sz w:val="24"/>
          <w:szCs w:val="24"/>
        </w:rPr>
        <w:t>基金份额持有人重复提交</w:t>
      </w:r>
      <w:r w:rsidR="00514A0E">
        <w:rPr>
          <w:rFonts w:ascii="宋体" w:cs="宋体" w:hint="eastAsia"/>
          <w:kern w:val="0"/>
          <w:sz w:val="24"/>
          <w:szCs w:val="24"/>
        </w:rPr>
        <w:t>纸质</w:t>
      </w:r>
      <w:r w:rsidRPr="00C15776">
        <w:rPr>
          <w:rFonts w:ascii="宋体" w:cs="宋体" w:hint="eastAsia"/>
          <w:kern w:val="0"/>
          <w:sz w:val="24"/>
          <w:szCs w:val="24"/>
        </w:rPr>
        <w:t>表决票的，如各表决票表决意见相同，则视为同一表决票。如各表决票表决意见不相同，则按如下原则处理：</w:t>
      </w:r>
    </w:p>
    <w:p w:rsidR="00C15776" w:rsidRPr="00C15776" w:rsidRDefault="00C15776" w:rsidP="00B37EC7">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（1）</w:t>
      </w:r>
      <w:r w:rsidRPr="00C15776">
        <w:rPr>
          <w:rFonts w:ascii="宋体" w:cs="宋体" w:hint="eastAsia"/>
          <w:kern w:val="0"/>
          <w:sz w:val="24"/>
          <w:szCs w:val="24"/>
        </w:rPr>
        <w:t>送达时间不是同一天的，以最后送达的填写有效的表决票为准，先送达的表决票视为被撤回；</w:t>
      </w:r>
    </w:p>
    <w:p w:rsidR="00C15776" w:rsidRPr="00C15776" w:rsidRDefault="00C15776" w:rsidP="00B37EC7">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（2）</w:t>
      </w:r>
      <w:r w:rsidRPr="00C15776">
        <w:rPr>
          <w:rFonts w:ascii="宋体" w:cs="宋体" w:hint="eastAsia"/>
          <w:kern w:val="0"/>
          <w:sz w:val="24"/>
          <w:szCs w:val="24"/>
        </w:rPr>
        <w:t>送达时间为同一天的，视为在同一表决票上做出了不同表决意见，计入弃权表决票</w:t>
      </w:r>
      <w:r w:rsidR="004A5145" w:rsidRPr="00F756F9">
        <w:rPr>
          <w:rFonts w:ascii="宋体" w:cs="宋体" w:hint="eastAsia"/>
          <w:kern w:val="0"/>
          <w:sz w:val="24"/>
          <w:szCs w:val="24"/>
        </w:rPr>
        <w:t>，计入有效表决票</w:t>
      </w:r>
      <w:r w:rsidRPr="00C15776">
        <w:rPr>
          <w:rFonts w:ascii="宋体" w:cs="宋体" w:hint="eastAsia"/>
          <w:kern w:val="0"/>
          <w:sz w:val="24"/>
          <w:szCs w:val="24"/>
        </w:rPr>
        <w:t>；</w:t>
      </w:r>
    </w:p>
    <w:p w:rsidR="00C15776" w:rsidRPr="00C15776" w:rsidRDefault="00C15776" w:rsidP="00B37EC7">
      <w:pPr>
        <w:pStyle w:val="20"/>
        <w:spacing w:afterLines="50" w:line="360" w:lineRule="auto"/>
        <w:ind w:firstLine="480"/>
        <w:rPr>
          <w:rFonts w:ascii="宋体" w:cs="宋体"/>
          <w:kern w:val="0"/>
          <w:sz w:val="24"/>
          <w:szCs w:val="24"/>
        </w:rPr>
      </w:pPr>
      <w:r>
        <w:rPr>
          <w:rFonts w:ascii="宋体" w:cs="宋体" w:hint="eastAsia"/>
          <w:kern w:val="0"/>
          <w:sz w:val="24"/>
          <w:szCs w:val="24"/>
          <w:lang w:eastAsia="zh-CN"/>
        </w:rPr>
        <w:t>（3）</w:t>
      </w:r>
      <w:r w:rsidRPr="00C15776">
        <w:rPr>
          <w:rFonts w:ascii="宋体" w:cs="宋体" w:hint="eastAsia"/>
          <w:kern w:val="0"/>
          <w:sz w:val="24"/>
          <w:szCs w:val="24"/>
        </w:rPr>
        <w:t>送达时间按如下原则确定：专人送达的以实际递交时间为准，邮寄的以本基金管理人收到的时间为准。</w:t>
      </w:r>
    </w:p>
    <w:p w:rsidR="0057402A" w:rsidRPr="0057402A" w:rsidRDefault="00D030C5" w:rsidP="0057402A">
      <w:pPr>
        <w:pStyle w:val="1"/>
        <w:rPr>
          <w:sz w:val="32"/>
          <w:szCs w:val="32"/>
        </w:rPr>
      </w:pPr>
      <w:r>
        <w:rPr>
          <w:sz w:val="32"/>
          <w:szCs w:val="32"/>
        </w:rPr>
        <w:br w:type="page"/>
      </w:r>
      <w:r w:rsidR="0057402A" w:rsidRPr="0057402A">
        <w:rPr>
          <w:rFonts w:hint="eastAsia"/>
          <w:sz w:val="32"/>
          <w:szCs w:val="32"/>
        </w:rPr>
        <w:t>附件四：</w:t>
      </w:r>
    </w:p>
    <w:p w:rsidR="0057402A" w:rsidRPr="00F756F9" w:rsidRDefault="00A42367" w:rsidP="0057402A">
      <w:pPr>
        <w:spacing w:line="360" w:lineRule="auto"/>
        <w:jc w:val="center"/>
        <w:rPr>
          <w:b/>
          <w:sz w:val="24"/>
          <w:szCs w:val="24"/>
        </w:rPr>
      </w:pPr>
      <w:r>
        <w:rPr>
          <w:rFonts w:ascii="宋体" w:cs="宋体" w:hint="eastAsia"/>
          <w:b/>
          <w:kern w:val="0"/>
          <w:sz w:val="24"/>
          <w:szCs w:val="24"/>
        </w:rPr>
        <w:t>东方红</w:t>
      </w:r>
      <w:r w:rsidR="00597A80">
        <w:rPr>
          <w:rFonts w:ascii="宋体" w:cs="宋体" w:hint="eastAsia"/>
          <w:b/>
          <w:kern w:val="0"/>
          <w:sz w:val="24"/>
          <w:szCs w:val="24"/>
        </w:rPr>
        <w:t>恒阳</w:t>
      </w:r>
      <w:r w:rsidR="00ED4487">
        <w:rPr>
          <w:rFonts w:ascii="宋体" w:cs="宋体" w:hint="eastAsia"/>
          <w:b/>
          <w:kern w:val="0"/>
          <w:sz w:val="24"/>
          <w:szCs w:val="24"/>
        </w:rPr>
        <w:t>五</w:t>
      </w:r>
      <w:r>
        <w:rPr>
          <w:rFonts w:ascii="宋体" w:cs="宋体" w:hint="eastAsia"/>
          <w:b/>
          <w:kern w:val="0"/>
          <w:sz w:val="24"/>
          <w:szCs w:val="24"/>
        </w:rPr>
        <w:t>年定期开放混合型证券投资基金</w:t>
      </w:r>
    </w:p>
    <w:p w:rsidR="0057402A" w:rsidRPr="00F756F9" w:rsidRDefault="0057402A" w:rsidP="0057402A">
      <w:pPr>
        <w:spacing w:line="360" w:lineRule="auto"/>
        <w:jc w:val="center"/>
        <w:rPr>
          <w:b/>
          <w:sz w:val="24"/>
          <w:szCs w:val="24"/>
        </w:rPr>
      </w:pPr>
      <w:r w:rsidRPr="00F756F9">
        <w:rPr>
          <w:rFonts w:hint="eastAsia"/>
          <w:b/>
          <w:sz w:val="24"/>
          <w:szCs w:val="24"/>
        </w:rPr>
        <w:t>基金份额持有人大会表决票</w:t>
      </w:r>
    </w:p>
    <w:tbl>
      <w:tblPr>
        <w:tblW w:w="8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492"/>
        <w:gridCol w:w="3906"/>
      </w:tblGrid>
      <w:tr w:rsidR="0057402A" w:rsidRPr="00F756F9" w:rsidTr="009414EA">
        <w:trPr>
          <w:jc w:val="center"/>
        </w:trPr>
        <w:tc>
          <w:tcPr>
            <w:tcW w:w="8068" w:type="dxa"/>
            <w:gridSpan w:val="3"/>
          </w:tcPr>
          <w:p w:rsidR="0057402A" w:rsidRPr="00F756F9" w:rsidRDefault="0057402A" w:rsidP="009414EA">
            <w:pPr>
              <w:spacing w:line="360" w:lineRule="auto"/>
              <w:jc w:val="left"/>
              <w:rPr>
                <w:sz w:val="24"/>
                <w:szCs w:val="24"/>
              </w:rPr>
            </w:pPr>
            <w:r w:rsidRPr="00F756F9">
              <w:rPr>
                <w:rFonts w:hint="eastAsia"/>
                <w:sz w:val="24"/>
                <w:szCs w:val="24"/>
              </w:rPr>
              <w:t>基金份额持有人基本资料</w:t>
            </w:r>
          </w:p>
        </w:tc>
      </w:tr>
      <w:tr w:rsidR="0057402A" w:rsidRPr="00F756F9" w:rsidTr="00AC6ECC">
        <w:trPr>
          <w:jc w:val="center"/>
        </w:trPr>
        <w:tc>
          <w:tcPr>
            <w:tcW w:w="670" w:type="dxa"/>
            <w:vAlign w:val="center"/>
          </w:tcPr>
          <w:p w:rsidR="0057402A" w:rsidRPr="00F756F9" w:rsidRDefault="0057402A" w:rsidP="00AC6ECC">
            <w:pPr>
              <w:spacing w:line="360" w:lineRule="auto"/>
              <w:rPr>
                <w:sz w:val="24"/>
                <w:szCs w:val="24"/>
              </w:rPr>
            </w:pPr>
            <w:r w:rsidRPr="00F756F9">
              <w:rPr>
                <w:rFonts w:hint="eastAsia"/>
                <w:sz w:val="24"/>
                <w:szCs w:val="24"/>
              </w:rPr>
              <w:t>1</w:t>
            </w:r>
          </w:p>
        </w:tc>
        <w:tc>
          <w:tcPr>
            <w:tcW w:w="3492" w:type="dxa"/>
          </w:tcPr>
          <w:p w:rsidR="0057402A" w:rsidRPr="00F756F9" w:rsidRDefault="0057402A" w:rsidP="009414EA">
            <w:pPr>
              <w:spacing w:line="360" w:lineRule="auto"/>
              <w:jc w:val="left"/>
              <w:rPr>
                <w:sz w:val="24"/>
                <w:szCs w:val="24"/>
              </w:rPr>
            </w:pPr>
            <w:r w:rsidRPr="00F756F9">
              <w:rPr>
                <w:rFonts w:hint="eastAsia"/>
                <w:sz w:val="24"/>
                <w:szCs w:val="24"/>
              </w:rPr>
              <w:t>基金份额持有人姓名或名称：</w:t>
            </w:r>
          </w:p>
        </w:tc>
        <w:tc>
          <w:tcPr>
            <w:tcW w:w="3906" w:type="dxa"/>
          </w:tcPr>
          <w:p w:rsidR="0057402A" w:rsidRPr="00F756F9" w:rsidRDefault="0057402A" w:rsidP="009414EA">
            <w:pPr>
              <w:spacing w:line="360" w:lineRule="auto"/>
              <w:jc w:val="left"/>
              <w:rPr>
                <w:sz w:val="24"/>
                <w:szCs w:val="24"/>
              </w:rPr>
            </w:pPr>
          </w:p>
        </w:tc>
      </w:tr>
      <w:tr w:rsidR="0057402A" w:rsidRPr="00F756F9" w:rsidTr="00AC6ECC">
        <w:trPr>
          <w:jc w:val="center"/>
        </w:trPr>
        <w:tc>
          <w:tcPr>
            <w:tcW w:w="670" w:type="dxa"/>
            <w:vAlign w:val="center"/>
          </w:tcPr>
          <w:p w:rsidR="0057402A" w:rsidRPr="007E6B19" w:rsidRDefault="006E7E7E" w:rsidP="00AC6ECC">
            <w:pPr>
              <w:spacing w:line="360" w:lineRule="auto"/>
              <w:rPr>
                <w:sz w:val="24"/>
                <w:szCs w:val="24"/>
              </w:rPr>
            </w:pPr>
            <w:r>
              <w:rPr>
                <w:sz w:val="24"/>
                <w:szCs w:val="24"/>
              </w:rPr>
              <w:t>2</w:t>
            </w:r>
          </w:p>
        </w:tc>
        <w:tc>
          <w:tcPr>
            <w:tcW w:w="3492" w:type="dxa"/>
          </w:tcPr>
          <w:p w:rsidR="0057402A" w:rsidRPr="00F756F9" w:rsidRDefault="0057402A" w:rsidP="009414EA">
            <w:pPr>
              <w:jc w:val="left"/>
              <w:rPr>
                <w:sz w:val="24"/>
                <w:szCs w:val="24"/>
              </w:rPr>
            </w:pPr>
            <w:r w:rsidRPr="00F756F9">
              <w:rPr>
                <w:rFonts w:hint="eastAsia"/>
                <w:sz w:val="24"/>
                <w:szCs w:val="24"/>
              </w:rPr>
              <w:t>身份证件类型及号码：（个人投资者填写）</w:t>
            </w:r>
          </w:p>
        </w:tc>
        <w:tc>
          <w:tcPr>
            <w:tcW w:w="3906" w:type="dxa"/>
          </w:tcPr>
          <w:p w:rsidR="0057402A" w:rsidRPr="00F756F9" w:rsidRDefault="0057402A" w:rsidP="009414EA">
            <w:pPr>
              <w:spacing w:line="360" w:lineRule="auto"/>
              <w:jc w:val="left"/>
              <w:rPr>
                <w:sz w:val="24"/>
                <w:szCs w:val="24"/>
              </w:rPr>
            </w:pP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3</w:t>
            </w:r>
          </w:p>
        </w:tc>
        <w:tc>
          <w:tcPr>
            <w:tcW w:w="3492" w:type="dxa"/>
          </w:tcPr>
          <w:p w:rsidR="0057402A" w:rsidRPr="00F756F9" w:rsidRDefault="0057402A" w:rsidP="009414EA">
            <w:pPr>
              <w:jc w:val="left"/>
              <w:rPr>
                <w:sz w:val="24"/>
                <w:szCs w:val="24"/>
              </w:rPr>
            </w:pPr>
            <w:r w:rsidRPr="00F756F9">
              <w:rPr>
                <w:rFonts w:hint="eastAsia"/>
                <w:sz w:val="24"/>
                <w:szCs w:val="24"/>
              </w:rPr>
              <w:t>营业执照类型及号码：（机构投资者填写）</w:t>
            </w:r>
          </w:p>
        </w:tc>
        <w:tc>
          <w:tcPr>
            <w:tcW w:w="3906" w:type="dxa"/>
          </w:tcPr>
          <w:p w:rsidR="0057402A" w:rsidRPr="00F756F9" w:rsidRDefault="0057402A" w:rsidP="009414EA">
            <w:pPr>
              <w:spacing w:line="360" w:lineRule="auto"/>
              <w:jc w:val="left"/>
              <w:rPr>
                <w:sz w:val="24"/>
                <w:szCs w:val="24"/>
              </w:rPr>
            </w:pPr>
          </w:p>
        </w:tc>
      </w:tr>
      <w:tr w:rsidR="0057402A" w:rsidRPr="00F756F9" w:rsidTr="009414EA">
        <w:trPr>
          <w:jc w:val="center"/>
        </w:trPr>
        <w:tc>
          <w:tcPr>
            <w:tcW w:w="8068" w:type="dxa"/>
            <w:gridSpan w:val="3"/>
          </w:tcPr>
          <w:p w:rsidR="0057402A" w:rsidRPr="00F756F9" w:rsidRDefault="0057402A" w:rsidP="009414EA">
            <w:pPr>
              <w:spacing w:line="360" w:lineRule="auto"/>
              <w:jc w:val="left"/>
              <w:rPr>
                <w:sz w:val="24"/>
                <w:szCs w:val="24"/>
              </w:rPr>
            </w:pPr>
            <w:r w:rsidRPr="00F756F9">
              <w:rPr>
                <w:rFonts w:hint="eastAsia"/>
                <w:sz w:val="24"/>
                <w:szCs w:val="24"/>
              </w:rPr>
              <w:t>如基金份额持有人委托他人代为投票，请填写</w:t>
            </w: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4</w:t>
            </w:r>
          </w:p>
        </w:tc>
        <w:tc>
          <w:tcPr>
            <w:tcW w:w="3492" w:type="dxa"/>
          </w:tcPr>
          <w:p w:rsidR="0057402A" w:rsidRPr="00F756F9" w:rsidRDefault="0057402A" w:rsidP="009414EA">
            <w:pPr>
              <w:jc w:val="left"/>
              <w:rPr>
                <w:sz w:val="24"/>
                <w:szCs w:val="24"/>
              </w:rPr>
            </w:pPr>
            <w:r w:rsidRPr="00F756F9">
              <w:rPr>
                <w:rFonts w:hint="eastAsia"/>
                <w:sz w:val="24"/>
                <w:szCs w:val="24"/>
              </w:rPr>
              <w:t>代理人姓名或名称：</w:t>
            </w:r>
          </w:p>
        </w:tc>
        <w:tc>
          <w:tcPr>
            <w:tcW w:w="3906" w:type="dxa"/>
          </w:tcPr>
          <w:p w:rsidR="0057402A" w:rsidRPr="00F756F9" w:rsidRDefault="0057402A" w:rsidP="009414EA">
            <w:pPr>
              <w:jc w:val="left"/>
              <w:rPr>
                <w:sz w:val="24"/>
                <w:szCs w:val="24"/>
              </w:rPr>
            </w:pP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5</w:t>
            </w:r>
          </w:p>
        </w:tc>
        <w:tc>
          <w:tcPr>
            <w:tcW w:w="3492" w:type="dxa"/>
          </w:tcPr>
          <w:p w:rsidR="0057402A" w:rsidRPr="00F756F9" w:rsidRDefault="0057402A" w:rsidP="009414EA">
            <w:pPr>
              <w:jc w:val="left"/>
              <w:rPr>
                <w:sz w:val="24"/>
                <w:szCs w:val="24"/>
              </w:rPr>
            </w:pPr>
            <w:r w:rsidRPr="00F756F9">
              <w:rPr>
                <w:rFonts w:hint="eastAsia"/>
                <w:sz w:val="24"/>
                <w:szCs w:val="24"/>
              </w:rPr>
              <w:t>身份证件类型及号码：</w:t>
            </w:r>
          </w:p>
          <w:p w:rsidR="0057402A" w:rsidRPr="00F756F9" w:rsidRDefault="0057402A" w:rsidP="009414EA">
            <w:pPr>
              <w:jc w:val="left"/>
              <w:rPr>
                <w:sz w:val="24"/>
                <w:szCs w:val="24"/>
              </w:rPr>
            </w:pPr>
            <w:r w:rsidRPr="00F756F9">
              <w:rPr>
                <w:rFonts w:hint="eastAsia"/>
                <w:sz w:val="24"/>
                <w:szCs w:val="24"/>
              </w:rPr>
              <w:t>（如代理人为个人）</w:t>
            </w:r>
          </w:p>
        </w:tc>
        <w:tc>
          <w:tcPr>
            <w:tcW w:w="3906" w:type="dxa"/>
          </w:tcPr>
          <w:p w:rsidR="0057402A" w:rsidRPr="00F756F9" w:rsidRDefault="0057402A" w:rsidP="009414EA">
            <w:pPr>
              <w:jc w:val="left"/>
              <w:rPr>
                <w:sz w:val="24"/>
                <w:szCs w:val="24"/>
              </w:rPr>
            </w:pP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6</w:t>
            </w:r>
          </w:p>
        </w:tc>
        <w:tc>
          <w:tcPr>
            <w:tcW w:w="3492" w:type="dxa"/>
          </w:tcPr>
          <w:p w:rsidR="0057402A" w:rsidRPr="00F756F9" w:rsidRDefault="0057402A" w:rsidP="009414EA">
            <w:pPr>
              <w:jc w:val="left"/>
              <w:rPr>
                <w:sz w:val="24"/>
                <w:szCs w:val="24"/>
              </w:rPr>
            </w:pPr>
            <w:r w:rsidRPr="00F756F9">
              <w:rPr>
                <w:rFonts w:hint="eastAsia"/>
                <w:sz w:val="24"/>
                <w:szCs w:val="24"/>
              </w:rPr>
              <w:t>营业执照类型及号码：</w:t>
            </w:r>
          </w:p>
          <w:p w:rsidR="0057402A" w:rsidRPr="00F756F9" w:rsidRDefault="0057402A" w:rsidP="009414EA">
            <w:pPr>
              <w:jc w:val="left"/>
              <w:rPr>
                <w:sz w:val="24"/>
                <w:szCs w:val="24"/>
              </w:rPr>
            </w:pPr>
            <w:r w:rsidRPr="00F756F9">
              <w:rPr>
                <w:rFonts w:hint="eastAsia"/>
                <w:sz w:val="24"/>
                <w:szCs w:val="24"/>
              </w:rPr>
              <w:t>（如代理人为机构）</w:t>
            </w:r>
          </w:p>
        </w:tc>
        <w:tc>
          <w:tcPr>
            <w:tcW w:w="3906" w:type="dxa"/>
          </w:tcPr>
          <w:p w:rsidR="0057402A" w:rsidRPr="00F756F9" w:rsidRDefault="0057402A" w:rsidP="009414EA">
            <w:pPr>
              <w:jc w:val="left"/>
              <w:rPr>
                <w:sz w:val="24"/>
                <w:szCs w:val="24"/>
              </w:rPr>
            </w:pPr>
          </w:p>
        </w:tc>
      </w:tr>
      <w:tr w:rsidR="0057402A" w:rsidRPr="00F756F9" w:rsidTr="009414EA">
        <w:trPr>
          <w:jc w:val="center"/>
        </w:trPr>
        <w:tc>
          <w:tcPr>
            <w:tcW w:w="8068" w:type="dxa"/>
            <w:gridSpan w:val="3"/>
          </w:tcPr>
          <w:p w:rsidR="0057402A" w:rsidRPr="00F756F9" w:rsidRDefault="0057402A" w:rsidP="005E48C3">
            <w:pPr>
              <w:jc w:val="left"/>
              <w:rPr>
                <w:sz w:val="23"/>
                <w:szCs w:val="23"/>
              </w:rPr>
            </w:pPr>
            <w:r w:rsidRPr="00F756F9">
              <w:rPr>
                <w:rFonts w:hint="eastAsia"/>
                <w:sz w:val="24"/>
                <w:szCs w:val="24"/>
              </w:rPr>
              <w:t>表决意见：《</w:t>
            </w:r>
            <w:r w:rsidRPr="00F67514">
              <w:rPr>
                <w:rFonts w:hint="eastAsia"/>
                <w:sz w:val="24"/>
                <w:szCs w:val="24"/>
              </w:rPr>
              <w:t>关于</w:t>
            </w:r>
            <w:r w:rsidR="00A42367">
              <w:rPr>
                <w:rFonts w:hint="eastAsia"/>
                <w:sz w:val="24"/>
                <w:szCs w:val="24"/>
              </w:rPr>
              <w:t>东方红</w:t>
            </w:r>
            <w:r w:rsidR="00597A80">
              <w:rPr>
                <w:rFonts w:hint="eastAsia"/>
                <w:sz w:val="24"/>
                <w:szCs w:val="24"/>
              </w:rPr>
              <w:t>恒阳</w:t>
            </w:r>
            <w:r w:rsidR="00ED4487">
              <w:rPr>
                <w:rFonts w:hint="eastAsia"/>
                <w:sz w:val="24"/>
                <w:szCs w:val="24"/>
              </w:rPr>
              <w:t>五</w:t>
            </w:r>
            <w:r w:rsidR="00A42367">
              <w:rPr>
                <w:rFonts w:hint="eastAsia"/>
                <w:sz w:val="24"/>
                <w:szCs w:val="24"/>
              </w:rPr>
              <w:t>年定期开放混合型证券投资基金</w:t>
            </w:r>
            <w:r w:rsidR="00F67514" w:rsidRPr="00F67514">
              <w:rPr>
                <w:rFonts w:hint="eastAsia"/>
                <w:sz w:val="24"/>
                <w:szCs w:val="24"/>
              </w:rPr>
              <w:t>转型及修改基金合同有关事项的议案</w:t>
            </w:r>
            <w:r w:rsidRPr="00F756F9">
              <w:rPr>
                <w:rFonts w:hint="eastAsia"/>
                <w:sz w:val="24"/>
                <w:szCs w:val="24"/>
              </w:rPr>
              <w:t>》（</w:t>
            </w:r>
            <w:r w:rsidRPr="00F67514">
              <w:rPr>
                <w:rFonts w:hint="eastAsia"/>
                <w:sz w:val="24"/>
                <w:szCs w:val="24"/>
              </w:rPr>
              <w:t>请在意见栏右方</w:t>
            </w:r>
            <w:r w:rsidRPr="00F756F9">
              <w:rPr>
                <w:rFonts w:ascii="宋体" w:cs="宋体" w:hint="eastAsia"/>
                <w:kern w:val="0"/>
                <w:sz w:val="24"/>
                <w:szCs w:val="24"/>
              </w:rPr>
              <w:t>划“√”</w:t>
            </w:r>
            <w:r w:rsidRPr="00F756F9">
              <w:rPr>
                <w:rFonts w:hint="eastAsia"/>
                <w:sz w:val="24"/>
                <w:szCs w:val="24"/>
              </w:rPr>
              <w:t>）</w:t>
            </w:r>
          </w:p>
        </w:tc>
      </w:tr>
      <w:tr w:rsidR="0057402A" w:rsidRPr="00F756F9" w:rsidTr="00AC6ECC">
        <w:trPr>
          <w:jc w:val="center"/>
        </w:trPr>
        <w:tc>
          <w:tcPr>
            <w:tcW w:w="670" w:type="dxa"/>
            <w:vMerge w:val="restart"/>
            <w:vAlign w:val="center"/>
          </w:tcPr>
          <w:p w:rsidR="0057402A" w:rsidRPr="00F756F9" w:rsidRDefault="006E7E7E" w:rsidP="00AC6ECC">
            <w:pPr>
              <w:spacing w:line="360" w:lineRule="auto"/>
              <w:rPr>
                <w:sz w:val="24"/>
                <w:szCs w:val="24"/>
              </w:rPr>
            </w:pPr>
            <w:r>
              <w:rPr>
                <w:sz w:val="24"/>
                <w:szCs w:val="24"/>
              </w:rPr>
              <w:t>7</w:t>
            </w:r>
          </w:p>
        </w:tc>
        <w:tc>
          <w:tcPr>
            <w:tcW w:w="3492" w:type="dxa"/>
          </w:tcPr>
          <w:p w:rsidR="0057402A" w:rsidRPr="00F756F9" w:rsidRDefault="0057402A" w:rsidP="009414EA">
            <w:pPr>
              <w:spacing w:line="360" w:lineRule="auto"/>
              <w:jc w:val="center"/>
              <w:rPr>
                <w:sz w:val="24"/>
                <w:szCs w:val="24"/>
              </w:rPr>
            </w:pPr>
            <w:r w:rsidRPr="00F756F9">
              <w:rPr>
                <w:rFonts w:hint="eastAsia"/>
                <w:sz w:val="24"/>
                <w:szCs w:val="24"/>
              </w:rPr>
              <w:t>同意</w:t>
            </w:r>
          </w:p>
        </w:tc>
        <w:tc>
          <w:tcPr>
            <w:tcW w:w="3906" w:type="dxa"/>
          </w:tcPr>
          <w:p w:rsidR="0057402A" w:rsidRPr="00F756F9" w:rsidRDefault="0057402A" w:rsidP="009414EA">
            <w:pPr>
              <w:spacing w:line="360" w:lineRule="auto"/>
              <w:jc w:val="left"/>
              <w:rPr>
                <w:sz w:val="24"/>
                <w:szCs w:val="24"/>
              </w:rPr>
            </w:pPr>
          </w:p>
        </w:tc>
      </w:tr>
      <w:tr w:rsidR="0057402A" w:rsidRPr="00F756F9" w:rsidTr="009414EA">
        <w:trPr>
          <w:jc w:val="center"/>
        </w:trPr>
        <w:tc>
          <w:tcPr>
            <w:tcW w:w="670" w:type="dxa"/>
            <w:vMerge/>
          </w:tcPr>
          <w:p w:rsidR="0057402A" w:rsidRPr="00F756F9" w:rsidRDefault="0057402A" w:rsidP="009414EA">
            <w:pPr>
              <w:spacing w:line="360" w:lineRule="auto"/>
              <w:jc w:val="left"/>
              <w:rPr>
                <w:sz w:val="24"/>
                <w:szCs w:val="24"/>
              </w:rPr>
            </w:pPr>
          </w:p>
        </w:tc>
        <w:tc>
          <w:tcPr>
            <w:tcW w:w="3492" w:type="dxa"/>
          </w:tcPr>
          <w:p w:rsidR="0057402A" w:rsidRPr="00F756F9" w:rsidRDefault="0057402A" w:rsidP="009414EA">
            <w:pPr>
              <w:spacing w:line="360" w:lineRule="auto"/>
              <w:jc w:val="center"/>
              <w:rPr>
                <w:sz w:val="24"/>
                <w:szCs w:val="24"/>
              </w:rPr>
            </w:pPr>
            <w:r w:rsidRPr="00F756F9">
              <w:rPr>
                <w:rFonts w:hint="eastAsia"/>
                <w:sz w:val="24"/>
                <w:szCs w:val="24"/>
              </w:rPr>
              <w:t>反对</w:t>
            </w:r>
          </w:p>
        </w:tc>
        <w:tc>
          <w:tcPr>
            <w:tcW w:w="3906" w:type="dxa"/>
          </w:tcPr>
          <w:p w:rsidR="0057402A" w:rsidRPr="00F756F9" w:rsidRDefault="0057402A" w:rsidP="009414EA">
            <w:pPr>
              <w:spacing w:line="360" w:lineRule="auto"/>
              <w:jc w:val="left"/>
              <w:rPr>
                <w:sz w:val="24"/>
                <w:szCs w:val="24"/>
              </w:rPr>
            </w:pPr>
          </w:p>
        </w:tc>
      </w:tr>
      <w:tr w:rsidR="0057402A" w:rsidRPr="00F756F9" w:rsidTr="009414EA">
        <w:trPr>
          <w:jc w:val="center"/>
        </w:trPr>
        <w:tc>
          <w:tcPr>
            <w:tcW w:w="670" w:type="dxa"/>
            <w:vMerge/>
          </w:tcPr>
          <w:p w:rsidR="0057402A" w:rsidRPr="00F756F9" w:rsidRDefault="0057402A" w:rsidP="009414EA">
            <w:pPr>
              <w:spacing w:line="360" w:lineRule="auto"/>
              <w:jc w:val="left"/>
              <w:rPr>
                <w:sz w:val="24"/>
                <w:szCs w:val="24"/>
              </w:rPr>
            </w:pPr>
          </w:p>
        </w:tc>
        <w:tc>
          <w:tcPr>
            <w:tcW w:w="3492" w:type="dxa"/>
          </w:tcPr>
          <w:p w:rsidR="0057402A" w:rsidRPr="00F756F9" w:rsidRDefault="0057402A" w:rsidP="009414EA">
            <w:pPr>
              <w:spacing w:line="360" w:lineRule="auto"/>
              <w:jc w:val="center"/>
              <w:rPr>
                <w:sz w:val="24"/>
                <w:szCs w:val="24"/>
              </w:rPr>
            </w:pPr>
            <w:r w:rsidRPr="00F756F9">
              <w:rPr>
                <w:rFonts w:hint="eastAsia"/>
                <w:sz w:val="24"/>
                <w:szCs w:val="24"/>
              </w:rPr>
              <w:t>弃权</w:t>
            </w:r>
          </w:p>
        </w:tc>
        <w:tc>
          <w:tcPr>
            <w:tcW w:w="3906" w:type="dxa"/>
          </w:tcPr>
          <w:p w:rsidR="0057402A" w:rsidRPr="00F756F9" w:rsidRDefault="0057402A" w:rsidP="009414EA">
            <w:pPr>
              <w:spacing w:line="360" w:lineRule="auto"/>
              <w:jc w:val="left"/>
              <w:rPr>
                <w:sz w:val="24"/>
                <w:szCs w:val="24"/>
              </w:rPr>
            </w:pPr>
          </w:p>
        </w:tc>
      </w:tr>
      <w:tr w:rsidR="0057402A" w:rsidRPr="00F756F9" w:rsidTr="009414EA">
        <w:trPr>
          <w:jc w:val="center"/>
        </w:trPr>
        <w:tc>
          <w:tcPr>
            <w:tcW w:w="8068" w:type="dxa"/>
            <w:gridSpan w:val="3"/>
          </w:tcPr>
          <w:p w:rsidR="0057402A" w:rsidRPr="00F756F9" w:rsidRDefault="0057402A" w:rsidP="009414EA">
            <w:pPr>
              <w:spacing w:line="360" w:lineRule="auto"/>
              <w:jc w:val="left"/>
              <w:rPr>
                <w:sz w:val="24"/>
                <w:szCs w:val="24"/>
              </w:rPr>
            </w:pPr>
            <w:r w:rsidRPr="00F756F9">
              <w:rPr>
                <w:rFonts w:hint="eastAsia"/>
                <w:sz w:val="24"/>
                <w:szCs w:val="24"/>
              </w:rPr>
              <w:t>签字或盖章</w:t>
            </w:r>
          </w:p>
        </w:tc>
      </w:tr>
      <w:tr w:rsidR="0057402A" w:rsidRPr="00F756F9" w:rsidTr="00AC6ECC">
        <w:trPr>
          <w:jc w:val="center"/>
        </w:trPr>
        <w:tc>
          <w:tcPr>
            <w:tcW w:w="670" w:type="dxa"/>
            <w:vAlign w:val="center"/>
          </w:tcPr>
          <w:p w:rsidR="0057402A" w:rsidRPr="00F756F9" w:rsidRDefault="006E7E7E" w:rsidP="00AC6ECC">
            <w:pPr>
              <w:spacing w:line="360" w:lineRule="auto"/>
              <w:rPr>
                <w:sz w:val="24"/>
                <w:szCs w:val="24"/>
              </w:rPr>
            </w:pPr>
            <w:r>
              <w:rPr>
                <w:sz w:val="24"/>
                <w:szCs w:val="24"/>
              </w:rPr>
              <w:t>8</w:t>
            </w:r>
          </w:p>
        </w:tc>
        <w:tc>
          <w:tcPr>
            <w:tcW w:w="7398" w:type="dxa"/>
            <w:gridSpan w:val="2"/>
          </w:tcPr>
          <w:p w:rsidR="0057402A" w:rsidRPr="00F756F9" w:rsidRDefault="0057402A" w:rsidP="009414EA">
            <w:pPr>
              <w:spacing w:line="360" w:lineRule="auto"/>
              <w:jc w:val="left"/>
              <w:rPr>
                <w:sz w:val="24"/>
                <w:szCs w:val="24"/>
              </w:rPr>
            </w:pPr>
            <w:r w:rsidRPr="00F756F9">
              <w:rPr>
                <w:rFonts w:hint="eastAsia"/>
                <w:sz w:val="24"/>
                <w:szCs w:val="24"/>
              </w:rPr>
              <w:t>基金份额持有人</w:t>
            </w:r>
            <w:r w:rsidRPr="00F756F9">
              <w:rPr>
                <w:rFonts w:hint="eastAsia"/>
                <w:sz w:val="24"/>
                <w:szCs w:val="24"/>
              </w:rPr>
              <w:t>/</w:t>
            </w:r>
            <w:r w:rsidRPr="00F756F9">
              <w:rPr>
                <w:rFonts w:hint="eastAsia"/>
                <w:sz w:val="24"/>
                <w:szCs w:val="24"/>
              </w:rPr>
              <w:t>代理人签字或盖章：</w:t>
            </w:r>
          </w:p>
          <w:p w:rsidR="00DD5703" w:rsidRPr="00F756F9" w:rsidRDefault="00DD5703" w:rsidP="009414EA">
            <w:pPr>
              <w:spacing w:line="360" w:lineRule="auto"/>
              <w:jc w:val="left"/>
              <w:rPr>
                <w:sz w:val="24"/>
                <w:szCs w:val="24"/>
              </w:rPr>
            </w:pPr>
          </w:p>
          <w:p w:rsidR="0057402A" w:rsidRPr="00F756F9" w:rsidRDefault="0057402A" w:rsidP="009414EA">
            <w:pPr>
              <w:wordWrap w:val="0"/>
              <w:spacing w:line="360" w:lineRule="auto"/>
              <w:jc w:val="right"/>
              <w:rPr>
                <w:sz w:val="24"/>
                <w:szCs w:val="24"/>
              </w:rPr>
            </w:pPr>
          </w:p>
          <w:p w:rsidR="0057402A" w:rsidRPr="00F756F9" w:rsidRDefault="0057402A" w:rsidP="009414EA">
            <w:pPr>
              <w:spacing w:line="360" w:lineRule="auto"/>
              <w:ind w:right="480" w:firstLineChars="2100" w:firstLine="5040"/>
              <w:rPr>
                <w:sz w:val="24"/>
                <w:szCs w:val="24"/>
              </w:rPr>
            </w:pPr>
            <w:r w:rsidRPr="00F756F9">
              <w:rPr>
                <w:rFonts w:hint="eastAsia"/>
                <w:sz w:val="24"/>
                <w:szCs w:val="24"/>
              </w:rPr>
              <w:t>年</w:t>
            </w:r>
            <w:r w:rsidRPr="00F756F9">
              <w:rPr>
                <w:rFonts w:hint="eastAsia"/>
                <w:sz w:val="24"/>
                <w:szCs w:val="24"/>
              </w:rPr>
              <w:t xml:space="preserve"> </w:t>
            </w:r>
            <w:r>
              <w:rPr>
                <w:rFonts w:hint="eastAsia"/>
                <w:sz w:val="24"/>
                <w:szCs w:val="24"/>
              </w:rPr>
              <w:t xml:space="preserve"> </w:t>
            </w:r>
            <w:r w:rsidRPr="00F756F9">
              <w:rPr>
                <w:rFonts w:hint="eastAsia"/>
                <w:sz w:val="24"/>
                <w:szCs w:val="24"/>
              </w:rPr>
              <w:t xml:space="preserve"> </w:t>
            </w:r>
            <w:r w:rsidRPr="00F756F9">
              <w:rPr>
                <w:rFonts w:hint="eastAsia"/>
                <w:sz w:val="24"/>
                <w:szCs w:val="24"/>
              </w:rPr>
              <w:t>月</w:t>
            </w:r>
            <w:r w:rsidRPr="00F756F9">
              <w:rPr>
                <w:rFonts w:hint="eastAsia"/>
                <w:sz w:val="24"/>
                <w:szCs w:val="24"/>
              </w:rPr>
              <w:t xml:space="preserve">  </w:t>
            </w:r>
            <w:r>
              <w:rPr>
                <w:rFonts w:hint="eastAsia"/>
                <w:sz w:val="24"/>
                <w:szCs w:val="24"/>
              </w:rPr>
              <w:t xml:space="preserve"> </w:t>
            </w:r>
            <w:r w:rsidRPr="00F756F9">
              <w:rPr>
                <w:rFonts w:hint="eastAsia"/>
                <w:sz w:val="24"/>
                <w:szCs w:val="24"/>
              </w:rPr>
              <w:t>日</w:t>
            </w:r>
          </w:p>
        </w:tc>
      </w:tr>
    </w:tbl>
    <w:p w:rsidR="0057402A" w:rsidRPr="00F756F9" w:rsidRDefault="0057402A" w:rsidP="0057402A">
      <w:pPr>
        <w:jc w:val="center"/>
        <w:rPr>
          <w:sz w:val="24"/>
          <w:szCs w:val="24"/>
        </w:rPr>
      </w:pPr>
      <w:r w:rsidRPr="00F756F9">
        <w:rPr>
          <w:rFonts w:hint="eastAsia"/>
          <w:sz w:val="24"/>
          <w:szCs w:val="24"/>
        </w:rPr>
        <w:t>（本表决票可</w:t>
      </w:r>
      <w:r>
        <w:rPr>
          <w:rFonts w:hint="eastAsia"/>
          <w:sz w:val="24"/>
          <w:szCs w:val="24"/>
        </w:rPr>
        <w:t>打印</w:t>
      </w:r>
      <w:r w:rsidRPr="00F756F9">
        <w:rPr>
          <w:rFonts w:hint="eastAsia"/>
          <w:sz w:val="24"/>
          <w:szCs w:val="24"/>
        </w:rPr>
        <w:t>，在填写完整并签字盖章后均为有效）</w:t>
      </w:r>
    </w:p>
    <w:p w:rsidR="0057402A" w:rsidRPr="00F756F9" w:rsidRDefault="0057402A" w:rsidP="0057402A">
      <w:pPr>
        <w:pStyle w:val="Default"/>
        <w:rPr>
          <w:rFonts w:hAnsi="宋体"/>
        </w:rPr>
      </w:pPr>
      <w:r w:rsidRPr="00F756F9">
        <w:rPr>
          <w:rFonts w:hAnsi="宋体" w:hint="eastAsia"/>
        </w:rPr>
        <w:t>关于表决票的填写说明：</w:t>
      </w:r>
    </w:p>
    <w:p w:rsidR="0057402A" w:rsidRDefault="0057402A" w:rsidP="0057402A">
      <w:pPr>
        <w:pStyle w:val="Default"/>
        <w:rPr>
          <w:rFonts w:hAnsi="宋体"/>
        </w:rPr>
      </w:pPr>
      <w:r w:rsidRPr="0070727A">
        <w:rPr>
          <w:rFonts w:hAnsi="宋体" w:hint="eastAsia"/>
        </w:rPr>
        <w:t>请以打“√”方式在表格对应位置注明表决意见。基金份额持有人必须选择一种且只能选择一种表决意见。表决意见代表基金份额持有人所持全部基金份额的表决意见。表决意见效力的认定规则请详细阅读本次大会公告附件三。</w:t>
      </w:r>
    </w:p>
    <w:p w:rsidR="0057402A" w:rsidRPr="00F756F9" w:rsidRDefault="0057402A" w:rsidP="0057402A">
      <w:pPr>
        <w:pStyle w:val="1"/>
        <w:rPr>
          <w:rFonts w:ascii="宋体" w:cs="宋体"/>
          <w:b w:val="0"/>
          <w:kern w:val="0"/>
          <w:sz w:val="28"/>
          <w:szCs w:val="28"/>
        </w:rPr>
      </w:pPr>
      <w:r w:rsidRPr="00F756F9">
        <w:rPr>
          <w:rFonts w:ascii="宋体" w:cs="宋体"/>
          <w:b w:val="0"/>
          <w:kern w:val="0"/>
          <w:sz w:val="28"/>
          <w:szCs w:val="28"/>
        </w:rPr>
        <w:br w:type="page"/>
      </w:r>
      <w:bookmarkStart w:id="1" w:name="_GoBack"/>
      <w:bookmarkEnd w:id="1"/>
      <w:r w:rsidRPr="0057402A">
        <w:rPr>
          <w:rFonts w:hint="eastAsia"/>
          <w:sz w:val="32"/>
          <w:szCs w:val="32"/>
        </w:rPr>
        <w:t>附件五：</w:t>
      </w:r>
    </w:p>
    <w:p w:rsidR="0057402A" w:rsidRPr="00F756F9" w:rsidRDefault="0057402A" w:rsidP="0057402A">
      <w:pPr>
        <w:autoSpaceDE w:val="0"/>
        <w:autoSpaceDN w:val="0"/>
        <w:adjustRightInd w:val="0"/>
        <w:spacing w:line="360" w:lineRule="auto"/>
        <w:jc w:val="center"/>
        <w:rPr>
          <w:rFonts w:ascii="宋体" w:cs="宋体"/>
          <w:b/>
          <w:kern w:val="0"/>
          <w:sz w:val="28"/>
          <w:szCs w:val="28"/>
        </w:rPr>
      </w:pPr>
      <w:r w:rsidRPr="00F756F9">
        <w:rPr>
          <w:rFonts w:ascii="宋体" w:cs="宋体" w:hint="eastAsia"/>
          <w:b/>
          <w:kern w:val="0"/>
          <w:sz w:val="28"/>
          <w:szCs w:val="28"/>
        </w:rPr>
        <w:t>授权委托书</w:t>
      </w:r>
    </w:p>
    <w:p w:rsidR="0057402A" w:rsidRPr="00F756F9" w:rsidRDefault="0057402A" w:rsidP="0057402A">
      <w:pPr>
        <w:autoSpaceDE w:val="0"/>
        <w:autoSpaceDN w:val="0"/>
        <w:adjustRightInd w:val="0"/>
        <w:spacing w:line="360" w:lineRule="auto"/>
        <w:ind w:firstLineChars="200" w:firstLine="480"/>
        <w:jc w:val="left"/>
        <w:rPr>
          <w:rFonts w:cs="宋体"/>
          <w:kern w:val="0"/>
          <w:sz w:val="24"/>
        </w:rPr>
      </w:pPr>
      <w:r w:rsidRPr="00F756F9">
        <w:rPr>
          <w:rFonts w:cs="宋体" w:hint="eastAsia"/>
          <w:kern w:val="0"/>
          <w:sz w:val="24"/>
        </w:rPr>
        <w:t>本人（或本机构）持有</w:t>
      </w:r>
      <w:r w:rsidR="00A42367">
        <w:rPr>
          <w:rFonts w:ascii="Arial Unicode MS" w:hAnsi="Arial Unicode MS" w:hint="eastAsia"/>
          <w:sz w:val="24"/>
        </w:rPr>
        <w:t>东方红</w:t>
      </w:r>
      <w:r w:rsidR="00597A80">
        <w:rPr>
          <w:rFonts w:ascii="Arial Unicode MS" w:hAnsi="Arial Unicode MS" w:hint="eastAsia"/>
          <w:sz w:val="24"/>
        </w:rPr>
        <w:t>恒阳</w:t>
      </w:r>
      <w:r w:rsidR="00ED4487">
        <w:rPr>
          <w:rFonts w:ascii="Arial Unicode MS" w:hAnsi="Arial Unicode MS" w:hint="eastAsia"/>
          <w:sz w:val="24"/>
        </w:rPr>
        <w:t>五</w:t>
      </w:r>
      <w:r w:rsidR="00A42367">
        <w:rPr>
          <w:rFonts w:ascii="Arial Unicode MS" w:hAnsi="Arial Unicode MS" w:hint="eastAsia"/>
          <w:sz w:val="24"/>
        </w:rPr>
        <w:t>年定期开放混合型证券投资基金</w:t>
      </w:r>
      <w:r w:rsidRPr="00F756F9">
        <w:rPr>
          <w:rFonts w:cs="宋体" w:hint="eastAsia"/>
          <w:kern w:val="0"/>
          <w:sz w:val="24"/>
        </w:rPr>
        <w:t>（以下简称“本基金”）的</w:t>
      </w:r>
      <w:r w:rsidRPr="00F756F9">
        <w:rPr>
          <w:rFonts w:ascii="宋体" w:hAnsi="宋体" w:cs="宋体" w:hint="eastAsia"/>
          <w:kern w:val="0"/>
          <w:sz w:val="24"/>
        </w:rPr>
        <w:t>基金份额，就</w:t>
      </w:r>
      <w:r w:rsidRPr="00F756F9">
        <w:rPr>
          <w:rFonts w:cs="宋体" w:hint="eastAsia"/>
          <w:kern w:val="0"/>
          <w:sz w:val="24"/>
        </w:rPr>
        <w:t>需基金份额持有人大会审议</w:t>
      </w:r>
      <w:r>
        <w:rPr>
          <w:rFonts w:cs="宋体" w:hint="eastAsia"/>
          <w:kern w:val="0"/>
          <w:sz w:val="24"/>
        </w:rPr>
        <w:t>的《</w:t>
      </w:r>
      <w:r w:rsidRPr="003878BF">
        <w:rPr>
          <w:rFonts w:cs="宋体" w:hint="eastAsia"/>
          <w:kern w:val="0"/>
          <w:sz w:val="24"/>
        </w:rPr>
        <w:t>关于</w:t>
      </w:r>
      <w:r w:rsidR="00A42367">
        <w:rPr>
          <w:rFonts w:cs="宋体" w:hint="eastAsia"/>
          <w:kern w:val="0"/>
          <w:sz w:val="24"/>
        </w:rPr>
        <w:t>东方红</w:t>
      </w:r>
      <w:r w:rsidR="00597A80">
        <w:rPr>
          <w:rFonts w:cs="宋体" w:hint="eastAsia"/>
          <w:kern w:val="0"/>
          <w:sz w:val="24"/>
        </w:rPr>
        <w:t>恒阳</w:t>
      </w:r>
      <w:r w:rsidR="00ED4487">
        <w:rPr>
          <w:rFonts w:cs="宋体" w:hint="eastAsia"/>
          <w:kern w:val="0"/>
          <w:sz w:val="24"/>
        </w:rPr>
        <w:t>五</w:t>
      </w:r>
      <w:r w:rsidR="00A42367">
        <w:rPr>
          <w:rFonts w:cs="宋体" w:hint="eastAsia"/>
          <w:kern w:val="0"/>
          <w:sz w:val="24"/>
        </w:rPr>
        <w:t>年定期开放混合型证券投资基金</w:t>
      </w:r>
      <w:r w:rsidR="006E440F">
        <w:rPr>
          <w:rFonts w:cs="宋体" w:hint="eastAsia"/>
          <w:kern w:val="0"/>
          <w:sz w:val="24"/>
        </w:rPr>
        <w:t>转型及</w:t>
      </w:r>
      <w:r w:rsidR="002B3FE2">
        <w:rPr>
          <w:rFonts w:cs="宋体" w:hint="eastAsia"/>
          <w:kern w:val="0"/>
          <w:sz w:val="24"/>
        </w:rPr>
        <w:t>修改基金合同</w:t>
      </w:r>
      <w:r w:rsidR="006E440F">
        <w:rPr>
          <w:rFonts w:cs="宋体" w:hint="eastAsia"/>
          <w:kern w:val="0"/>
          <w:sz w:val="24"/>
        </w:rPr>
        <w:t>有关事项</w:t>
      </w:r>
      <w:r>
        <w:rPr>
          <w:rFonts w:cs="宋体" w:hint="eastAsia"/>
          <w:kern w:val="0"/>
          <w:sz w:val="24"/>
        </w:rPr>
        <w:t>的</w:t>
      </w:r>
      <w:r w:rsidRPr="003878BF">
        <w:rPr>
          <w:rFonts w:cs="宋体" w:hint="eastAsia"/>
          <w:kern w:val="0"/>
          <w:sz w:val="24"/>
        </w:rPr>
        <w:t>议案</w:t>
      </w:r>
      <w:r>
        <w:rPr>
          <w:rFonts w:cs="宋体" w:hint="eastAsia"/>
          <w:kern w:val="0"/>
          <w:sz w:val="24"/>
        </w:rPr>
        <w:t>》</w:t>
      </w:r>
      <w:r w:rsidRPr="00F756F9">
        <w:rPr>
          <w:rFonts w:cs="宋体" w:hint="eastAsia"/>
          <w:kern w:val="0"/>
          <w:sz w:val="24"/>
        </w:rPr>
        <w:t>，本人（或本机构）的意见为（请在意见栏下方划“√”）：</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340"/>
        <w:gridCol w:w="2412"/>
      </w:tblGrid>
      <w:tr w:rsidR="0057402A" w:rsidRPr="00F756F9" w:rsidTr="00AC6ECC">
        <w:tc>
          <w:tcPr>
            <w:tcW w:w="2448" w:type="dxa"/>
            <w:vAlign w:val="center"/>
          </w:tcPr>
          <w:p w:rsidR="0057402A" w:rsidRPr="00F756F9" w:rsidRDefault="0057402A" w:rsidP="00AC6ECC">
            <w:pPr>
              <w:tabs>
                <w:tab w:val="left" w:pos="720"/>
              </w:tabs>
              <w:autoSpaceDE w:val="0"/>
              <w:autoSpaceDN w:val="0"/>
              <w:adjustRightInd w:val="0"/>
              <w:snapToGrid w:val="0"/>
              <w:spacing w:line="360" w:lineRule="auto"/>
              <w:jc w:val="center"/>
              <w:rPr>
                <w:rFonts w:cs="楷体_GB2312"/>
                <w:b/>
                <w:kern w:val="0"/>
                <w:sz w:val="24"/>
                <w:lang w:val="zh-CN"/>
              </w:rPr>
            </w:pPr>
            <w:r w:rsidRPr="00F756F9">
              <w:rPr>
                <w:rFonts w:cs="楷体_GB2312" w:hint="eastAsia"/>
                <w:b/>
                <w:kern w:val="0"/>
                <w:sz w:val="24"/>
                <w:lang w:val="zh-CN"/>
              </w:rPr>
              <w:t>同意</w:t>
            </w:r>
          </w:p>
        </w:tc>
        <w:tc>
          <w:tcPr>
            <w:tcW w:w="2340" w:type="dxa"/>
            <w:vAlign w:val="center"/>
          </w:tcPr>
          <w:p w:rsidR="0057402A" w:rsidRPr="00F756F9" w:rsidRDefault="0057402A" w:rsidP="00AC6ECC">
            <w:pPr>
              <w:tabs>
                <w:tab w:val="left" w:pos="720"/>
              </w:tabs>
              <w:autoSpaceDE w:val="0"/>
              <w:autoSpaceDN w:val="0"/>
              <w:adjustRightInd w:val="0"/>
              <w:snapToGrid w:val="0"/>
              <w:spacing w:line="360" w:lineRule="auto"/>
              <w:jc w:val="center"/>
              <w:rPr>
                <w:rFonts w:cs="楷体_GB2312"/>
                <w:b/>
                <w:kern w:val="0"/>
                <w:sz w:val="24"/>
                <w:lang w:val="zh-CN"/>
              </w:rPr>
            </w:pPr>
            <w:r w:rsidRPr="00F756F9">
              <w:rPr>
                <w:rFonts w:cs="楷体_GB2312" w:hint="eastAsia"/>
                <w:b/>
                <w:kern w:val="0"/>
                <w:sz w:val="24"/>
                <w:lang w:val="zh-CN"/>
              </w:rPr>
              <w:t>反对</w:t>
            </w:r>
          </w:p>
        </w:tc>
        <w:tc>
          <w:tcPr>
            <w:tcW w:w="2412" w:type="dxa"/>
            <w:vAlign w:val="center"/>
          </w:tcPr>
          <w:p w:rsidR="0057402A" w:rsidRPr="00F756F9" w:rsidRDefault="0057402A" w:rsidP="00AC6ECC">
            <w:pPr>
              <w:tabs>
                <w:tab w:val="left" w:pos="720"/>
              </w:tabs>
              <w:autoSpaceDE w:val="0"/>
              <w:autoSpaceDN w:val="0"/>
              <w:adjustRightInd w:val="0"/>
              <w:snapToGrid w:val="0"/>
              <w:spacing w:line="360" w:lineRule="auto"/>
              <w:jc w:val="center"/>
              <w:rPr>
                <w:rFonts w:cs="楷体_GB2312"/>
                <w:b/>
                <w:kern w:val="0"/>
                <w:sz w:val="24"/>
                <w:lang w:val="zh-CN"/>
              </w:rPr>
            </w:pPr>
            <w:r w:rsidRPr="00F756F9">
              <w:rPr>
                <w:rFonts w:cs="楷体_GB2312" w:hint="eastAsia"/>
                <w:b/>
                <w:kern w:val="0"/>
                <w:sz w:val="24"/>
                <w:lang w:val="zh-CN"/>
              </w:rPr>
              <w:t>弃权</w:t>
            </w:r>
          </w:p>
        </w:tc>
      </w:tr>
      <w:tr w:rsidR="0057402A" w:rsidRPr="00F756F9" w:rsidTr="009414EA">
        <w:tc>
          <w:tcPr>
            <w:tcW w:w="2448" w:type="dxa"/>
            <w:vAlign w:val="center"/>
          </w:tcPr>
          <w:p w:rsidR="0057402A" w:rsidRPr="00F756F9" w:rsidRDefault="0057402A" w:rsidP="009414EA">
            <w:pPr>
              <w:tabs>
                <w:tab w:val="left" w:pos="720"/>
              </w:tabs>
              <w:autoSpaceDE w:val="0"/>
              <w:autoSpaceDN w:val="0"/>
              <w:adjustRightInd w:val="0"/>
              <w:snapToGrid w:val="0"/>
              <w:spacing w:line="360" w:lineRule="auto"/>
              <w:jc w:val="center"/>
              <w:rPr>
                <w:rFonts w:cs="楷体_GB2312"/>
                <w:color w:val="000080"/>
                <w:kern w:val="0"/>
                <w:sz w:val="24"/>
                <w:lang w:val="zh-CN"/>
              </w:rPr>
            </w:pPr>
          </w:p>
          <w:p w:rsidR="0057402A" w:rsidRPr="00F756F9" w:rsidRDefault="0057402A" w:rsidP="009414EA">
            <w:pPr>
              <w:tabs>
                <w:tab w:val="left" w:pos="720"/>
              </w:tabs>
              <w:autoSpaceDE w:val="0"/>
              <w:autoSpaceDN w:val="0"/>
              <w:adjustRightInd w:val="0"/>
              <w:snapToGrid w:val="0"/>
              <w:spacing w:line="360" w:lineRule="auto"/>
              <w:jc w:val="center"/>
              <w:rPr>
                <w:rFonts w:cs="楷体_GB2312"/>
                <w:color w:val="000080"/>
                <w:kern w:val="0"/>
                <w:sz w:val="24"/>
                <w:lang w:val="zh-CN"/>
              </w:rPr>
            </w:pPr>
          </w:p>
        </w:tc>
        <w:tc>
          <w:tcPr>
            <w:tcW w:w="2340" w:type="dxa"/>
            <w:vAlign w:val="center"/>
          </w:tcPr>
          <w:p w:rsidR="0057402A" w:rsidRPr="00F756F9" w:rsidRDefault="0057402A" w:rsidP="009414EA">
            <w:pPr>
              <w:tabs>
                <w:tab w:val="left" w:pos="720"/>
              </w:tabs>
              <w:autoSpaceDE w:val="0"/>
              <w:autoSpaceDN w:val="0"/>
              <w:adjustRightInd w:val="0"/>
              <w:snapToGrid w:val="0"/>
              <w:spacing w:line="360" w:lineRule="auto"/>
              <w:jc w:val="center"/>
              <w:rPr>
                <w:rFonts w:cs="楷体_GB2312"/>
                <w:b/>
                <w:bCs/>
                <w:color w:val="000080"/>
                <w:kern w:val="0"/>
                <w:sz w:val="24"/>
                <w:lang w:val="zh-CN"/>
              </w:rPr>
            </w:pPr>
          </w:p>
        </w:tc>
        <w:tc>
          <w:tcPr>
            <w:tcW w:w="2412" w:type="dxa"/>
            <w:vAlign w:val="center"/>
          </w:tcPr>
          <w:p w:rsidR="0057402A" w:rsidRPr="00F756F9" w:rsidRDefault="0057402A" w:rsidP="009414EA">
            <w:pPr>
              <w:tabs>
                <w:tab w:val="left" w:pos="720"/>
              </w:tabs>
              <w:autoSpaceDE w:val="0"/>
              <w:autoSpaceDN w:val="0"/>
              <w:adjustRightInd w:val="0"/>
              <w:snapToGrid w:val="0"/>
              <w:spacing w:line="360" w:lineRule="auto"/>
              <w:jc w:val="center"/>
              <w:rPr>
                <w:rFonts w:cs="楷体_GB2312"/>
                <w:b/>
                <w:bCs/>
                <w:color w:val="000080"/>
                <w:kern w:val="0"/>
                <w:sz w:val="24"/>
                <w:lang w:val="zh-CN"/>
              </w:rPr>
            </w:pPr>
          </w:p>
        </w:tc>
      </w:tr>
    </w:tbl>
    <w:p w:rsidR="0057402A" w:rsidRPr="00F756F9" w:rsidRDefault="0057402A" w:rsidP="00B37EC7">
      <w:pPr>
        <w:adjustRightInd w:val="0"/>
        <w:snapToGrid w:val="0"/>
        <w:spacing w:beforeLines="100" w:line="400" w:lineRule="exact"/>
        <w:ind w:firstLineChars="240" w:firstLine="576"/>
        <w:rPr>
          <w:rFonts w:ascii="Arial Unicode MS" w:hAnsi="Arial Unicode MS"/>
          <w:sz w:val="24"/>
        </w:rPr>
      </w:pPr>
      <w:r w:rsidRPr="00F756F9">
        <w:rPr>
          <w:rFonts w:ascii="Arial Unicode MS" w:hAnsi="Arial Unicode MS" w:hint="eastAsia"/>
          <w:sz w:val="24"/>
        </w:rPr>
        <w:t>本人（或本机构）特此授权</w:t>
      </w:r>
      <w:r w:rsidRPr="00F756F9">
        <w:rPr>
          <w:rFonts w:ascii="Arial Unicode MS" w:hAnsi="Arial Unicode MS" w:hint="eastAsia"/>
          <w:sz w:val="24"/>
        </w:rPr>
        <w:t>__________________________</w:t>
      </w:r>
      <w:r w:rsidRPr="00F756F9">
        <w:rPr>
          <w:rFonts w:ascii="Arial Unicode MS" w:hAnsi="Arial Unicode MS" w:hint="eastAsia"/>
          <w:sz w:val="24"/>
        </w:rPr>
        <w:t>代表本人（或本机构）</w:t>
      </w:r>
      <w:r w:rsidR="00C150AD">
        <w:rPr>
          <w:rFonts w:ascii="Arial Unicode MS" w:hAnsi="Arial Unicode MS" w:hint="eastAsia"/>
          <w:sz w:val="24"/>
        </w:rPr>
        <w:t>参加</w:t>
      </w:r>
      <w:r w:rsidR="00A42367">
        <w:rPr>
          <w:rFonts w:ascii="Arial Unicode MS" w:hAnsi="Arial Unicode MS" w:hint="eastAsia"/>
          <w:sz w:val="24"/>
        </w:rPr>
        <w:t>东方红</w:t>
      </w:r>
      <w:r w:rsidR="00597A80">
        <w:rPr>
          <w:rFonts w:ascii="Arial Unicode MS" w:hAnsi="Arial Unicode MS" w:hint="eastAsia"/>
          <w:sz w:val="24"/>
        </w:rPr>
        <w:t>恒阳</w:t>
      </w:r>
      <w:r w:rsidR="00ED4487">
        <w:rPr>
          <w:rFonts w:ascii="Arial Unicode MS" w:hAnsi="Arial Unicode MS" w:hint="eastAsia"/>
          <w:sz w:val="24"/>
        </w:rPr>
        <w:t>五</w:t>
      </w:r>
      <w:r w:rsidR="00A42367">
        <w:rPr>
          <w:rFonts w:ascii="Arial Unicode MS" w:hAnsi="Arial Unicode MS" w:hint="eastAsia"/>
          <w:sz w:val="24"/>
        </w:rPr>
        <w:t>年定期开放混合型证券投资基金</w:t>
      </w:r>
      <w:r w:rsidRPr="00F756F9">
        <w:rPr>
          <w:rFonts w:ascii="Arial Unicode MS" w:hAnsi="Arial Unicode MS" w:hint="eastAsia"/>
          <w:sz w:val="24"/>
        </w:rPr>
        <w:t>基金份额持有人大会，并按照上述意见代为行使表决权。</w:t>
      </w:r>
    </w:p>
    <w:p w:rsidR="0057402A" w:rsidRPr="00F756F9" w:rsidRDefault="0057402A" w:rsidP="00B37EC7">
      <w:pPr>
        <w:adjustRightInd w:val="0"/>
        <w:snapToGrid w:val="0"/>
        <w:spacing w:beforeLines="100" w:line="400" w:lineRule="exact"/>
        <w:ind w:firstLineChars="240" w:firstLine="576"/>
        <w:rPr>
          <w:rFonts w:ascii="Arial Unicode MS" w:hAnsi="Arial Unicode MS"/>
          <w:sz w:val="24"/>
        </w:rPr>
      </w:pPr>
      <w:r w:rsidRPr="00F756F9">
        <w:rPr>
          <w:rFonts w:ascii="Arial Unicode MS" w:hAnsi="Arial Unicode MS" w:hint="eastAsia"/>
          <w:sz w:val="24"/>
        </w:rPr>
        <w:t>上述授权有效期自签署日起至审议上述事项的基金份额持有人大会会议结束之日止。</w:t>
      </w:r>
      <w:r w:rsidRPr="00421B36">
        <w:rPr>
          <w:rFonts w:ascii="Arial Unicode MS" w:hAnsi="Arial Unicode MS" w:hint="eastAsia"/>
          <w:sz w:val="24"/>
        </w:rPr>
        <w:t>若本基金重新召开审议相同议案的持有人大会的，本授权继续有效。</w:t>
      </w:r>
    </w:p>
    <w:p w:rsidR="0057402A" w:rsidRPr="00F756F9" w:rsidRDefault="0057402A" w:rsidP="00B37EC7">
      <w:pPr>
        <w:tabs>
          <w:tab w:val="left" w:pos="720"/>
        </w:tabs>
        <w:autoSpaceDE w:val="0"/>
        <w:autoSpaceDN w:val="0"/>
        <w:adjustRightInd w:val="0"/>
        <w:snapToGrid w:val="0"/>
        <w:spacing w:beforeLines="100" w:line="400" w:lineRule="exact"/>
        <w:ind w:left="277" w:right="18"/>
        <w:jc w:val="left"/>
        <w:rPr>
          <w:rFonts w:ascii="Arial Unicode MS" w:hAnsi="Arial Unicode MS" w:cs="楷体_GB2312"/>
          <w:color w:val="000080"/>
          <w:kern w:val="0"/>
          <w:sz w:val="24"/>
          <w:lang w:val="zh-CN"/>
        </w:rPr>
      </w:pPr>
    </w:p>
    <w:p w:rsidR="0057402A" w:rsidRPr="00F756F9" w:rsidRDefault="0057402A" w:rsidP="0057402A">
      <w:pPr>
        <w:autoSpaceDE w:val="0"/>
        <w:autoSpaceDN w:val="0"/>
        <w:adjustRightInd w:val="0"/>
        <w:spacing w:line="360" w:lineRule="auto"/>
        <w:jc w:val="left"/>
        <w:rPr>
          <w:rFonts w:ascii="宋体" w:cs="宋体"/>
          <w:kern w:val="0"/>
          <w:sz w:val="24"/>
          <w:szCs w:val="24"/>
        </w:rPr>
      </w:pPr>
      <w:r w:rsidRPr="00F756F9">
        <w:rPr>
          <w:rFonts w:ascii="宋体" w:cs="宋体" w:hint="eastAsia"/>
          <w:kern w:val="0"/>
          <w:sz w:val="24"/>
          <w:szCs w:val="24"/>
        </w:rPr>
        <w:t>委托人（签字</w:t>
      </w:r>
      <w:r w:rsidRPr="00F756F9">
        <w:rPr>
          <w:rFonts w:ascii="宋体" w:cs="宋体"/>
          <w:kern w:val="0"/>
          <w:sz w:val="24"/>
          <w:szCs w:val="24"/>
        </w:rPr>
        <w:t>/</w:t>
      </w:r>
      <w:r w:rsidRPr="00F756F9">
        <w:rPr>
          <w:rFonts w:ascii="宋体" w:cs="宋体" w:hint="eastAsia"/>
          <w:kern w:val="0"/>
          <w:sz w:val="24"/>
          <w:szCs w:val="24"/>
        </w:rPr>
        <w:t>盖章）：</w:t>
      </w:r>
    </w:p>
    <w:p w:rsidR="00573F41" w:rsidRPr="00F756F9" w:rsidRDefault="0057402A" w:rsidP="0057402A">
      <w:pPr>
        <w:autoSpaceDE w:val="0"/>
        <w:autoSpaceDN w:val="0"/>
        <w:adjustRightInd w:val="0"/>
        <w:spacing w:line="360" w:lineRule="auto"/>
        <w:jc w:val="left"/>
        <w:rPr>
          <w:rFonts w:ascii="宋体" w:cs="宋体"/>
          <w:kern w:val="0"/>
          <w:sz w:val="24"/>
          <w:szCs w:val="24"/>
        </w:rPr>
      </w:pPr>
      <w:r w:rsidRPr="00F756F9">
        <w:rPr>
          <w:rFonts w:ascii="宋体" w:cs="宋体" w:hint="eastAsia"/>
          <w:kern w:val="0"/>
          <w:sz w:val="24"/>
          <w:szCs w:val="24"/>
        </w:rPr>
        <w:t>委托人身份证件号或营业执照号：</w:t>
      </w:r>
    </w:p>
    <w:p w:rsidR="0057402A" w:rsidRPr="00F756F9" w:rsidRDefault="0057402A" w:rsidP="0057402A">
      <w:pPr>
        <w:autoSpaceDE w:val="0"/>
        <w:autoSpaceDN w:val="0"/>
        <w:adjustRightInd w:val="0"/>
        <w:spacing w:line="360" w:lineRule="auto"/>
        <w:ind w:firstLineChars="200" w:firstLine="480"/>
        <w:jc w:val="left"/>
        <w:rPr>
          <w:rFonts w:ascii="宋体" w:cs="宋体"/>
          <w:kern w:val="0"/>
          <w:sz w:val="24"/>
          <w:szCs w:val="24"/>
        </w:rPr>
      </w:pPr>
    </w:p>
    <w:p w:rsidR="0057402A" w:rsidRPr="00F756F9" w:rsidRDefault="00894D98" w:rsidP="0057402A">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代理人</w:t>
      </w:r>
      <w:r w:rsidR="0057402A" w:rsidRPr="00F756F9">
        <w:rPr>
          <w:rFonts w:ascii="宋体" w:cs="宋体" w:hint="eastAsia"/>
          <w:kern w:val="0"/>
          <w:sz w:val="24"/>
          <w:szCs w:val="24"/>
        </w:rPr>
        <w:t>（签字</w:t>
      </w:r>
      <w:r w:rsidR="0057402A" w:rsidRPr="00F756F9">
        <w:rPr>
          <w:rFonts w:ascii="宋体" w:cs="宋体"/>
          <w:kern w:val="0"/>
          <w:sz w:val="24"/>
          <w:szCs w:val="24"/>
        </w:rPr>
        <w:t>/</w:t>
      </w:r>
      <w:r w:rsidR="0057402A" w:rsidRPr="00F756F9">
        <w:rPr>
          <w:rFonts w:ascii="宋体" w:cs="宋体" w:hint="eastAsia"/>
          <w:kern w:val="0"/>
          <w:sz w:val="24"/>
          <w:szCs w:val="24"/>
        </w:rPr>
        <w:t>盖章）：</w:t>
      </w:r>
    </w:p>
    <w:p w:rsidR="0057402A" w:rsidRPr="00F756F9" w:rsidRDefault="00894D98" w:rsidP="0057402A">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代理人</w:t>
      </w:r>
      <w:r w:rsidR="0057402A" w:rsidRPr="00F756F9">
        <w:rPr>
          <w:rFonts w:ascii="宋体" w:cs="宋体" w:hint="eastAsia"/>
          <w:kern w:val="0"/>
          <w:sz w:val="24"/>
          <w:szCs w:val="24"/>
        </w:rPr>
        <w:t>身份证件号或营业执照号：</w:t>
      </w:r>
    </w:p>
    <w:p w:rsidR="0057402A" w:rsidRPr="00F756F9" w:rsidRDefault="0057402A" w:rsidP="00B37EC7">
      <w:pPr>
        <w:adjustRightInd w:val="0"/>
        <w:snapToGrid w:val="0"/>
        <w:spacing w:beforeLines="100" w:line="400" w:lineRule="exact"/>
        <w:ind w:firstLine="420"/>
        <w:jc w:val="right"/>
        <w:rPr>
          <w:rFonts w:ascii="Arial Unicode MS" w:hAnsi="Arial Unicode MS"/>
          <w:sz w:val="24"/>
        </w:rPr>
      </w:pPr>
    </w:p>
    <w:p w:rsidR="0057402A" w:rsidRPr="00F756F9" w:rsidRDefault="0057402A" w:rsidP="00B37EC7">
      <w:pPr>
        <w:wordWrap w:val="0"/>
        <w:adjustRightInd w:val="0"/>
        <w:snapToGrid w:val="0"/>
        <w:spacing w:beforeLines="100" w:line="400" w:lineRule="exact"/>
        <w:ind w:firstLine="420"/>
        <w:jc w:val="right"/>
        <w:rPr>
          <w:rFonts w:ascii="Arial Unicode MS" w:hAnsi="Arial Unicode MS"/>
          <w:b/>
          <w:sz w:val="24"/>
        </w:rPr>
      </w:pPr>
      <w:r w:rsidRPr="00F756F9">
        <w:rPr>
          <w:rFonts w:ascii="Arial Unicode MS" w:hAnsi="Arial Unicode MS" w:hint="eastAsia"/>
          <w:sz w:val="24"/>
        </w:rPr>
        <w:t>签署日期：</w:t>
      </w:r>
      <w:r w:rsidRPr="00F756F9">
        <w:rPr>
          <w:rFonts w:ascii="Arial Unicode MS" w:hAnsi="Arial Unicode MS" w:hint="eastAsia"/>
          <w:sz w:val="24"/>
        </w:rPr>
        <w:t xml:space="preserve">   </w:t>
      </w:r>
      <w:r w:rsidRPr="00F756F9">
        <w:rPr>
          <w:rFonts w:ascii="Arial Unicode MS" w:hAnsi="Arial Unicode MS" w:hint="eastAsia"/>
          <w:sz w:val="24"/>
        </w:rPr>
        <w:t>年</w:t>
      </w:r>
      <w:r w:rsidRPr="00F756F9">
        <w:rPr>
          <w:rFonts w:ascii="Arial Unicode MS" w:hAnsi="Arial Unicode MS" w:hint="eastAsia"/>
          <w:sz w:val="24"/>
        </w:rPr>
        <w:t xml:space="preserve">  </w:t>
      </w:r>
      <w:r w:rsidRPr="00F756F9">
        <w:rPr>
          <w:rFonts w:ascii="Arial Unicode MS" w:hAnsi="Arial Unicode MS" w:hint="eastAsia"/>
          <w:sz w:val="24"/>
        </w:rPr>
        <w:t>月</w:t>
      </w:r>
      <w:r w:rsidRPr="00F756F9">
        <w:rPr>
          <w:rFonts w:ascii="Arial Unicode MS" w:hAnsi="Arial Unicode MS" w:hint="eastAsia"/>
          <w:sz w:val="24"/>
        </w:rPr>
        <w:t xml:space="preserve">  </w:t>
      </w:r>
      <w:r w:rsidRPr="00F756F9">
        <w:rPr>
          <w:rFonts w:ascii="Arial Unicode MS" w:hAnsi="Arial Unicode MS" w:hint="eastAsia"/>
          <w:sz w:val="24"/>
        </w:rPr>
        <w:t>日</w:t>
      </w:r>
    </w:p>
    <w:p w:rsidR="0057402A" w:rsidRPr="00F756F9" w:rsidRDefault="0057402A" w:rsidP="00B37EC7">
      <w:pPr>
        <w:adjustRightInd w:val="0"/>
        <w:snapToGrid w:val="0"/>
        <w:spacing w:beforeLines="100" w:line="400" w:lineRule="exact"/>
        <w:rPr>
          <w:rFonts w:ascii="Arial Unicode MS" w:hAnsi="Arial Unicode MS"/>
          <w:b/>
          <w:sz w:val="24"/>
        </w:rPr>
      </w:pPr>
      <w:r w:rsidRPr="00F756F9">
        <w:rPr>
          <w:rFonts w:ascii="Arial Unicode MS" w:hAnsi="Arial Unicode MS"/>
          <w:b/>
          <w:sz w:val="24"/>
        </w:rPr>
        <w:br w:type="page"/>
      </w:r>
      <w:r w:rsidRPr="00F756F9">
        <w:rPr>
          <w:rFonts w:ascii="Arial Unicode MS" w:hAnsi="Arial Unicode MS" w:hint="eastAsia"/>
          <w:b/>
          <w:sz w:val="24"/>
        </w:rPr>
        <w:t>授权委托书填写注意事项</w:t>
      </w:r>
      <w:r w:rsidRPr="00F756F9">
        <w:rPr>
          <w:rFonts w:ascii="Arial Unicode MS" w:hAnsi="Arial Unicode MS" w:hint="eastAsia"/>
          <w:b/>
          <w:sz w:val="24"/>
        </w:rPr>
        <w:t>:</w:t>
      </w:r>
    </w:p>
    <w:p w:rsidR="0057402A" w:rsidRPr="00F756F9" w:rsidRDefault="0057402A" w:rsidP="00B37EC7">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1</w:t>
      </w:r>
      <w:r w:rsidRPr="00F756F9">
        <w:rPr>
          <w:rFonts w:ascii="Arial Unicode MS" w:hAnsi="Arial Unicode MS" w:hint="eastAsia"/>
          <w:b/>
          <w:szCs w:val="21"/>
        </w:rPr>
        <w:t>．本授权委托书（样本）可</w:t>
      </w:r>
      <w:r>
        <w:rPr>
          <w:rFonts w:ascii="Arial Unicode MS" w:hAnsi="Arial Unicode MS" w:hint="eastAsia"/>
          <w:b/>
          <w:szCs w:val="21"/>
        </w:rPr>
        <w:t>打印</w:t>
      </w:r>
      <w:r w:rsidRPr="00F756F9">
        <w:rPr>
          <w:rFonts w:ascii="Arial Unicode MS" w:hAnsi="Arial Unicode MS" w:hint="eastAsia"/>
          <w:b/>
          <w:szCs w:val="21"/>
        </w:rPr>
        <w:t>或按以上格式自制，在填写完整并签字或盖章后均为有效。</w:t>
      </w:r>
    </w:p>
    <w:p w:rsidR="00894D98" w:rsidRDefault="00894D98" w:rsidP="00B37EC7">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 xml:space="preserve">2. </w:t>
      </w:r>
      <w:r w:rsidRPr="00F756F9">
        <w:rPr>
          <w:rFonts w:ascii="Arial Unicode MS" w:hAnsi="Arial Unicode MS" w:hint="eastAsia"/>
          <w:b/>
          <w:szCs w:val="21"/>
        </w:rPr>
        <w:t>基金份额持有人可以委托本基金的基金管理人、基金</w:t>
      </w:r>
      <w:r w:rsidR="003E34D1">
        <w:rPr>
          <w:rFonts w:ascii="Arial Unicode MS" w:hAnsi="Arial Unicode MS" w:hint="eastAsia"/>
          <w:b/>
          <w:szCs w:val="21"/>
        </w:rPr>
        <w:t>销售</w:t>
      </w:r>
      <w:r w:rsidRPr="00F756F9">
        <w:rPr>
          <w:rFonts w:ascii="Arial Unicode MS" w:hAnsi="Arial Unicode MS" w:hint="eastAsia"/>
          <w:b/>
          <w:szCs w:val="21"/>
        </w:rPr>
        <w:t>机构以及其他符合法律</w:t>
      </w:r>
      <w:r w:rsidR="00775D9D">
        <w:rPr>
          <w:rFonts w:ascii="Arial Unicode MS" w:hAnsi="Arial Unicode MS" w:hint="eastAsia"/>
          <w:b/>
          <w:szCs w:val="21"/>
        </w:rPr>
        <w:t>法规</w:t>
      </w:r>
      <w:r w:rsidRPr="00F756F9">
        <w:rPr>
          <w:rFonts w:ascii="Arial Unicode MS" w:hAnsi="Arial Unicode MS" w:hint="eastAsia"/>
          <w:b/>
          <w:szCs w:val="21"/>
        </w:rPr>
        <w:t>规定的机构和个人，代为行使本次基金份额持有人大会上的表决权。如基金份额持有人</w:t>
      </w:r>
      <w:r w:rsidR="0075179C">
        <w:rPr>
          <w:rFonts w:ascii="Arial Unicode MS" w:hAnsi="Arial Unicode MS" w:hint="eastAsia"/>
          <w:b/>
          <w:szCs w:val="21"/>
        </w:rPr>
        <w:t>做出</w:t>
      </w:r>
      <w:r w:rsidR="0075179C" w:rsidRPr="0075179C">
        <w:rPr>
          <w:rFonts w:ascii="Arial Unicode MS" w:hAnsi="Arial Unicode MS" w:hint="eastAsia"/>
          <w:b/>
          <w:szCs w:val="21"/>
        </w:rPr>
        <w:t>多次有效</w:t>
      </w:r>
      <w:r w:rsidR="00514A0E">
        <w:rPr>
          <w:rFonts w:ascii="Arial Unicode MS" w:hAnsi="Arial Unicode MS" w:hint="eastAsia"/>
          <w:b/>
          <w:szCs w:val="21"/>
        </w:rPr>
        <w:t>纸质</w:t>
      </w:r>
      <w:r w:rsidR="0075179C" w:rsidRPr="0075179C">
        <w:rPr>
          <w:rFonts w:ascii="Arial Unicode MS" w:hAnsi="Arial Unicode MS" w:hint="eastAsia"/>
          <w:b/>
          <w:szCs w:val="21"/>
        </w:rPr>
        <w:t>授权的</w:t>
      </w:r>
      <w:r w:rsidR="0075179C">
        <w:rPr>
          <w:rFonts w:ascii="Arial Unicode MS" w:hAnsi="Arial Unicode MS" w:hint="eastAsia"/>
          <w:b/>
          <w:szCs w:val="21"/>
        </w:rPr>
        <w:t>，</w:t>
      </w:r>
      <w:r w:rsidR="0075179C" w:rsidRPr="0075179C">
        <w:rPr>
          <w:rFonts w:ascii="Arial Unicode MS" w:hAnsi="Arial Unicode MS" w:hint="eastAsia"/>
          <w:b/>
          <w:szCs w:val="21"/>
        </w:rPr>
        <w:t>以代理人收到的最后一次有效</w:t>
      </w:r>
      <w:r w:rsidR="00514A0E">
        <w:rPr>
          <w:rFonts w:ascii="Arial Unicode MS" w:hAnsi="Arial Unicode MS" w:hint="eastAsia"/>
          <w:b/>
          <w:szCs w:val="21"/>
        </w:rPr>
        <w:t>纸质</w:t>
      </w:r>
      <w:r w:rsidR="0075179C" w:rsidRPr="0075179C">
        <w:rPr>
          <w:rFonts w:ascii="Arial Unicode MS" w:hAnsi="Arial Unicode MS" w:hint="eastAsia"/>
          <w:b/>
          <w:szCs w:val="21"/>
        </w:rPr>
        <w:t>授权为准。如最后时间收到的有效</w:t>
      </w:r>
      <w:r w:rsidR="00514A0E">
        <w:rPr>
          <w:rFonts w:ascii="Arial Unicode MS" w:hAnsi="Arial Unicode MS" w:hint="eastAsia"/>
          <w:b/>
          <w:szCs w:val="21"/>
        </w:rPr>
        <w:t>纸质</w:t>
      </w:r>
      <w:r w:rsidR="0075179C" w:rsidRPr="0075179C">
        <w:rPr>
          <w:rFonts w:ascii="Arial Unicode MS" w:hAnsi="Arial Unicode MS" w:hint="eastAsia"/>
          <w:b/>
          <w:szCs w:val="21"/>
        </w:rPr>
        <w:t>授权有多次，不能确定最后一次有效</w:t>
      </w:r>
      <w:r w:rsidR="00514A0E">
        <w:rPr>
          <w:rFonts w:ascii="Arial Unicode MS" w:hAnsi="Arial Unicode MS" w:hint="eastAsia"/>
          <w:b/>
          <w:szCs w:val="21"/>
        </w:rPr>
        <w:t>纸质</w:t>
      </w:r>
      <w:r w:rsidR="0075179C" w:rsidRPr="0075179C">
        <w:rPr>
          <w:rFonts w:ascii="Arial Unicode MS" w:hAnsi="Arial Unicode MS" w:hint="eastAsia"/>
          <w:b/>
          <w:szCs w:val="21"/>
        </w:rPr>
        <w:t>授权的，按以下原则处理：若多次授权</w:t>
      </w:r>
      <w:r w:rsidR="007A4ABA">
        <w:rPr>
          <w:rFonts w:ascii="Arial Unicode MS" w:hAnsi="Arial Unicode MS" w:hint="eastAsia"/>
          <w:b/>
          <w:szCs w:val="21"/>
        </w:rPr>
        <w:t>的</w:t>
      </w:r>
      <w:r w:rsidR="0075179C" w:rsidRPr="0075179C">
        <w:rPr>
          <w:rFonts w:ascii="Arial Unicode MS" w:hAnsi="Arial Unicode MS" w:hint="eastAsia"/>
          <w:b/>
          <w:szCs w:val="21"/>
        </w:rPr>
        <w:t>授权表示一致的，以一致的授权表示为准；若多次授权同一代理人但授权表示不一致的，视为委托人授权代理人投弃权票；若授权不同代理人且授权表示不一致的，视为授权无效。</w:t>
      </w:r>
    </w:p>
    <w:p w:rsidR="0057402A" w:rsidRPr="00F756F9" w:rsidRDefault="00894D98" w:rsidP="00B37EC7">
      <w:pPr>
        <w:adjustRightInd w:val="0"/>
        <w:snapToGrid w:val="0"/>
        <w:spacing w:beforeLines="100" w:line="400" w:lineRule="exact"/>
        <w:rPr>
          <w:rFonts w:ascii="Arial Unicode MS" w:hAnsi="Arial Unicode MS"/>
          <w:b/>
          <w:szCs w:val="21"/>
        </w:rPr>
      </w:pPr>
      <w:r w:rsidRPr="00F756F9">
        <w:rPr>
          <w:rFonts w:ascii="Arial Unicode MS" w:hAnsi="Arial Unicode MS"/>
          <w:b/>
          <w:szCs w:val="21"/>
        </w:rPr>
        <w:t xml:space="preserve">3. </w:t>
      </w:r>
      <w:r w:rsidRPr="00F40281">
        <w:rPr>
          <w:rFonts w:ascii="Arial Unicode MS" w:hAnsi="Arial Unicode MS" w:hint="eastAsia"/>
          <w:b/>
          <w:szCs w:val="21"/>
        </w:rPr>
        <w:t>如果委托人在授权委托书中明确其表决意见的，以委托人的表决意见为准；</w:t>
      </w:r>
      <w:r w:rsidRPr="00F756F9">
        <w:rPr>
          <w:rFonts w:ascii="Arial Unicode MS" w:hAnsi="Arial Unicode MS" w:hint="eastAsia"/>
          <w:b/>
          <w:szCs w:val="21"/>
        </w:rPr>
        <w:t>如委托人未在授权委托书表示中明确其表决意见的，视为委托人授权</w:t>
      </w:r>
      <w:r>
        <w:rPr>
          <w:rFonts w:ascii="Arial Unicode MS" w:hAnsi="Arial Unicode MS" w:hint="eastAsia"/>
          <w:b/>
          <w:szCs w:val="21"/>
        </w:rPr>
        <w:t>代理人</w:t>
      </w:r>
      <w:r w:rsidRPr="00F756F9">
        <w:rPr>
          <w:rFonts w:ascii="Arial Unicode MS" w:hAnsi="Arial Unicode MS" w:hint="eastAsia"/>
          <w:b/>
          <w:szCs w:val="21"/>
        </w:rPr>
        <w:t>按照</w:t>
      </w:r>
      <w:r>
        <w:rPr>
          <w:rFonts w:ascii="Arial Unicode MS" w:hAnsi="Arial Unicode MS" w:hint="eastAsia"/>
          <w:b/>
          <w:szCs w:val="21"/>
        </w:rPr>
        <w:t>代理人</w:t>
      </w:r>
      <w:r w:rsidRPr="00F756F9">
        <w:rPr>
          <w:rFonts w:ascii="Arial Unicode MS" w:hAnsi="Arial Unicode MS" w:hint="eastAsia"/>
          <w:b/>
          <w:szCs w:val="21"/>
        </w:rPr>
        <w:t>的意志</w:t>
      </w:r>
      <w:r w:rsidR="002400D0">
        <w:rPr>
          <w:rFonts w:ascii="Arial Unicode MS" w:hAnsi="Arial Unicode MS" w:hint="eastAsia"/>
          <w:b/>
          <w:szCs w:val="21"/>
        </w:rPr>
        <w:t>全权</w:t>
      </w:r>
      <w:r w:rsidRPr="00F756F9">
        <w:rPr>
          <w:rFonts w:ascii="Arial Unicode MS" w:hAnsi="Arial Unicode MS" w:hint="eastAsia"/>
          <w:b/>
          <w:szCs w:val="21"/>
        </w:rPr>
        <w:t>行使表决权；</w:t>
      </w:r>
      <w:r w:rsidRPr="004E3F9D">
        <w:rPr>
          <w:rFonts w:ascii="Arial Unicode MS" w:hAnsi="Arial Unicode MS" w:hint="eastAsia"/>
          <w:b/>
          <w:szCs w:val="21"/>
        </w:rPr>
        <w:t>如委托人在同一授权委托表示中表达多种表决意见的，视为委托人授权</w:t>
      </w:r>
      <w:r>
        <w:rPr>
          <w:rFonts w:ascii="Arial Unicode MS" w:hAnsi="Arial Unicode MS" w:hint="eastAsia"/>
          <w:b/>
          <w:szCs w:val="21"/>
        </w:rPr>
        <w:t>代理人</w:t>
      </w:r>
      <w:r w:rsidRPr="004E3F9D">
        <w:rPr>
          <w:rFonts w:ascii="Arial Unicode MS" w:hAnsi="Arial Unicode MS" w:hint="eastAsia"/>
          <w:b/>
          <w:szCs w:val="21"/>
        </w:rPr>
        <w:t>投弃权票。</w:t>
      </w:r>
    </w:p>
    <w:p w:rsidR="0057402A" w:rsidRPr="00F756F9" w:rsidRDefault="0057402A" w:rsidP="00B37EC7">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 xml:space="preserve">4. </w:t>
      </w:r>
      <w:r w:rsidRPr="00F756F9">
        <w:rPr>
          <w:rFonts w:ascii="Arial Unicode MS" w:hAnsi="Arial Unicode MS" w:hint="eastAsia"/>
          <w:b/>
          <w:szCs w:val="21"/>
        </w:rPr>
        <w:t>本授权委托书中委托人</w:t>
      </w:r>
      <w:r w:rsidR="00007B0A" w:rsidRPr="00007B0A">
        <w:rPr>
          <w:rFonts w:ascii="Arial Unicode MS" w:hAnsi="Arial Unicode MS" w:hint="eastAsia"/>
          <w:b/>
          <w:szCs w:val="21"/>
        </w:rPr>
        <w:t>身份证件号或营业执照号</w:t>
      </w:r>
      <w:r w:rsidRPr="00F756F9">
        <w:rPr>
          <w:rFonts w:ascii="Arial Unicode MS" w:hAnsi="Arial Unicode MS" w:hint="eastAsia"/>
          <w:b/>
          <w:szCs w:val="21"/>
        </w:rPr>
        <w:t>，指基金份额持有人</w:t>
      </w:r>
      <w:r w:rsidR="007A4ABA">
        <w:rPr>
          <w:rFonts w:ascii="Arial Unicode MS" w:hAnsi="Arial Unicode MS" w:hint="eastAsia"/>
          <w:b/>
          <w:szCs w:val="21"/>
        </w:rPr>
        <w:t>持有</w:t>
      </w:r>
      <w:r w:rsidRPr="00F756F9">
        <w:rPr>
          <w:rFonts w:ascii="Arial Unicode MS" w:hAnsi="Arial Unicode MS" w:hint="eastAsia"/>
          <w:b/>
          <w:szCs w:val="21"/>
        </w:rPr>
        <w:t>本基金</w:t>
      </w:r>
      <w:r w:rsidR="007A4ABA">
        <w:rPr>
          <w:rFonts w:ascii="Arial Unicode MS" w:hAnsi="Arial Unicode MS" w:hint="eastAsia"/>
          <w:b/>
          <w:szCs w:val="21"/>
        </w:rPr>
        <w:t>基金份额</w:t>
      </w:r>
      <w:r w:rsidRPr="00F756F9">
        <w:rPr>
          <w:rFonts w:ascii="Arial Unicode MS" w:hAnsi="Arial Unicode MS" w:hint="eastAsia"/>
          <w:b/>
          <w:szCs w:val="21"/>
        </w:rPr>
        <w:t>时</w:t>
      </w:r>
      <w:r w:rsidR="007A4ABA">
        <w:rPr>
          <w:rFonts w:ascii="Arial Unicode MS" w:hAnsi="Arial Unicode MS" w:hint="eastAsia"/>
          <w:b/>
          <w:szCs w:val="21"/>
        </w:rPr>
        <w:t>所使用</w:t>
      </w:r>
      <w:r w:rsidRPr="00F756F9">
        <w:rPr>
          <w:rFonts w:ascii="Arial Unicode MS" w:hAnsi="Arial Unicode MS" w:hint="eastAsia"/>
          <w:b/>
          <w:szCs w:val="21"/>
        </w:rPr>
        <w:t>的证件号码或该证件号码的更新。</w:t>
      </w:r>
    </w:p>
    <w:p w:rsidR="0057402A" w:rsidRPr="00BE422B" w:rsidRDefault="0057402A" w:rsidP="00B37EC7">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5.</w:t>
      </w:r>
      <w:r w:rsidRPr="00F756F9">
        <w:rPr>
          <w:rFonts w:ascii="Arial Unicode MS" w:hAnsi="Arial Unicode MS" w:hint="eastAsia"/>
          <w:b/>
          <w:szCs w:val="21"/>
        </w:rPr>
        <w:t>授权委托书中委托人所持基金的份额以持有人大会权益登记日</w:t>
      </w:r>
      <w:r w:rsidR="0099395F">
        <w:rPr>
          <w:rFonts w:ascii="Arial Unicode MS" w:hAnsi="Arial Unicode MS" w:hint="eastAsia"/>
          <w:b/>
          <w:szCs w:val="21"/>
        </w:rPr>
        <w:t>交易时间</w:t>
      </w:r>
      <w:r w:rsidR="002154C5">
        <w:rPr>
          <w:rFonts w:ascii="Arial Unicode MS" w:hAnsi="Arial Unicode MS" w:hint="eastAsia"/>
          <w:b/>
          <w:szCs w:val="21"/>
        </w:rPr>
        <w:t>结束</w:t>
      </w:r>
      <w:r w:rsidR="0099395F">
        <w:rPr>
          <w:rFonts w:ascii="Arial Unicode MS" w:hAnsi="Arial Unicode MS" w:hint="eastAsia"/>
          <w:b/>
          <w:szCs w:val="21"/>
        </w:rPr>
        <w:t>以后登记在册的信息</w:t>
      </w:r>
      <w:r w:rsidRPr="00F756F9">
        <w:rPr>
          <w:rFonts w:ascii="Arial Unicode MS" w:hAnsi="Arial Unicode MS" w:hint="eastAsia"/>
          <w:b/>
          <w:szCs w:val="21"/>
        </w:rPr>
        <w:t>为准。如本次持有人大会权益登记日</w:t>
      </w:r>
      <w:r w:rsidR="0099395F">
        <w:rPr>
          <w:rFonts w:ascii="Arial Unicode MS" w:hAnsi="Arial Unicode MS" w:hint="eastAsia"/>
          <w:b/>
          <w:szCs w:val="21"/>
        </w:rPr>
        <w:t>交易时间</w:t>
      </w:r>
      <w:r w:rsidR="002154C5">
        <w:rPr>
          <w:rFonts w:ascii="Arial Unicode MS" w:hAnsi="Arial Unicode MS" w:hint="eastAsia"/>
          <w:b/>
          <w:szCs w:val="21"/>
        </w:rPr>
        <w:t>结束</w:t>
      </w:r>
      <w:r w:rsidR="0099395F">
        <w:rPr>
          <w:rFonts w:ascii="Arial Unicode MS" w:hAnsi="Arial Unicode MS" w:hint="eastAsia"/>
          <w:b/>
          <w:szCs w:val="21"/>
        </w:rPr>
        <w:t>后</w:t>
      </w:r>
      <w:r w:rsidRPr="00F756F9">
        <w:rPr>
          <w:rFonts w:ascii="Arial Unicode MS" w:hAnsi="Arial Unicode MS" w:hint="eastAsia"/>
          <w:b/>
          <w:szCs w:val="21"/>
        </w:rPr>
        <w:t>，投资者不再持有本基金的基金份额，则其授权委托书自动失效。</w:t>
      </w:r>
    </w:p>
    <w:p w:rsidR="0057402A" w:rsidRDefault="0057402A" w:rsidP="00CA0AE7">
      <w:pPr>
        <w:autoSpaceDE w:val="0"/>
        <w:autoSpaceDN w:val="0"/>
        <w:adjustRightInd w:val="0"/>
        <w:spacing w:line="360" w:lineRule="auto"/>
        <w:jc w:val="left"/>
        <w:rPr>
          <w:rFonts w:ascii="Arial Unicode MS" w:hAnsi="Arial Unicode MS"/>
          <w:b/>
          <w:szCs w:val="21"/>
        </w:rPr>
      </w:pPr>
    </w:p>
    <w:p w:rsidR="00994E0D" w:rsidRDefault="00994E0D" w:rsidP="00B60785">
      <w:pPr>
        <w:pStyle w:val="1"/>
        <w:rPr>
          <w:sz w:val="32"/>
          <w:szCs w:val="32"/>
        </w:rPr>
        <w:sectPr w:rsidR="00994E0D" w:rsidSect="00BF0B40">
          <w:pgSz w:w="11906" w:h="16838"/>
          <w:pgMar w:top="1440" w:right="1800" w:bottom="1440" w:left="1800" w:header="851" w:footer="992" w:gutter="0"/>
          <w:cols w:space="425"/>
          <w:docGrid w:type="lines" w:linePitch="312"/>
        </w:sectPr>
      </w:pPr>
    </w:p>
    <w:p w:rsidR="00EF473E" w:rsidRPr="00B60785" w:rsidRDefault="00EF473E" w:rsidP="00B60785">
      <w:pPr>
        <w:pStyle w:val="1"/>
        <w:rPr>
          <w:sz w:val="32"/>
          <w:szCs w:val="32"/>
        </w:rPr>
      </w:pPr>
      <w:r>
        <w:rPr>
          <w:rFonts w:hint="eastAsia"/>
          <w:sz w:val="32"/>
          <w:szCs w:val="32"/>
        </w:rPr>
        <w:t>附件六：</w:t>
      </w:r>
    </w:p>
    <w:p w:rsidR="00E45E2B" w:rsidRDefault="00E45E2B" w:rsidP="00E45E2B">
      <w:pPr>
        <w:autoSpaceDE w:val="0"/>
        <w:autoSpaceDN w:val="0"/>
        <w:adjustRightInd w:val="0"/>
        <w:jc w:val="center"/>
        <w:rPr>
          <w:rFonts w:ascii="仿宋" w:eastAsia="仿宋" w:hAnsi="仿宋" w:cs="SimSun,Bold"/>
          <w:b/>
          <w:bCs/>
          <w:kern w:val="0"/>
          <w:sz w:val="52"/>
          <w:szCs w:val="52"/>
        </w:rPr>
      </w:pPr>
    </w:p>
    <w:p w:rsidR="00E45E2B" w:rsidRDefault="00E45E2B" w:rsidP="00E45E2B">
      <w:pPr>
        <w:autoSpaceDE w:val="0"/>
        <w:autoSpaceDN w:val="0"/>
        <w:adjustRightInd w:val="0"/>
        <w:jc w:val="center"/>
        <w:rPr>
          <w:rFonts w:ascii="仿宋" w:eastAsia="仿宋" w:hAnsi="仿宋" w:cs="SimSun,Bold"/>
          <w:b/>
          <w:bCs/>
          <w:kern w:val="0"/>
          <w:sz w:val="52"/>
          <w:szCs w:val="52"/>
        </w:rPr>
      </w:pPr>
    </w:p>
    <w:p w:rsidR="00E45E2B" w:rsidRDefault="00E45E2B" w:rsidP="00E45E2B">
      <w:pPr>
        <w:autoSpaceDE w:val="0"/>
        <w:autoSpaceDN w:val="0"/>
        <w:adjustRightInd w:val="0"/>
        <w:jc w:val="center"/>
        <w:rPr>
          <w:rFonts w:ascii="仿宋" w:eastAsia="仿宋" w:hAnsi="仿宋" w:cs="SimSun,Bold"/>
          <w:b/>
          <w:bCs/>
          <w:kern w:val="0"/>
          <w:sz w:val="44"/>
          <w:szCs w:val="44"/>
        </w:rPr>
      </w:pPr>
      <w:r>
        <w:rPr>
          <w:rFonts w:ascii="仿宋" w:eastAsia="仿宋" w:hAnsi="仿宋" w:cs="SimSun,Bold" w:hint="eastAsia"/>
          <w:b/>
          <w:bCs/>
          <w:kern w:val="0"/>
          <w:sz w:val="44"/>
          <w:szCs w:val="44"/>
        </w:rPr>
        <w:t>上海东方证券资产管理有限公司</w:t>
      </w:r>
    </w:p>
    <w:p w:rsidR="00E45E2B" w:rsidRDefault="00E45E2B" w:rsidP="00E45E2B">
      <w:pPr>
        <w:autoSpaceDE w:val="0"/>
        <w:autoSpaceDN w:val="0"/>
        <w:adjustRightInd w:val="0"/>
        <w:jc w:val="center"/>
        <w:rPr>
          <w:rFonts w:ascii="仿宋" w:eastAsia="仿宋" w:hAnsi="仿宋" w:cs="SimSun,Bold"/>
          <w:b/>
          <w:bCs/>
          <w:kern w:val="0"/>
          <w:sz w:val="44"/>
          <w:szCs w:val="44"/>
        </w:rPr>
      </w:pPr>
      <w:r>
        <w:rPr>
          <w:rFonts w:ascii="仿宋" w:eastAsia="仿宋" w:hAnsi="仿宋" w:cs="SimSun,Bold" w:hint="eastAsia"/>
          <w:b/>
          <w:bCs/>
          <w:kern w:val="0"/>
          <w:sz w:val="44"/>
          <w:szCs w:val="44"/>
        </w:rPr>
        <w:t>东方红恒阳五年持有期混合型证券投资基金基金合同</w:t>
      </w: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36"/>
          <w:szCs w:val="36"/>
        </w:rPr>
      </w:pPr>
      <w:bookmarkStart w:id="2" w:name="_Toc123701383"/>
      <w:bookmarkStart w:id="3" w:name="_Toc139992301"/>
      <w:bookmarkStart w:id="4" w:name="_Toc123112224"/>
      <w:bookmarkStart w:id="5" w:name="_Toc123112263"/>
      <w:bookmarkStart w:id="6" w:name="_Toc139991726"/>
      <w:r>
        <w:rPr>
          <w:rFonts w:ascii="仿宋" w:eastAsia="仿宋" w:hAnsi="仿宋" w:cs="SimSun,Bold" w:hint="eastAsia"/>
          <w:b/>
          <w:bCs/>
          <w:kern w:val="0"/>
          <w:sz w:val="36"/>
          <w:szCs w:val="36"/>
        </w:rPr>
        <w:t>基金管理人：</w:t>
      </w:r>
      <w:bookmarkEnd w:id="2"/>
      <w:bookmarkEnd w:id="3"/>
      <w:bookmarkEnd w:id="4"/>
      <w:bookmarkEnd w:id="5"/>
      <w:bookmarkEnd w:id="6"/>
      <w:r>
        <w:rPr>
          <w:rFonts w:ascii="仿宋" w:eastAsia="仿宋" w:hAnsi="仿宋" w:cs="SimSun,Bold" w:hint="eastAsia"/>
          <w:b/>
          <w:bCs/>
          <w:kern w:val="0"/>
          <w:sz w:val="36"/>
          <w:szCs w:val="36"/>
        </w:rPr>
        <w:t>上海东方证券资产管理有限公司</w:t>
      </w:r>
    </w:p>
    <w:p w:rsidR="00E45E2B" w:rsidRDefault="00E45E2B" w:rsidP="00E45E2B">
      <w:pPr>
        <w:autoSpaceDE w:val="0"/>
        <w:autoSpaceDN w:val="0"/>
        <w:adjustRightInd w:val="0"/>
        <w:jc w:val="center"/>
        <w:rPr>
          <w:rFonts w:ascii="仿宋" w:eastAsia="仿宋" w:hAnsi="仿宋" w:cs="SimSun,Bold"/>
          <w:b/>
          <w:bCs/>
          <w:kern w:val="0"/>
          <w:sz w:val="36"/>
          <w:szCs w:val="36"/>
        </w:rPr>
      </w:pPr>
      <w:bookmarkStart w:id="7" w:name="_Toc123112225"/>
      <w:bookmarkStart w:id="8" w:name="_Toc123112264"/>
      <w:bookmarkStart w:id="9" w:name="_Toc139992302"/>
      <w:bookmarkStart w:id="10" w:name="_Toc139991727"/>
      <w:bookmarkStart w:id="11" w:name="_Toc123701384"/>
      <w:r>
        <w:rPr>
          <w:rFonts w:ascii="仿宋" w:eastAsia="仿宋" w:hAnsi="仿宋" w:cs="SimSun,Bold" w:hint="eastAsia"/>
          <w:b/>
          <w:bCs/>
          <w:kern w:val="0"/>
          <w:sz w:val="36"/>
          <w:szCs w:val="36"/>
        </w:rPr>
        <w:t>基金托管人：招商银行股份有限公司</w:t>
      </w:r>
    </w:p>
    <w:p w:rsidR="00E45E2B" w:rsidRDefault="00E45E2B" w:rsidP="00E45E2B">
      <w:pPr>
        <w:autoSpaceDE w:val="0"/>
        <w:autoSpaceDN w:val="0"/>
        <w:adjustRightInd w:val="0"/>
        <w:jc w:val="center"/>
        <w:rPr>
          <w:rFonts w:ascii="仿宋" w:eastAsia="仿宋" w:hAnsi="仿宋" w:cs="SimSun,Bold"/>
          <w:b/>
          <w:bCs/>
          <w:kern w:val="0"/>
          <w:sz w:val="36"/>
          <w:szCs w:val="36"/>
        </w:rPr>
      </w:pPr>
    </w:p>
    <w:p w:rsidR="00E45E2B" w:rsidRDefault="00E45E2B" w:rsidP="00E45E2B">
      <w:pPr>
        <w:autoSpaceDE w:val="0"/>
        <w:autoSpaceDN w:val="0"/>
        <w:adjustRightInd w:val="0"/>
        <w:jc w:val="center"/>
        <w:rPr>
          <w:rFonts w:ascii="仿宋" w:eastAsia="仿宋" w:hAnsi="仿宋" w:cs="SimSun,Bold"/>
          <w:b/>
          <w:bCs/>
          <w:kern w:val="0"/>
          <w:sz w:val="36"/>
          <w:szCs w:val="36"/>
        </w:rPr>
      </w:pPr>
      <w:r>
        <w:rPr>
          <w:rFonts w:ascii="仿宋" w:eastAsia="仿宋" w:hAnsi="仿宋" w:cs="SimSun,Bold" w:hint="eastAsia"/>
          <w:b/>
          <w:bCs/>
          <w:kern w:val="0"/>
          <w:sz w:val="36"/>
          <w:szCs w:val="36"/>
        </w:rPr>
        <w:t xml:space="preserve">二零二四年 </w:t>
      </w:r>
      <w:r>
        <w:rPr>
          <w:rFonts w:ascii="仿宋" w:eastAsia="仿宋" w:hAnsi="仿宋" w:cs="SimSun,Bold"/>
          <w:b/>
          <w:bCs/>
          <w:kern w:val="0"/>
          <w:sz w:val="36"/>
          <w:szCs w:val="36"/>
        </w:rPr>
        <w:t xml:space="preserve"> </w:t>
      </w:r>
      <w:r>
        <w:rPr>
          <w:rFonts w:ascii="仿宋" w:eastAsia="仿宋" w:hAnsi="仿宋" w:cs="SimSun,Bold" w:hint="eastAsia"/>
          <w:b/>
          <w:bCs/>
          <w:kern w:val="0"/>
          <w:sz w:val="36"/>
          <w:szCs w:val="36"/>
        </w:rPr>
        <w:t>月</w:t>
      </w:r>
    </w:p>
    <w:p w:rsidR="00E45E2B" w:rsidRDefault="00E45E2B" w:rsidP="00E45E2B">
      <w:pPr>
        <w:widowControl/>
        <w:jc w:val="left"/>
        <w:rPr>
          <w:rFonts w:ascii="仿宋" w:eastAsia="仿宋" w:hAnsi="仿宋" w:cs="SimSun,Bold"/>
          <w:b/>
          <w:bCs/>
          <w:kern w:val="0"/>
          <w:sz w:val="36"/>
          <w:szCs w:val="36"/>
        </w:rPr>
      </w:pPr>
      <w:r>
        <w:rPr>
          <w:rFonts w:ascii="仿宋" w:eastAsia="仿宋" w:hAnsi="仿宋" w:cs="SimSun,Bold"/>
          <w:b/>
          <w:bCs/>
          <w:kern w:val="0"/>
          <w:sz w:val="36"/>
          <w:szCs w:val="36"/>
        </w:rPr>
        <w:br w:type="page"/>
      </w:r>
    </w:p>
    <w:p w:rsidR="00E45E2B" w:rsidRDefault="00E45E2B" w:rsidP="00E45E2B">
      <w:pPr>
        <w:widowControl/>
        <w:jc w:val="center"/>
        <w:rPr>
          <w:rFonts w:ascii="仿宋" w:eastAsia="仿宋" w:hAnsi="仿宋"/>
          <w:sz w:val="28"/>
          <w:szCs w:val="28"/>
          <w:lang w:val="zh-CN"/>
        </w:rPr>
      </w:pPr>
    </w:p>
    <w:p w:rsidR="00E45E2B" w:rsidRDefault="00E45E2B" w:rsidP="00E45E2B">
      <w:pPr>
        <w:widowControl/>
        <w:jc w:val="center"/>
        <w:rPr>
          <w:rFonts w:ascii="仿宋" w:eastAsia="仿宋" w:hAnsi="仿宋"/>
          <w:sz w:val="28"/>
          <w:szCs w:val="28"/>
          <w:lang w:val="zh-CN"/>
        </w:rPr>
      </w:pPr>
      <w:r>
        <w:rPr>
          <w:rFonts w:ascii="仿宋" w:eastAsia="仿宋" w:hAnsi="仿宋" w:hint="eastAsia"/>
          <w:sz w:val="28"/>
          <w:szCs w:val="28"/>
          <w:lang w:val="zh-CN"/>
        </w:rPr>
        <w:t>目</w:t>
      </w:r>
      <w:r>
        <w:rPr>
          <w:rFonts w:ascii="仿宋" w:eastAsia="仿宋" w:hAnsi="仿宋" w:hint="eastAsia"/>
          <w:sz w:val="28"/>
          <w:szCs w:val="28"/>
        </w:rPr>
        <w:t xml:space="preserve"> </w:t>
      </w:r>
      <w:r>
        <w:rPr>
          <w:rFonts w:ascii="仿宋" w:eastAsia="仿宋" w:hAnsi="仿宋" w:hint="eastAsia"/>
          <w:sz w:val="28"/>
          <w:szCs w:val="28"/>
          <w:lang w:val="zh-CN"/>
        </w:rPr>
        <w:t>录</w:t>
      </w:r>
    </w:p>
    <w:bookmarkEnd w:id="7"/>
    <w:bookmarkEnd w:id="8"/>
    <w:bookmarkEnd w:id="9"/>
    <w:bookmarkEnd w:id="10"/>
    <w:bookmarkEnd w:id="11"/>
    <w:p w:rsidR="00E45E2B" w:rsidRDefault="00E45E2B" w:rsidP="00E45E2B">
      <w:pPr>
        <w:pStyle w:val="10"/>
        <w:tabs>
          <w:tab w:val="right" w:leader="dot" w:pos="8296"/>
        </w:tabs>
        <w:spacing w:line="360" w:lineRule="auto"/>
        <w:rPr>
          <w:rFonts w:ascii="仿宋" w:eastAsia="仿宋" w:hAnsi="仿宋"/>
          <w:kern w:val="0"/>
          <w:sz w:val="24"/>
          <w:szCs w:val="24"/>
        </w:rPr>
      </w:pPr>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r>
        <w:rPr>
          <w:rFonts w:ascii="仿宋" w:eastAsia="仿宋" w:hAnsi="仿宋"/>
          <w:kern w:val="0"/>
          <w:sz w:val="24"/>
          <w:szCs w:val="24"/>
        </w:rPr>
        <w:fldChar w:fldCharType="begin"/>
      </w:r>
      <w:r w:rsidR="00E45E2B">
        <w:rPr>
          <w:rFonts w:ascii="仿宋" w:eastAsia="仿宋" w:hAnsi="仿宋"/>
          <w:kern w:val="0"/>
          <w:sz w:val="24"/>
          <w:szCs w:val="24"/>
        </w:rPr>
        <w:instrText xml:space="preserve"> TOC \o "1-3" \h \z \u </w:instrText>
      </w:r>
      <w:r>
        <w:rPr>
          <w:rFonts w:ascii="仿宋" w:eastAsia="仿宋" w:hAnsi="仿宋"/>
          <w:kern w:val="0"/>
          <w:sz w:val="24"/>
          <w:szCs w:val="24"/>
        </w:rPr>
        <w:fldChar w:fldCharType="separate"/>
      </w:r>
      <w:hyperlink w:anchor="_Toc169163861" w:history="1">
        <w:r w:rsidR="00E45E2B" w:rsidRPr="008E5D99">
          <w:rPr>
            <w:rStyle w:val="a8"/>
            <w:noProof/>
          </w:rPr>
          <w:t>第一部分</w:t>
        </w:r>
        <w:r w:rsidR="00E45E2B" w:rsidRPr="008E5D99">
          <w:rPr>
            <w:rStyle w:val="a8"/>
            <w:noProof/>
          </w:rPr>
          <w:t xml:space="preserve">    </w:t>
        </w:r>
        <w:r w:rsidR="00E45E2B" w:rsidRPr="008E5D99">
          <w:rPr>
            <w:rStyle w:val="a8"/>
            <w:noProof/>
          </w:rPr>
          <w:t>前言</w:t>
        </w:r>
        <w:r w:rsidR="00E45E2B">
          <w:rPr>
            <w:noProof/>
            <w:webHidden/>
          </w:rPr>
          <w:tab/>
        </w:r>
        <w:r>
          <w:rPr>
            <w:noProof/>
            <w:webHidden/>
          </w:rPr>
          <w:fldChar w:fldCharType="begin"/>
        </w:r>
        <w:r w:rsidR="00E45E2B">
          <w:rPr>
            <w:noProof/>
            <w:webHidden/>
          </w:rPr>
          <w:instrText xml:space="preserve"> PAGEREF _Toc169163861 \h </w:instrText>
        </w:r>
        <w:r>
          <w:rPr>
            <w:noProof/>
            <w:webHidden/>
          </w:rPr>
        </w:r>
        <w:r>
          <w:rPr>
            <w:noProof/>
            <w:webHidden/>
          </w:rPr>
          <w:fldChar w:fldCharType="separate"/>
        </w:r>
        <w:r w:rsidR="00E45E2B">
          <w:rPr>
            <w:noProof/>
            <w:webHidden/>
          </w:rPr>
          <w:t>3</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62" w:history="1">
        <w:r w:rsidR="00E45E2B" w:rsidRPr="008E5D99">
          <w:rPr>
            <w:rStyle w:val="a8"/>
            <w:noProof/>
          </w:rPr>
          <w:t>第二部分</w:t>
        </w:r>
        <w:r w:rsidR="00E45E2B" w:rsidRPr="008E5D99">
          <w:rPr>
            <w:rStyle w:val="a8"/>
            <w:noProof/>
          </w:rPr>
          <w:t xml:space="preserve">    </w:t>
        </w:r>
        <w:r w:rsidR="00E45E2B" w:rsidRPr="008E5D99">
          <w:rPr>
            <w:rStyle w:val="a8"/>
            <w:noProof/>
          </w:rPr>
          <w:t>释义</w:t>
        </w:r>
        <w:r w:rsidR="00E45E2B">
          <w:rPr>
            <w:noProof/>
            <w:webHidden/>
          </w:rPr>
          <w:tab/>
        </w:r>
        <w:r>
          <w:rPr>
            <w:noProof/>
            <w:webHidden/>
          </w:rPr>
          <w:fldChar w:fldCharType="begin"/>
        </w:r>
        <w:r w:rsidR="00E45E2B">
          <w:rPr>
            <w:noProof/>
            <w:webHidden/>
          </w:rPr>
          <w:instrText xml:space="preserve"> PAGEREF _Toc169163862 \h </w:instrText>
        </w:r>
        <w:r>
          <w:rPr>
            <w:noProof/>
            <w:webHidden/>
          </w:rPr>
        </w:r>
        <w:r>
          <w:rPr>
            <w:noProof/>
            <w:webHidden/>
          </w:rPr>
          <w:fldChar w:fldCharType="separate"/>
        </w:r>
        <w:r w:rsidR="00E45E2B">
          <w:rPr>
            <w:noProof/>
            <w:webHidden/>
          </w:rPr>
          <w:t>6</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63" w:history="1">
        <w:r w:rsidR="00E45E2B" w:rsidRPr="008E5D99">
          <w:rPr>
            <w:rStyle w:val="a8"/>
            <w:noProof/>
          </w:rPr>
          <w:t>第三部分</w:t>
        </w:r>
        <w:r w:rsidR="00E45E2B" w:rsidRPr="008E5D99">
          <w:rPr>
            <w:rStyle w:val="a8"/>
            <w:noProof/>
          </w:rPr>
          <w:t xml:space="preserve">    </w:t>
        </w:r>
        <w:r w:rsidR="00E45E2B" w:rsidRPr="008E5D99">
          <w:rPr>
            <w:rStyle w:val="a8"/>
            <w:noProof/>
          </w:rPr>
          <w:t>基金的基本情况</w:t>
        </w:r>
        <w:r w:rsidR="00E45E2B">
          <w:rPr>
            <w:noProof/>
            <w:webHidden/>
          </w:rPr>
          <w:tab/>
        </w:r>
        <w:r>
          <w:rPr>
            <w:noProof/>
            <w:webHidden/>
          </w:rPr>
          <w:fldChar w:fldCharType="begin"/>
        </w:r>
        <w:r w:rsidR="00E45E2B">
          <w:rPr>
            <w:noProof/>
            <w:webHidden/>
          </w:rPr>
          <w:instrText xml:space="preserve"> PAGEREF _Toc169163863 \h </w:instrText>
        </w:r>
        <w:r>
          <w:rPr>
            <w:noProof/>
            <w:webHidden/>
          </w:rPr>
        </w:r>
        <w:r>
          <w:rPr>
            <w:noProof/>
            <w:webHidden/>
          </w:rPr>
          <w:fldChar w:fldCharType="separate"/>
        </w:r>
        <w:r w:rsidR="00E45E2B">
          <w:rPr>
            <w:noProof/>
            <w:webHidden/>
          </w:rPr>
          <w:t>12</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64" w:history="1">
        <w:r w:rsidR="00E45E2B" w:rsidRPr="008E5D99">
          <w:rPr>
            <w:rStyle w:val="a8"/>
            <w:noProof/>
            <w:kern w:val="0"/>
          </w:rPr>
          <w:t>第四部分</w:t>
        </w:r>
        <w:r w:rsidR="00E45E2B" w:rsidRPr="008E5D99">
          <w:rPr>
            <w:rStyle w:val="a8"/>
            <w:noProof/>
            <w:kern w:val="0"/>
          </w:rPr>
          <w:t xml:space="preserve">    </w:t>
        </w:r>
        <w:r w:rsidR="00E45E2B" w:rsidRPr="008E5D99">
          <w:rPr>
            <w:rStyle w:val="a8"/>
            <w:noProof/>
            <w:kern w:val="0"/>
          </w:rPr>
          <w:t>基金的历史沿革</w:t>
        </w:r>
        <w:r w:rsidR="00E45E2B">
          <w:rPr>
            <w:noProof/>
            <w:webHidden/>
          </w:rPr>
          <w:tab/>
        </w:r>
        <w:r>
          <w:rPr>
            <w:noProof/>
            <w:webHidden/>
          </w:rPr>
          <w:fldChar w:fldCharType="begin"/>
        </w:r>
        <w:r w:rsidR="00E45E2B">
          <w:rPr>
            <w:noProof/>
            <w:webHidden/>
          </w:rPr>
          <w:instrText xml:space="preserve"> PAGEREF _Toc169163864 \h </w:instrText>
        </w:r>
        <w:r>
          <w:rPr>
            <w:noProof/>
            <w:webHidden/>
          </w:rPr>
        </w:r>
        <w:r>
          <w:rPr>
            <w:noProof/>
            <w:webHidden/>
          </w:rPr>
          <w:fldChar w:fldCharType="separate"/>
        </w:r>
        <w:r w:rsidR="00E45E2B">
          <w:rPr>
            <w:noProof/>
            <w:webHidden/>
          </w:rPr>
          <w:t>13</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65" w:history="1">
        <w:r w:rsidR="00E45E2B" w:rsidRPr="008E5D99">
          <w:rPr>
            <w:rStyle w:val="a8"/>
            <w:noProof/>
            <w:kern w:val="0"/>
          </w:rPr>
          <w:t>第五部分</w:t>
        </w:r>
        <w:r w:rsidR="00E45E2B" w:rsidRPr="008E5D99">
          <w:rPr>
            <w:rStyle w:val="a8"/>
            <w:noProof/>
            <w:kern w:val="0"/>
          </w:rPr>
          <w:t xml:space="preserve">    </w:t>
        </w:r>
        <w:r w:rsidR="00E45E2B" w:rsidRPr="008E5D99">
          <w:rPr>
            <w:rStyle w:val="a8"/>
            <w:noProof/>
            <w:kern w:val="0"/>
          </w:rPr>
          <w:t>基金的存续</w:t>
        </w:r>
        <w:r w:rsidR="00E45E2B">
          <w:rPr>
            <w:noProof/>
            <w:webHidden/>
          </w:rPr>
          <w:tab/>
        </w:r>
        <w:r>
          <w:rPr>
            <w:noProof/>
            <w:webHidden/>
          </w:rPr>
          <w:fldChar w:fldCharType="begin"/>
        </w:r>
        <w:r w:rsidR="00E45E2B">
          <w:rPr>
            <w:noProof/>
            <w:webHidden/>
          </w:rPr>
          <w:instrText xml:space="preserve"> PAGEREF _Toc169163865 \h </w:instrText>
        </w:r>
        <w:r>
          <w:rPr>
            <w:noProof/>
            <w:webHidden/>
          </w:rPr>
        </w:r>
        <w:r>
          <w:rPr>
            <w:noProof/>
            <w:webHidden/>
          </w:rPr>
          <w:fldChar w:fldCharType="separate"/>
        </w:r>
        <w:r w:rsidR="00E45E2B">
          <w:rPr>
            <w:noProof/>
            <w:webHidden/>
          </w:rPr>
          <w:t>14</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66" w:history="1">
        <w:r w:rsidR="00E45E2B" w:rsidRPr="008E5D99">
          <w:rPr>
            <w:rStyle w:val="a8"/>
            <w:noProof/>
            <w:kern w:val="0"/>
          </w:rPr>
          <w:t>第六部分</w:t>
        </w:r>
        <w:r w:rsidR="00E45E2B" w:rsidRPr="008E5D99">
          <w:rPr>
            <w:rStyle w:val="a8"/>
            <w:noProof/>
            <w:kern w:val="0"/>
          </w:rPr>
          <w:t xml:space="preserve">    </w:t>
        </w:r>
        <w:r w:rsidR="00E45E2B" w:rsidRPr="008E5D99">
          <w:rPr>
            <w:rStyle w:val="a8"/>
            <w:noProof/>
            <w:kern w:val="0"/>
          </w:rPr>
          <w:t>基金份额的申购、赎回与转换</w:t>
        </w:r>
        <w:r w:rsidR="00E45E2B">
          <w:rPr>
            <w:noProof/>
            <w:webHidden/>
          </w:rPr>
          <w:tab/>
        </w:r>
        <w:r>
          <w:rPr>
            <w:noProof/>
            <w:webHidden/>
          </w:rPr>
          <w:fldChar w:fldCharType="begin"/>
        </w:r>
        <w:r w:rsidR="00E45E2B">
          <w:rPr>
            <w:noProof/>
            <w:webHidden/>
          </w:rPr>
          <w:instrText xml:space="preserve"> PAGEREF _Toc169163866 \h </w:instrText>
        </w:r>
        <w:r>
          <w:rPr>
            <w:noProof/>
            <w:webHidden/>
          </w:rPr>
        </w:r>
        <w:r>
          <w:rPr>
            <w:noProof/>
            <w:webHidden/>
          </w:rPr>
          <w:fldChar w:fldCharType="separate"/>
        </w:r>
        <w:r w:rsidR="00E45E2B">
          <w:rPr>
            <w:noProof/>
            <w:webHidden/>
          </w:rPr>
          <w:t>15</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67" w:history="1">
        <w:r w:rsidR="00E45E2B" w:rsidRPr="008E5D99">
          <w:rPr>
            <w:rStyle w:val="a8"/>
            <w:noProof/>
            <w:kern w:val="0"/>
          </w:rPr>
          <w:t>第七部分</w:t>
        </w:r>
        <w:r w:rsidR="00E45E2B" w:rsidRPr="008E5D99">
          <w:rPr>
            <w:rStyle w:val="a8"/>
            <w:noProof/>
            <w:kern w:val="0"/>
          </w:rPr>
          <w:t xml:space="preserve">    </w:t>
        </w:r>
        <w:r w:rsidR="00E45E2B" w:rsidRPr="008E5D99">
          <w:rPr>
            <w:rStyle w:val="a8"/>
            <w:noProof/>
            <w:kern w:val="0"/>
          </w:rPr>
          <w:t>基金合同当事人及权利义务</w:t>
        </w:r>
        <w:r w:rsidR="00E45E2B">
          <w:rPr>
            <w:noProof/>
            <w:webHidden/>
          </w:rPr>
          <w:tab/>
        </w:r>
        <w:r>
          <w:rPr>
            <w:noProof/>
            <w:webHidden/>
          </w:rPr>
          <w:fldChar w:fldCharType="begin"/>
        </w:r>
        <w:r w:rsidR="00E45E2B">
          <w:rPr>
            <w:noProof/>
            <w:webHidden/>
          </w:rPr>
          <w:instrText xml:space="preserve"> PAGEREF _Toc169163867 \h </w:instrText>
        </w:r>
        <w:r>
          <w:rPr>
            <w:noProof/>
            <w:webHidden/>
          </w:rPr>
        </w:r>
        <w:r>
          <w:rPr>
            <w:noProof/>
            <w:webHidden/>
          </w:rPr>
          <w:fldChar w:fldCharType="separate"/>
        </w:r>
        <w:r w:rsidR="00E45E2B">
          <w:rPr>
            <w:noProof/>
            <w:webHidden/>
          </w:rPr>
          <w:t>25</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68" w:history="1">
        <w:r w:rsidR="00E45E2B" w:rsidRPr="008E5D99">
          <w:rPr>
            <w:rStyle w:val="a8"/>
            <w:noProof/>
            <w:kern w:val="0"/>
          </w:rPr>
          <w:t>第八部分</w:t>
        </w:r>
        <w:r w:rsidR="00E45E2B" w:rsidRPr="008E5D99">
          <w:rPr>
            <w:rStyle w:val="a8"/>
            <w:noProof/>
            <w:kern w:val="0"/>
          </w:rPr>
          <w:t xml:space="preserve">    </w:t>
        </w:r>
        <w:r w:rsidR="00E45E2B" w:rsidRPr="008E5D99">
          <w:rPr>
            <w:rStyle w:val="a8"/>
            <w:noProof/>
            <w:kern w:val="0"/>
          </w:rPr>
          <w:t>基金份额持有人大会</w:t>
        </w:r>
        <w:r w:rsidR="00E45E2B">
          <w:rPr>
            <w:noProof/>
            <w:webHidden/>
          </w:rPr>
          <w:tab/>
        </w:r>
        <w:r>
          <w:rPr>
            <w:noProof/>
            <w:webHidden/>
          </w:rPr>
          <w:fldChar w:fldCharType="begin"/>
        </w:r>
        <w:r w:rsidR="00E45E2B">
          <w:rPr>
            <w:noProof/>
            <w:webHidden/>
          </w:rPr>
          <w:instrText xml:space="preserve"> PAGEREF _Toc169163868 \h </w:instrText>
        </w:r>
        <w:r>
          <w:rPr>
            <w:noProof/>
            <w:webHidden/>
          </w:rPr>
        </w:r>
        <w:r>
          <w:rPr>
            <w:noProof/>
            <w:webHidden/>
          </w:rPr>
          <w:fldChar w:fldCharType="separate"/>
        </w:r>
        <w:r w:rsidR="00E45E2B">
          <w:rPr>
            <w:noProof/>
            <w:webHidden/>
          </w:rPr>
          <w:t>33</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69" w:history="1">
        <w:r w:rsidR="00E45E2B" w:rsidRPr="008E5D99">
          <w:rPr>
            <w:rStyle w:val="a8"/>
            <w:noProof/>
          </w:rPr>
          <w:t>第九部分</w:t>
        </w:r>
        <w:r w:rsidR="00E45E2B" w:rsidRPr="008E5D99">
          <w:rPr>
            <w:rStyle w:val="a8"/>
            <w:noProof/>
          </w:rPr>
          <w:t xml:space="preserve">    </w:t>
        </w:r>
        <w:r w:rsidR="00E45E2B" w:rsidRPr="008E5D99">
          <w:rPr>
            <w:rStyle w:val="a8"/>
            <w:noProof/>
          </w:rPr>
          <w:t>基金管理人、基金托管人的更换条件和程序</w:t>
        </w:r>
        <w:r w:rsidR="00E45E2B">
          <w:rPr>
            <w:noProof/>
            <w:webHidden/>
          </w:rPr>
          <w:tab/>
        </w:r>
        <w:r>
          <w:rPr>
            <w:noProof/>
            <w:webHidden/>
          </w:rPr>
          <w:fldChar w:fldCharType="begin"/>
        </w:r>
        <w:r w:rsidR="00E45E2B">
          <w:rPr>
            <w:noProof/>
            <w:webHidden/>
          </w:rPr>
          <w:instrText xml:space="preserve"> PAGEREF _Toc169163869 \h </w:instrText>
        </w:r>
        <w:r>
          <w:rPr>
            <w:noProof/>
            <w:webHidden/>
          </w:rPr>
        </w:r>
        <w:r>
          <w:rPr>
            <w:noProof/>
            <w:webHidden/>
          </w:rPr>
          <w:fldChar w:fldCharType="separate"/>
        </w:r>
        <w:r w:rsidR="00E45E2B">
          <w:rPr>
            <w:noProof/>
            <w:webHidden/>
          </w:rPr>
          <w:t>42</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70" w:history="1">
        <w:r w:rsidR="00E45E2B" w:rsidRPr="008E5D99">
          <w:rPr>
            <w:rStyle w:val="a8"/>
            <w:noProof/>
          </w:rPr>
          <w:t>第十部分</w:t>
        </w:r>
        <w:r w:rsidR="00E45E2B" w:rsidRPr="008E5D99">
          <w:rPr>
            <w:rStyle w:val="a8"/>
            <w:noProof/>
          </w:rPr>
          <w:t xml:space="preserve">    </w:t>
        </w:r>
        <w:r w:rsidR="00E45E2B" w:rsidRPr="008E5D99">
          <w:rPr>
            <w:rStyle w:val="a8"/>
            <w:noProof/>
          </w:rPr>
          <w:t>基金的托管</w:t>
        </w:r>
        <w:r w:rsidR="00E45E2B">
          <w:rPr>
            <w:noProof/>
            <w:webHidden/>
          </w:rPr>
          <w:tab/>
        </w:r>
        <w:r>
          <w:rPr>
            <w:noProof/>
            <w:webHidden/>
          </w:rPr>
          <w:fldChar w:fldCharType="begin"/>
        </w:r>
        <w:r w:rsidR="00E45E2B">
          <w:rPr>
            <w:noProof/>
            <w:webHidden/>
          </w:rPr>
          <w:instrText xml:space="preserve"> PAGEREF _Toc169163870 \h </w:instrText>
        </w:r>
        <w:r>
          <w:rPr>
            <w:noProof/>
            <w:webHidden/>
          </w:rPr>
        </w:r>
        <w:r>
          <w:rPr>
            <w:noProof/>
            <w:webHidden/>
          </w:rPr>
          <w:fldChar w:fldCharType="separate"/>
        </w:r>
        <w:r w:rsidR="00E45E2B">
          <w:rPr>
            <w:noProof/>
            <w:webHidden/>
          </w:rPr>
          <w:t>45</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71" w:history="1">
        <w:r w:rsidR="00E45E2B" w:rsidRPr="008E5D99">
          <w:rPr>
            <w:rStyle w:val="a8"/>
            <w:noProof/>
            <w:kern w:val="0"/>
          </w:rPr>
          <w:t>第十一部分</w:t>
        </w:r>
        <w:r w:rsidR="00E45E2B" w:rsidRPr="008E5D99">
          <w:rPr>
            <w:rStyle w:val="a8"/>
            <w:noProof/>
            <w:kern w:val="0"/>
          </w:rPr>
          <w:t xml:space="preserve">    </w:t>
        </w:r>
        <w:r w:rsidR="00E45E2B" w:rsidRPr="008E5D99">
          <w:rPr>
            <w:rStyle w:val="a8"/>
            <w:noProof/>
            <w:kern w:val="0"/>
          </w:rPr>
          <w:t>基金份额的登记</w:t>
        </w:r>
        <w:r w:rsidR="00E45E2B">
          <w:rPr>
            <w:noProof/>
            <w:webHidden/>
          </w:rPr>
          <w:tab/>
        </w:r>
        <w:r>
          <w:rPr>
            <w:noProof/>
            <w:webHidden/>
          </w:rPr>
          <w:fldChar w:fldCharType="begin"/>
        </w:r>
        <w:r w:rsidR="00E45E2B">
          <w:rPr>
            <w:noProof/>
            <w:webHidden/>
          </w:rPr>
          <w:instrText xml:space="preserve"> PAGEREF _Toc169163871 \h </w:instrText>
        </w:r>
        <w:r>
          <w:rPr>
            <w:noProof/>
            <w:webHidden/>
          </w:rPr>
        </w:r>
        <w:r>
          <w:rPr>
            <w:noProof/>
            <w:webHidden/>
          </w:rPr>
          <w:fldChar w:fldCharType="separate"/>
        </w:r>
        <w:r w:rsidR="00E45E2B">
          <w:rPr>
            <w:noProof/>
            <w:webHidden/>
          </w:rPr>
          <w:t>46</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72" w:history="1">
        <w:r w:rsidR="00E45E2B" w:rsidRPr="008E5D99">
          <w:rPr>
            <w:rStyle w:val="a8"/>
            <w:noProof/>
            <w:kern w:val="0"/>
          </w:rPr>
          <w:t>第十二部分</w:t>
        </w:r>
        <w:r w:rsidR="00E45E2B" w:rsidRPr="008E5D99">
          <w:rPr>
            <w:rStyle w:val="a8"/>
            <w:noProof/>
            <w:kern w:val="0"/>
          </w:rPr>
          <w:t xml:space="preserve">    </w:t>
        </w:r>
        <w:r w:rsidR="00E45E2B" w:rsidRPr="008E5D99">
          <w:rPr>
            <w:rStyle w:val="a8"/>
            <w:noProof/>
            <w:kern w:val="0"/>
          </w:rPr>
          <w:t>基金的投资</w:t>
        </w:r>
        <w:r w:rsidR="00E45E2B">
          <w:rPr>
            <w:noProof/>
            <w:webHidden/>
          </w:rPr>
          <w:tab/>
        </w:r>
        <w:r>
          <w:rPr>
            <w:noProof/>
            <w:webHidden/>
          </w:rPr>
          <w:fldChar w:fldCharType="begin"/>
        </w:r>
        <w:r w:rsidR="00E45E2B">
          <w:rPr>
            <w:noProof/>
            <w:webHidden/>
          </w:rPr>
          <w:instrText xml:space="preserve"> PAGEREF _Toc169163872 \h </w:instrText>
        </w:r>
        <w:r>
          <w:rPr>
            <w:noProof/>
            <w:webHidden/>
          </w:rPr>
        </w:r>
        <w:r>
          <w:rPr>
            <w:noProof/>
            <w:webHidden/>
          </w:rPr>
          <w:fldChar w:fldCharType="separate"/>
        </w:r>
        <w:r w:rsidR="00E45E2B">
          <w:rPr>
            <w:noProof/>
            <w:webHidden/>
          </w:rPr>
          <w:t>48</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73" w:history="1">
        <w:r w:rsidR="00E45E2B" w:rsidRPr="008E5D99">
          <w:rPr>
            <w:rStyle w:val="a8"/>
            <w:noProof/>
            <w:kern w:val="0"/>
          </w:rPr>
          <w:t>第十三部分</w:t>
        </w:r>
        <w:r w:rsidR="00E45E2B" w:rsidRPr="008E5D99">
          <w:rPr>
            <w:rStyle w:val="a8"/>
            <w:noProof/>
            <w:kern w:val="0"/>
          </w:rPr>
          <w:t xml:space="preserve">    </w:t>
        </w:r>
        <w:r w:rsidR="00E45E2B" w:rsidRPr="008E5D99">
          <w:rPr>
            <w:rStyle w:val="a8"/>
            <w:noProof/>
            <w:kern w:val="0"/>
          </w:rPr>
          <w:t>基金的财产</w:t>
        </w:r>
        <w:r w:rsidR="00E45E2B">
          <w:rPr>
            <w:noProof/>
            <w:webHidden/>
          </w:rPr>
          <w:tab/>
        </w:r>
        <w:r>
          <w:rPr>
            <w:noProof/>
            <w:webHidden/>
          </w:rPr>
          <w:fldChar w:fldCharType="begin"/>
        </w:r>
        <w:r w:rsidR="00E45E2B">
          <w:rPr>
            <w:noProof/>
            <w:webHidden/>
          </w:rPr>
          <w:instrText xml:space="preserve"> PAGEREF _Toc169163873 \h </w:instrText>
        </w:r>
        <w:r>
          <w:rPr>
            <w:noProof/>
            <w:webHidden/>
          </w:rPr>
        </w:r>
        <w:r>
          <w:rPr>
            <w:noProof/>
            <w:webHidden/>
          </w:rPr>
          <w:fldChar w:fldCharType="separate"/>
        </w:r>
        <w:r w:rsidR="00E45E2B">
          <w:rPr>
            <w:noProof/>
            <w:webHidden/>
          </w:rPr>
          <w:t>60</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74" w:history="1">
        <w:r w:rsidR="00E45E2B" w:rsidRPr="008E5D99">
          <w:rPr>
            <w:rStyle w:val="a8"/>
            <w:noProof/>
            <w:kern w:val="0"/>
          </w:rPr>
          <w:t>第十四部分</w:t>
        </w:r>
        <w:r w:rsidR="00E45E2B" w:rsidRPr="008E5D99">
          <w:rPr>
            <w:rStyle w:val="a8"/>
            <w:noProof/>
            <w:kern w:val="0"/>
          </w:rPr>
          <w:t xml:space="preserve">    </w:t>
        </w:r>
        <w:r w:rsidR="00E45E2B" w:rsidRPr="008E5D99">
          <w:rPr>
            <w:rStyle w:val="a8"/>
            <w:noProof/>
            <w:kern w:val="0"/>
          </w:rPr>
          <w:t>基金资产估值</w:t>
        </w:r>
        <w:r w:rsidR="00E45E2B">
          <w:rPr>
            <w:noProof/>
            <w:webHidden/>
          </w:rPr>
          <w:tab/>
        </w:r>
        <w:r>
          <w:rPr>
            <w:noProof/>
            <w:webHidden/>
          </w:rPr>
          <w:fldChar w:fldCharType="begin"/>
        </w:r>
        <w:r w:rsidR="00E45E2B">
          <w:rPr>
            <w:noProof/>
            <w:webHidden/>
          </w:rPr>
          <w:instrText xml:space="preserve"> PAGEREF _Toc169163874 \h </w:instrText>
        </w:r>
        <w:r>
          <w:rPr>
            <w:noProof/>
            <w:webHidden/>
          </w:rPr>
        </w:r>
        <w:r>
          <w:rPr>
            <w:noProof/>
            <w:webHidden/>
          </w:rPr>
          <w:fldChar w:fldCharType="separate"/>
        </w:r>
        <w:r w:rsidR="00E45E2B">
          <w:rPr>
            <w:noProof/>
            <w:webHidden/>
          </w:rPr>
          <w:t>61</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75" w:history="1">
        <w:r w:rsidR="00E45E2B" w:rsidRPr="008E5D99">
          <w:rPr>
            <w:rStyle w:val="a8"/>
            <w:noProof/>
            <w:kern w:val="0"/>
          </w:rPr>
          <w:t>第十五部分</w:t>
        </w:r>
        <w:r w:rsidR="00E45E2B" w:rsidRPr="008E5D99">
          <w:rPr>
            <w:rStyle w:val="a8"/>
            <w:noProof/>
            <w:kern w:val="0"/>
          </w:rPr>
          <w:t xml:space="preserve">    </w:t>
        </w:r>
        <w:r w:rsidR="00E45E2B" w:rsidRPr="008E5D99">
          <w:rPr>
            <w:rStyle w:val="a8"/>
            <w:noProof/>
            <w:kern w:val="0"/>
          </w:rPr>
          <w:t>基金费用与税收</w:t>
        </w:r>
        <w:r w:rsidR="00E45E2B">
          <w:rPr>
            <w:noProof/>
            <w:webHidden/>
          </w:rPr>
          <w:tab/>
        </w:r>
        <w:r>
          <w:rPr>
            <w:noProof/>
            <w:webHidden/>
          </w:rPr>
          <w:fldChar w:fldCharType="begin"/>
        </w:r>
        <w:r w:rsidR="00E45E2B">
          <w:rPr>
            <w:noProof/>
            <w:webHidden/>
          </w:rPr>
          <w:instrText xml:space="preserve"> PAGEREF _Toc169163875 \h </w:instrText>
        </w:r>
        <w:r>
          <w:rPr>
            <w:noProof/>
            <w:webHidden/>
          </w:rPr>
        </w:r>
        <w:r>
          <w:rPr>
            <w:noProof/>
            <w:webHidden/>
          </w:rPr>
          <w:fldChar w:fldCharType="separate"/>
        </w:r>
        <w:r w:rsidR="00E45E2B">
          <w:rPr>
            <w:noProof/>
            <w:webHidden/>
          </w:rPr>
          <w:t>69</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76" w:history="1">
        <w:r w:rsidR="00E45E2B" w:rsidRPr="008E5D99">
          <w:rPr>
            <w:rStyle w:val="a8"/>
            <w:noProof/>
            <w:kern w:val="0"/>
          </w:rPr>
          <w:t>第十六部分</w:t>
        </w:r>
        <w:r w:rsidR="00E45E2B" w:rsidRPr="008E5D99">
          <w:rPr>
            <w:rStyle w:val="a8"/>
            <w:noProof/>
            <w:kern w:val="0"/>
          </w:rPr>
          <w:t xml:space="preserve">    </w:t>
        </w:r>
        <w:r w:rsidR="00E45E2B" w:rsidRPr="008E5D99">
          <w:rPr>
            <w:rStyle w:val="a8"/>
            <w:noProof/>
            <w:kern w:val="0"/>
          </w:rPr>
          <w:t>基金的收益与分配</w:t>
        </w:r>
        <w:r w:rsidR="00E45E2B">
          <w:rPr>
            <w:noProof/>
            <w:webHidden/>
          </w:rPr>
          <w:tab/>
        </w:r>
        <w:r>
          <w:rPr>
            <w:noProof/>
            <w:webHidden/>
          </w:rPr>
          <w:fldChar w:fldCharType="begin"/>
        </w:r>
        <w:r w:rsidR="00E45E2B">
          <w:rPr>
            <w:noProof/>
            <w:webHidden/>
          </w:rPr>
          <w:instrText xml:space="preserve"> PAGEREF _Toc169163876 \h </w:instrText>
        </w:r>
        <w:r>
          <w:rPr>
            <w:noProof/>
            <w:webHidden/>
          </w:rPr>
        </w:r>
        <w:r>
          <w:rPr>
            <w:noProof/>
            <w:webHidden/>
          </w:rPr>
          <w:fldChar w:fldCharType="separate"/>
        </w:r>
        <w:r w:rsidR="00E45E2B">
          <w:rPr>
            <w:noProof/>
            <w:webHidden/>
          </w:rPr>
          <w:t>72</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77" w:history="1">
        <w:r w:rsidR="00E45E2B" w:rsidRPr="008E5D99">
          <w:rPr>
            <w:rStyle w:val="a8"/>
            <w:noProof/>
            <w:kern w:val="0"/>
          </w:rPr>
          <w:t>第十七部分</w:t>
        </w:r>
        <w:r w:rsidR="00E45E2B" w:rsidRPr="008E5D99">
          <w:rPr>
            <w:rStyle w:val="a8"/>
            <w:noProof/>
            <w:kern w:val="0"/>
          </w:rPr>
          <w:t xml:space="preserve">    </w:t>
        </w:r>
        <w:r w:rsidR="00E45E2B" w:rsidRPr="008E5D99">
          <w:rPr>
            <w:rStyle w:val="a8"/>
            <w:noProof/>
            <w:kern w:val="0"/>
          </w:rPr>
          <w:t>基金的会计与审计</w:t>
        </w:r>
        <w:r w:rsidR="00E45E2B">
          <w:rPr>
            <w:noProof/>
            <w:webHidden/>
          </w:rPr>
          <w:tab/>
        </w:r>
        <w:r>
          <w:rPr>
            <w:noProof/>
            <w:webHidden/>
          </w:rPr>
          <w:fldChar w:fldCharType="begin"/>
        </w:r>
        <w:r w:rsidR="00E45E2B">
          <w:rPr>
            <w:noProof/>
            <w:webHidden/>
          </w:rPr>
          <w:instrText xml:space="preserve"> PAGEREF _Toc169163877 \h </w:instrText>
        </w:r>
        <w:r>
          <w:rPr>
            <w:noProof/>
            <w:webHidden/>
          </w:rPr>
        </w:r>
        <w:r>
          <w:rPr>
            <w:noProof/>
            <w:webHidden/>
          </w:rPr>
          <w:fldChar w:fldCharType="separate"/>
        </w:r>
        <w:r w:rsidR="00E45E2B">
          <w:rPr>
            <w:noProof/>
            <w:webHidden/>
          </w:rPr>
          <w:t>74</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78" w:history="1">
        <w:r w:rsidR="00E45E2B" w:rsidRPr="008E5D99">
          <w:rPr>
            <w:rStyle w:val="a8"/>
            <w:noProof/>
            <w:kern w:val="0"/>
          </w:rPr>
          <w:t>第十八部分</w:t>
        </w:r>
        <w:r w:rsidR="00E45E2B" w:rsidRPr="008E5D99">
          <w:rPr>
            <w:rStyle w:val="a8"/>
            <w:noProof/>
            <w:kern w:val="0"/>
          </w:rPr>
          <w:t xml:space="preserve">    </w:t>
        </w:r>
        <w:r w:rsidR="00E45E2B" w:rsidRPr="008E5D99">
          <w:rPr>
            <w:rStyle w:val="a8"/>
            <w:noProof/>
            <w:kern w:val="0"/>
          </w:rPr>
          <w:t>基金的信息披露</w:t>
        </w:r>
        <w:r w:rsidR="00E45E2B">
          <w:rPr>
            <w:noProof/>
            <w:webHidden/>
          </w:rPr>
          <w:tab/>
        </w:r>
        <w:r>
          <w:rPr>
            <w:noProof/>
            <w:webHidden/>
          </w:rPr>
          <w:fldChar w:fldCharType="begin"/>
        </w:r>
        <w:r w:rsidR="00E45E2B">
          <w:rPr>
            <w:noProof/>
            <w:webHidden/>
          </w:rPr>
          <w:instrText xml:space="preserve"> PAGEREF _Toc169163878 \h </w:instrText>
        </w:r>
        <w:r>
          <w:rPr>
            <w:noProof/>
            <w:webHidden/>
          </w:rPr>
        </w:r>
        <w:r>
          <w:rPr>
            <w:noProof/>
            <w:webHidden/>
          </w:rPr>
          <w:fldChar w:fldCharType="separate"/>
        </w:r>
        <w:r w:rsidR="00E45E2B">
          <w:rPr>
            <w:noProof/>
            <w:webHidden/>
          </w:rPr>
          <w:t>75</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79" w:history="1">
        <w:r w:rsidR="00E45E2B" w:rsidRPr="008E5D99">
          <w:rPr>
            <w:rStyle w:val="a8"/>
            <w:noProof/>
            <w:kern w:val="0"/>
          </w:rPr>
          <w:t>第十九部分</w:t>
        </w:r>
        <w:r w:rsidR="00E45E2B" w:rsidRPr="008E5D99">
          <w:rPr>
            <w:rStyle w:val="a8"/>
            <w:noProof/>
            <w:kern w:val="0"/>
          </w:rPr>
          <w:t xml:space="preserve">    </w:t>
        </w:r>
        <w:r w:rsidR="00E45E2B" w:rsidRPr="008E5D99">
          <w:rPr>
            <w:rStyle w:val="a8"/>
            <w:noProof/>
            <w:kern w:val="0"/>
          </w:rPr>
          <w:t>基金合同的变更、终止与基金财产的清算</w:t>
        </w:r>
        <w:r w:rsidR="00E45E2B">
          <w:rPr>
            <w:noProof/>
            <w:webHidden/>
          </w:rPr>
          <w:tab/>
        </w:r>
        <w:r>
          <w:rPr>
            <w:noProof/>
            <w:webHidden/>
          </w:rPr>
          <w:fldChar w:fldCharType="begin"/>
        </w:r>
        <w:r w:rsidR="00E45E2B">
          <w:rPr>
            <w:noProof/>
            <w:webHidden/>
          </w:rPr>
          <w:instrText xml:space="preserve"> PAGEREF _Toc169163879 \h </w:instrText>
        </w:r>
        <w:r>
          <w:rPr>
            <w:noProof/>
            <w:webHidden/>
          </w:rPr>
        </w:r>
        <w:r>
          <w:rPr>
            <w:noProof/>
            <w:webHidden/>
          </w:rPr>
          <w:fldChar w:fldCharType="separate"/>
        </w:r>
        <w:r w:rsidR="00E45E2B">
          <w:rPr>
            <w:noProof/>
            <w:webHidden/>
          </w:rPr>
          <w:t>83</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80" w:history="1">
        <w:r w:rsidR="00E45E2B" w:rsidRPr="008E5D99">
          <w:rPr>
            <w:rStyle w:val="a8"/>
            <w:noProof/>
            <w:kern w:val="0"/>
          </w:rPr>
          <w:t>第二十部分</w:t>
        </w:r>
        <w:r w:rsidR="00E45E2B" w:rsidRPr="008E5D99">
          <w:rPr>
            <w:rStyle w:val="a8"/>
            <w:noProof/>
            <w:kern w:val="0"/>
          </w:rPr>
          <w:t xml:space="preserve">    </w:t>
        </w:r>
        <w:r w:rsidR="00E45E2B" w:rsidRPr="008E5D99">
          <w:rPr>
            <w:rStyle w:val="a8"/>
            <w:noProof/>
            <w:kern w:val="0"/>
          </w:rPr>
          <w:t>违约责任</w:t>
        </w:r>
        <w:r w:rsidR="00E45E2B">
          <w:rPr>
            <w:noProof/>
            <w:webHidden/>
          </w:rPr>
          <w:tab/>
        </w:r>
        <w:r>
          <w:rPr>
            <w:noProof/>
            <w:webHidden/>
          </w:rPr>
          <w:fldChar w:fldCharType="begin"/>
        </w:r>
        <w:r w:rsidR="00E45E2B">
          <w:rPr>
            <w:noProof/>
            <w:webHidden/>
          </w:rPr>
          <w:instrText xml:space="preserve"> PAGEREF _Toc169163880 \h </w:instrText>
        </w:r>
        <w:r>
          <w:rPr>
            <w:noProof/>
            <w:webHidden/>
          </w:rPr>
        </w:r>
        <w:r>
          <w:rPr>
            <w:noProof/>
            <w:webHidden/>
          </w:rPr>
          <w:fldChar w:fldCharType="separate"/>
        </w:r>
        <w:r w:rsidR="00E45E2B">
          <w:rPr>
            <w:noProof/>
            <w:webHidden/>
          </w:rPr>
          <w:t>85</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81" w:history="1">
        <w:r w:rsidR="00E45E2B" w:rsidRPr="008E5D99">
          <w:rPr>
            <w:rStyle w:val="a8"/>
            <w:noProof/>
            <w:kern w:val="0"/>
          </w:rPr>
          <w:t>第二十一部分</w:t>
        </w:r>
        <w:r w:rsidR="00E45E2B" w:rsidRPr="008E5D99">
          <w:rPr>
            <w:rStyle w:val="a8"/>
            <w:noProof/>
            <w:kern w:val="0"/>
          </w:rPr>
          <w:t xml:space="preserve">    </w:t>
        </w:r>
        <w:r w:rsidR="00E45E2B" w:rsidRPr="008E5D99">
          <w:rPr>
            <w:rStyle w:val="a8"/>
            <w:noProof/>
            <w:kern w:val="0"/>
          </w:rPr>
          <w:t>争议的处理和适用的法律</w:t>
        </w:r>
        <w:r w:rsidR="00E45E2B">
          <w:rPr>
            <w:noProof/>
            <w:webHidden/>
          </w:rPr>
          <w:tab/>
        </w:r>
        <w:r>
          <w:rPr>
            <w:noProof/>
            <w:webHidden/>
          </w:rPr>
          <w:fldChar w:fldCharType="begin"/>
        </w:r>
        <w:r w:rsidR="00E45E2B">
          <w:rPr>
            <w:noProof/>
            <w:webHidden/>
          </w:rPr>
          <w:instrText xml:space="preserve"> PAGEREF _Toc169163881 \h </w:instrText>
        </w:r>
        <w:r>
          <w:rPr>
            <w:noProof/>
            <w:webHidden/>
          </w:rPr>
        </w:r>
        <w:r>
          <w:rPr>
            <w:noProof/>
            <w:webHidden/>
          </w:rPr>
          <w:fldChar w:fldCharType="separate"/>
        </w:r>
        <w:r w:rsidR="00E45E2B">
          <w:rPr>
            <w:noProof/>
            <w:webHidden/>
          </w:rPr>
          <w:t>86</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82" w:history="1">
        <w:r w:rsidR="00E45E2B" w:rsidRPr="008E5D99">
          <w:rPr>
            <w:rStyle w:val="a8"/>
            <w:noProof/>
            <w:kern w:val="0"/>
          </w:rPr>
          <w:t>第二十二部分</w:t>
        </w:r>
        <w:r w:rsidR="00E45E2B" w:rsidRPr="008E5D99">
          <w:rPr>
            <w:rStyle w:val="a8"/>
            <w:noProof/>
            <w:kern w:val="0"/>
          </w:rPr>
          <w:t xml:space="preserve">    </w:t>
        </w:r>
        <w:r w:rsidR="00E45E2B" w:rsidRPr="008E5D99">
          <w:rPr>
            <w:rStyle w:val="a8"/>
            <w:noProof/>
            <w:kern w:val="0"/>
          </w:rPr>
          <w:t>基金合同的效力</w:t>
        </w:r>
        <w:r w:rsidR="00E45E2B">
          <w:rPr>
            <w:noProof/>
            <w:webHidden/>
          </w:rPr>
          <w:tab/>
        </w:r>
        <w:r>
          <w:rPr>
            <w:noProof/>
            <w:webHidden/>
          </w:rPr>
          <w:fldChar w:fldCharType="begin"/>
        </w:r>
        <w:r w:rsidR="00E45E2B">
          <w:rPr>
            <w:noProof/>
            <w:webHidden/>
          </w:rPr>
          <w:instrText xml:space="preserve"> PAGEREF _Toc169163882 \h </w:instrText>
        </w:r>
        <w:r>
          <w:rPr>
            <w:noProof/>
            <w:webHidden/>
          </w:rPr>
        </w:r>
        <w:r>
          <w:rPr>
            <w:noProof/>
            <w:webHidden/>
          </w:rPr>
          <w:fldChar w:fldCharType="separate"/>
        </w:r>
        <w:r w:rsidR="00E45E2B">
          <w:rPr>
            <w:noProof/>
            <w:webHidden/>
          </w:rPr>
          <w:t>87</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83" w:history="1">
        <w:r w:rsidR="00E45E2B" w:rsidRPr="008E5D99">
          <w:rPr>
            <w:rStyle w:val="a8"/>
            <w:noProof/>
            <w:kern w:val="0"/>
          </w:rPr>
          <w:t>第二十三部分</w:t>
        </w:r>
        <w:r w:rsidR="00E45E2B" w:rsidRPr="008E5D99">
          <w:rPr>
            <w:rStyle w:val="a8"/>
            <w:noProof/>
            <w:kern w:val="0"/>
          </w:rPr>
          <w:t xml:space="preserve">    </w:t>
        </w:r>
        <w:r w:rsidR="00E45E2B" w:rsidRPr="008E5D99">
          <w:rPr>
            <w:rStyle w:val="a8"/>
            <w:noProof/>
            <w:kern w:val="0"/>
          </w:rPr>
          <w:t>其他事项</w:t>
        </w:r>
        <w:r w:rsidR="00E45E2B">
          <w:rPr>
            <w:noProof/>
            <w:webHidden/>
          </w:rPr>
          <w:tab/>
        </w:r>
        <w:r>
          <w:rPr>
            <w:noProof/>
            <w:webHidden/>
          </w:rPr>
          <w:fldChar w:fldCharType="begin"/>
        </w:r>
        <w:r w:rsidR="00E45E2B">
          <w:rPr>
            <w:noProof/>
            <w:webHidden/>
          </w:rPr>
          <w:instrText xml:space="preserve"> PAGEREF _Toc169163883 \h </w:instrText>
        </w:r>
        <w:r>
          <w:rPr>
            <w:noProof/>
            <w:webHidden/>
          </w:rPr>
        </w:r>
        <w:r>
          <w:rPr>
            <w:noProof/>
            <w:webHidden/>
          </w:rPr>
          <w:fldChar w:fldCharType="separate"/>
        </w:r>
        <w:r w:rsidR="00E45E2B">
          <w:rPr>
            <w:noProof/>
            <w:webHidden/>
          </w:rPr>
          <w:t>88</w:t>
        </w:r>
        <w:r>
          <w:rPr>
            <w:noProof/>
            <w:webHidden/>
          </w:rPr>
          <w:fldChar w:fldCharType="end"/>
        </w:r>
      </w:hyperlink>
    </w:p>
    <w:p w:rsidR="00E45E2B" w:rsidRDefault="005D5B9A" w:rsidP="00E45E2B">
      <w:pPr>
        <w:pStyle w:val="10"/>
        <w:tabs>
          <w:tab w:val="right" w:leader="dot" w:pos="8296"/>
        </w:tabs>
        <w:spacing w:line="360" w:lineRule="auto"/>
        <w:rPr>
          <w:rFonts w:asciiTheme="minorHAnsi" w:eastAsiaTheme="minorEastAsia" w:hAnsiTheme="minorHAnsi" w:cstheme="minorBidi"/>
          <w:noProof/>
        </w:rPr>
      </w:pPr>
      <w:hyperlink w:anchor="_Toc169163884" w:history="1">
        <w:r w:rsidR="00E45E2B" w:rsidRPr="008E5D99">
          <w:rPr>
            <w:rStyle w:val="a8"/>
            <w:noProof/>
            <w:kern w:val="0"/>
          </w:rPr>
          <w:t>第二十四部分</w:t>
        </w:r>
        <w:r w:rsidR="00E45E2B" w:rsidRPr="008E5D99">
          <w:rPr>
            <w:rStyle w:val="a8"/>
            <w:noProof/>
            <w:kern w:val="0"/>
          </w:rPr>
          <w:t xml:space="preserve">    </w:t>
        </w:r>
        <w:r w:rsidR="00E45E2B" w:rsidRPr="008E5D99">
          <w:rPr>
            <w:rStyle w:val="a8"/>
            <w:noProof/>
            <w:kern w:val="0"/>
          </w:rPr>
          <w:t>基金合同内容摘要</w:t>
        </w:r>
        <w:r w:rsidR="00E45E2B">
          <w:rPr>
            <w:noProof/>
            <w:webHidden/>
          </w:rPr>
          <w:tab/>
        </w:r>
        <w:r>
          <w:rPr>
            <w:noProof/>
            <w:webHidden/>
          </w:rPr>
          <w:fldChar w:fldCharType="begin"/>
        </w:r>
        <w:r w:rsidR="00E45E2B">
          <w:rPr>
            <w:noProof/>
            <w:webHidden/>
          </w:rPr>
          <w:instrText xml:space="preserve"> PAGEREF _Toc169163884 \h </w:instrText>
        </w:r>
        <w:r>
          <w:rPr>
            <w:noProof/>
            <w:webHidden/>
          </w:rPr>
        </w:r>
        <w:r>
          <w:rPr>
            <w:noProof/>
            <w:webHidden/>
          </w:rPr>
          <w:fldChar w:fldCharType="separate"/>
        </w:r>
        <w:r w:rsidR="00E45E2B">
          <w:rPr>
            <w:noProof/>
            <w:webHidden/>
          </w:rPr>
          <w:t>89</w:t>
        </w:r>
        <w:r>
          <w:rPr>
            <w:noProof/>
            <w:webHidden/>
          </w:rPr>
          <w:fldChar w:fldCharType="end"/>
        </w:r>
      </w:hyperlink>
    </w:p>
    <w:p w:rsidR="00E45E2B" w:rsidRDefault="005D5B9A" w:rsidP="00E45E2B">
      <w:pPr>
        <w:pStyle w:val="10"/>
        <w:tabs>
          <w:tab w:val="right" w:leader="dot" w:pos="8296"/>
        </w:tabs>
        <w:spacing w:line="360" w:lineRule="auto"/>
        <w:rPr>
          <w:rFonts w:ascii="仿宋" w:eastAsia="仿宋" w:hAnsi="仿宋"/>
          <w:kern w:val="0"/>
          <w:sz w:val="24"/>
          <w:szCs w:val="24"/>
        </w:rPr>
      </w:pPr>
      <w:r>
        <w:rPr>
          <w:rFonts w:ascii="仿宋" w:eastAsia="仿宋" w:hAnsi="仿宋"/>
          <w:kern w:val="0"/>
          <w:sz w:val="24"/>
          <w:szCs w:val="24"/>
        </w:rPr>
        <w:fldChar w:fldCharType="end"/>
      </w:r>
      <w:bookmarkStart w:id="12" w:name="_Toc4867"/>
      <w:bookmarkStart w:id="13" w:name="_Toc4966"/>
      <w:bookmarkStart w:id="14" w:name="_Toc6306"/>
      <w:bookmarkStart w:id="15" w:name="_Toc26897"/>
      <w:bookmarkStart w:id="16" w:name="_Toc11660"/>
      <w:bookmarkStart w:id="17" w:name="_Toc23386"/>
      <w:bookmarkStart w:id="18" w:name="_Toc30935"/>
      <w:bookmarkStart w:id="19" w:name="_Toc29629"/>
      <w:bookmarkStart w:id="20" w:name="_Toc15517"/>
      <w:bookmarkStart w:id="21" w:name="_Toc139991730"/>
      <w:bookmarkStart w:id="22" w:name="_Toc8727"/>
      <w:bookmarkStart w:id="23" w:name="_Toc141703880"/>
      <w:bookmarkStart w:id="24" w:name="_Toc32639"/>
      <w:bookmarkStart w:id="25" w:name="_Toc123701389"/>
      <w:bookmarkStart w:id="26" w:name="_Toc123112229"/>
      <w:bookmarkStart w:id="27" w:name="_Toc123112268"/>
      <w:bookmarkStart w:id="28" w:name="_Toc233456271"/>
    </w:p>
    <w:p w:rsidR="00E45E2B" w:rsidRDefault="00E45E2B" w:rsidP="00E45E2B">
      <w:pPr>
        <w:widowControl/>
        <w:jc w:val="left"/>
        <w:rPr>
          <w:rFonts w:ascii="仿宋" w:eastAsia="仿宋" w:hAnsi="仿宋"/>
          <w:kern w:val="0"/>
          <w:sz w:val="24"/>
          <w:szCs w:val="24"/>
        </w:rPr>
      </w:pPr>
      <w:r>
        <w:rPr>
          <w:rFonts w:ascii="仿宋" w:eastAsia="仿宋" w:hAnsi="仿宋"/>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29" w:name="_Toc377998616"/>
      <w:bookmarkStart w:id="30" w:name="_Toc459291238"/>
      <w:bookmarkStart w:id="31" w:name="_Toc169163861"/>
      <w:r w:rsidRPr="004F6C89">
        <w:rPr>
          <w:rFonts w:eastAsia="仿宋" w:hint="eastAsia"/>
          <w:sz w:val="30"/>
          <w:szCs w:val="30"/>
          <w:lang w:val="zh-CN"/>
        </w:rPr>
        <w:t>第一部分</w:t>
      </w:r>
      <w:r w:rsidRPr="004F6C89">
        <w:rPr>
          <w:rFonts w:eastAsia="仿宋" w:hint="eastAsia"/>
          <w:sz w:val="30"/>
          <w:szCs w:val="30"/>
          <w:lang w:val="zh-CN"/>
        </w:rPr>
        <w:t xml:space="preserve">    </w:t>
      </w:r>
      <w:r w:rsidRPr="004F6C89">
        <w:rPr>
          <w:rFonts w:eastAsia="仿宋" w:hint="eastAsia"/>
          <w:sz w:val="30"/>
          <w:szCs w:val="30"/>
          <w:lang w:val="zh-CN"/>
        </w:rPr>
        <w:t>前言</w:t>
      </w:r>
      <w:bookmarkEnd w:id="12"/>
      <w:bookmarkEnd w:id="13"/>
      <w:bookmarkEnd w:id="14"/>
      <w:bookmarkEnd w:id="15"/>
      <w:bookmarkEnd w:id="16"/>
      <w:bookmarkEnd w:id="17"/>
      <w:bookmarkEnd w:id="18"/>
      <w:bookmarkEnd w:id="19"/>
      <w:bookmarkEnd w:id="20"/>
      <w:bookmarkEnd w:id="21"/>
      <w:bookmarkEnd w:id="22"/>
      <w:bookmarkEnd w:id="23"/>
      <w:bookmarkEnd w:id="24"/>
      <w:bookmarkEnd w:id="29"/>
      <w:bookmarkEnd w:id="30"/>
      <w:bookmarkEnd w:id="31"/>
    </w:p>
    <w:p w:rsidR="00E45E2B" w:rsidRDefault="00E45E2B" w:rsidP="00E45E2B">
      <w:pPr>
        <w:spacing w:line="360" w:lineRule="auto"/>
        <w:ind w:firstLineChars="200" w:firstLine="480"/>
        <w:rPr>
          <w:rFonts w:ascii="仿宋" w:eastAsia="仿宋" w:hAnsi="仿宋" w:cs="宋体"/>
          <w:kern w:val="0"/>
          <w:sz w:val="24"/>
          <w:szCs w:val="24"/>
        </w:rPr>
      </w:pPr>
      <w:bookmarkStart w:id="32" w:name="_Toc139991731"/>
      <w:bookmarkStart w:id="33" w:name="_Toc258829399"/>
      <w:r>
        <w:rPr>
          <w:rFonts w:ascii="仿宋" w:eastAsia="仿宋" w:hAnsi="仿宋" w:cs="宋体" w:hint="eastAsia"/>
          <w:kern w:val="0"/>
          <w:sz w:val="24"/>
          <w:szCs w:val="24"/>
        </w:rPr>
        <w:t>一</w:t>
      </w:r>
      <w:bookmarkEnd w:id="25"/>
      <w:bookmarkEnd w:id="26"/>
      <w:bookmarkEnd w:id="27"/>
      <w:bookmarkEnd w:id="32"/>
      <w:r>
        <w:rPr>
          <w:rFonts w:ascii="仿宋" w:eastAsia="仿宋" w:hAnsi="仿宋" w:cs="宋体" w:hint="eastAsia"/>
          <w:kern w:val="0"/>
          <w:sz w:val="24"/>
          <w:szCs w:val="24"/>
        </w:rPr>
        <w:t>、</w:t>
      </w:r>
      <w:r>
        <w:rPr>
          <w:rFonts w:ascii="仿宋" w:eastAsia="仿宋" w:hAnsi="仿宋" w:cs="宋体"/>
          <w:kern w:val="0"/>
          <w:sz w:val="24"/>
          <w:szCs w:val="24"/>
        </w:rPr>
        <w:t>订立本基金合同的目的、依据和原则</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Pr>
          <w:rFonts w:ascii="仿宋" w:eastAsia="仿宋" w:hAnsi="仿宋" w:cs="宋体"/>
          <w:kern w:val="0"/>
          <w:sz w:val="24"/>
          <w:szCs w:val="24"/>
        </w:rPr>
        <w:t>订立本基金合同的目的是保护投资人合法权益，明确基金合同当事人的权利义务，规范基金运作。</w:t>
      </w:r>
    </w:p>
    <w:p w:rsidR="00E45E2B" w:rsidRDefault="00E45E2B" w:rsidP="00E45E2B">
      <w:pPr>
        <w:spacing w:line="360" w:lineRule="auto"/>
        <w:ind w:firstLineChars="200" w:firstLine="480"/>
        <w:rPr>
          <w:rFonts w:ascii="仿宋" w:eastAsia="仿宋" w:hAnsi="仿宋" w:cs="宋体"/>
          <w:kern w:val="0"/>
          <w:sz w:val="24"/>
          <w:szCs w:val="24"/>
        </w:rPr>
      </w:pPr>
      <w:bookmarkStart w:id="34" w:name="OLE_LINK1"/>
      <w:r>
        <w:rPr>
          <w:rFonts w:ascii="仿宋" w:eastAsia="仿宋" w:hAnsi="仿宋" w:cs="宋体"/>
          <w:kern w:val="0"/>
          <w:sz w:val="24"/>
          <w:szCs w:val="24"/>
        </w:rPr>
        <w:t>2</w:t>
      </w:r>
      <w:r>
        <w:rPr>
          <w:rFonts w:ascii="仿宋" w:eastAsia="仿宋" w:hAnsi="仿宋" w:cs="宋体" w:hint="eastAsia"/>
          <w:kern w:val="0"/>
          <w:sz w:val="24"/>
          <w:szCs w:val="24"/>
        </w:rPr>
        <w:t>、</w:t>
      </w:r>
      <w:r>
        <w:rPr>
          <w:rFonts w:ascii="仿宋" w:eastAsia="仿宋" w:hAnsi="仿宋" w:cs="宋体"/>
          <w:kern w:val="0"/>
          <w:sz w:val="24"/>
          <w:szCs w:val="24"/>
        </w:rPr>
        <w:t>订立本基金合同的依据是</w:t>
      </w:r>
      <w:r w:rsidRPr="007B5422">
        <w:rPr>
          <w:rFonts w:ascii="仿宋" w:eastAsia="仿宋" w:hAnsi="仿宋" w:cs="宋体" w:hint="eastAsia"/>
          <w:kern w:val="0"/>
          <w:sz w:val="24"/>
          <w:szCs w:val="24"/>
        </w:rPr>
        <w:t>《中华人民共和国民法典》</w:t>
      </w:r>
      <w:r>
        <w:rPr>
          <w:rFonts w:ascii="仿宋" w:eastAsia="仿宋" w:hAnsi="仿宋" w:cs="宋体"/>
          <w:kern w:val="0"/>
          <w:sz w:val="24"/>
          <w:szCs w:val="24"/>
        </w:rPr>
        <w:t>、《中华人民共和国证券投资基金法》(以下简称“《基金法》”)、《</w:t>
      </w:r>
      <w:r>
        <w:rPr>
          <w:rFonts w:ascii="仿宋" w:eastAsia="仿宋" w:hAnsi="仿宋" w:cs="宋体" w:hint="eastAsia"/>
          <w:kern w:val="0"/>
          <w:sz w:val="24"/>
          <w:szCs w:val="24"/>
        </w:rPr>
        <w:t>公开募集</w:t>
      </w:r>
      <w:r>
        <w:rPr>
          <w:rFonts w:ascii="仿宋" w:eastAsia="仿宋" w:hAnsi="仿宋" w:cs="宋体"/>
          <w:kern w:val="0"/>
          <w:sz w:val="24"/>
          <w:szCs w:val="24"/>
        </w:rPr>
        <w:t>证券投资基金运作管理办法》(以下简称“《运作办法》”)、</w:t>
      </w:r>
      <w:r>
        <w:rPr>
          <w:rFonts w:ascii="仿宋" w:eastAsia="仿宋" w:hAnsi="仿宋" w:cs="宋体" w:hint="eastAsia"/>
          <w:kern w:val="0"/>
          <w:sz w:val="24"/>
          <w:szCs w:val="24"/>
        </w:rPr>
        <w:t>《公开募集证券投资基金销售机构监督管理办法》</w:t>
      </w:r>
      <w:r>
        <w:rPr>
          <w:rFonts w:ascii="仿宋" w:eastAsia="仿宋" w:hAnsi="仿宋" w:cs="宋体"/>
          <w:kern w:val="0"/>
          <w:sz w:val="24"/>
          <w:szCs w:val="24"/>
        </w:rPr>
        <w:t>(以下简称“《销售办法》”)、《</w:t>
      </w:r>
      <w:r>
        <w:rPr>
          <w:rFonts w:ascii="仿宋" w:eastAsia="仿宋" w:hAnsi="仿宋" w:cs="宋体" w:hint="eastAsia"/>
          <w:kern w:val="0"/>
          <w:sz w:val="24"/>
          <w:szCs w:val="24"/>
        </w:rPr>
        <w:t>公开募集</w:t>
      </w:r>
      <w:r>
        <w:rPr>
          <w:rFonts w:ascii="仿宋" w:eastAsia="仿宋" w:hAnsi="仿宋" w:cs="宋体"/>
          <w:kern w:val="0"/>
          <w:sz w:val="24"/>
          <w:szCs w:val="24"/>
        </w:rPr>
        <w:t>证券投资基金信息披露管理办法》(以下简称“《信息披露办法》”)</w:t>
      </w:r>
      <w:r>
        <w:rPr>
          <w:rFonts w:ascii="仿宋" w:eastAsia="仿宋" w:hAnsi="仿宋" w:cs="宋体" w:hint="eastAsia"/>
          <w:kern w:val="0"/>
          <w:sz w:val="24"/>
          <w:szCs w:val="24"/>
        </w:rPr>
        <w:t>、《公开募集开放式证券投资基金流动性风险管理规定》</w:t>
      </w:r>
      <w:r>
        <w:rPr>
          <w:rFonts w:ascii="仿宋" w:eastAsia="仿宋" w:hAnsi="仿宋" w:cs="宋体"/>
          <w:kern w:val="0"/>
          <w:sz w:val="24"/>
          <w:szCs w:val="24"/>
        </w:rPr>
        <w:t>(以下简称“</w:t>
      </w:r>
      <w:r w:rsidRPr="007B5422">
        <w:rPr>
          <w:rFonts w:ascii="仿宋" w:eastAsia="仿宋" w:hAnsi="仿宋" w:cs="宋体" w:hint="eastAsia"/>
          <w:kern w:val="0"/>
          <w:sz w:val="24"/>
          <w:szCs w:val="24"/>
        </w:rPr>
        <w:t>《流动性风险管理规定》</w:t>
      </w:r>
      <w:r>
        <w:rPr>
          <w:rFonts w:ascii="仿宋" w:eastAsia="仿宋" w:hAnsi="仿宋" w:cs="宋体"/>
          <w:kern w:val="0"/>
          <w:sz w:val="24"/>
          <w:szCs w:val="24"/>
        </w:rPr>
        <w:t>”)和其他有关法律法规。</w:t>
      </w:r>
      <w:bookmarkEnd w:id="34"/>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w:t>
      </w:r>
      <w:r>
        <w:rPr>
          <w:rFonts w:ascii="仿宋" w:eastAsia="仿宋" w:hAnsi="仿宋" w:cs="宋体"/>
          <w:kern w:val="0"/>
          <w:sz w:val="24"/>
          <w:szCs w:val="24"/>
        </w:rPr>
        <w:t>订立本基金合同的原则是平等自愿、诚实信用、充分保护投资人合法权益。</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二、</w:t>
      </w:r>
      <w:r>
        <w:rPr>
          <w:rFonts w:ascii="仿宋" w:eastAsia="仿宋" w:hAnsi="仿宋" w:cs="宋体"/>
          <w:kern w:val="0"/>
          <w:sz w:val="24"/>
          <w:szCs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三、东方红恒阳五年持有期混合型证券投资基金</w:t>
      </w:r>
      <w:r>
        <w:rPr>
          <w:rFonts w:ascii="仿宋" w:eastAsia="仿宋" w:hAnsi="仿宋" w:cs="宋体"/>
          <w:kern w:val="0"/>
          <w:sz w:val="24"/>
          <w:szCs w:val="24"/>
        </w:rPr>
        <w:t>由</w:t>
      </w:r>
      <w:r w:rsidRPr="005773D1">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773D1">
        <w:rPr>
          <w:rFonts w:ascii="仿宋" w:eastAsia="仿宋" w:hAnsi="仿宋" w:cs="宋体" w:hint="eastAsia"/>
          <w:kern w:val="0"/>
          <w:sz w:val="24"/>
          <w:szCs w:val="24"/>
        </w:rPr>
        <w:t>年</w:t>
      </w:r>
      <w:r>
        <w:rPr>
          <w:rFonts w:ascii="仿宋" w:eastAsia="仿宋" w:hAnsi="仿宋" w:cs="宋体" w:hint="eastAsia"/>
          <w:kern w:val="0"/>
          <w:sz w:val="24"/>
          <w:szCs w:val="24"/>
        </w:rPr>
        <w:t>定期开放</w:t>
      </w:r>
      <w:r w:rsidRPr="005773D1">
        <w:rPr>
          <w:rFonts w:ascii="仿宋" w:eastAsia="仿宋" w:hAnsi="仿宋" w:cs="宋体" w:hint="eastAsia"/>
          <w:kern w:val="0"/>
          <w:sz w:val="24"/>
          <w:szCs w:val="24"/>
        </w:rPr>
        <w:t>混合型证券投资基金</w:t>
      </w:r>
      <w:r>
        <w:rPr>
          <w:rFonts w:ascii="仿宋" w:eastAsia="仿宋" w:hAnsi="仿宋" w:cs="宋体" w:hint="eastAsia"/>
          <w:kern w:val="0"/>
          <w:sz w:val="24"/>
          <w:szCs w:val="24"/>
        </w:rPr>
        <w:t>转型而来，</w:t>
      </w:r>
      <w:r w:rsidRPr="005773D1">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773D1">
        <w:rPr>
          <w:rFonts w:ascii="仿宋" w:eastAsia="仿宋" w:hAnsi="仿宋" w:cs="宋体" w:hint="eastAsia"/>
          <w:kern w:val="0"/>
          <w:sz w:val="24"/>
          <w:szCs w:val="24"/>
        </w:rPr>
        <w:t>年定期开放混合型证券投资基金</w:t>
      </w:r>
      <w:r>
        <w:rPr>
          <w:rFonts w:ascii="仿宋" w:eastAsia="仿宋" w:hAnsi="仿宋" w:cs="宋体" w:hint="eastAsia"/>
          <w:kern w:val="0"/>
          <w:sz w:val="24"/>
          <w:szCs w:val="24"/>
        </w:rPr>
        <w:t>由</w:t>
      </w:r>
      <w:r>
        <w:rPr>
          <w:rFonts w:ascii="仿宋" w:eastAsia="仿宋" w:hAnsi="仿宋" w:cs="宋体"/>
          <w:kern w:val="0"/>
          <w:sz w:val="24"/>
          <w:szCs w:val="24"/>
        </w:rPr>
        <w:t>基金管理人依照《基金法》、</w:t>
      </w:r>
      <w:r>
        <w:rPr>
          <w:rFonts w:ascii="仿宋" w:eastAsia="仿宋" w:hAnsi="仿宋" w:cs="宋体" w:hint="eastAsia"/>
          <w:kern w:val="0"/>
          <w:sz w:val="24"/>
          <w:szCs w:val="24"/>
        </w:rPr>
        <w:t>《</w:t>
      </w:r>
      <w:r w:rsidRPr="005773D1">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773D1">
        <w:rPr>
          <w:rFonts w:ascii="仿宋" w:eastAsia="仿宋" w:hAnsi="仿宋" w:cs="宋体" w:hint="eastAsia"/>
          <w:kern w:val="0"/>
          <w:sz w:val="24"/>
          <w:szCs w:val="24"/>
        </w:rPr>
        <w:t>年</w:t>
      </w:r>
      <w:r>
        <w:rPr>
          <w:rFonts w:ascii="仿宋" w:eastAsia="仿宋" w:hAnsi="仿宋" w:cs="宋体" w:hint="eastAsia"/>
          <w:kern w:val="0"/>
          <w:sz w:val="24"/>
          <w:szCs w:val="24"/>
        </w:rPr>
        <w:t>定期开放</w:t>
      </w:r>
      <w:r w:rsidRPr="005773D1">
        <w:rPr>
          <w:rFonts w:ascii="仿宋" w:eastAsia="仿宋" w:hAnsi="仿宋" w:cs="宋体" w:hint="eastAsia"/>
          <w:kern w:val="0"/>
          <w:sz w:val="24"/>
          <w:szCs w:val="24"/>
        </w:rPr>
        <w:t>混合型证券投资基金</w:t>
      </w:r>
      <w:r>
        <w:rPr>
          <w:rFonts w:ascii="仿宋" w:eastAsia="仿宋" w:hAnsi="仿宋" w:cs="宋体"/>
          <w:kern w:val="0"/>
          <w:sz w:val="24"/>
          <w:szCs w:val="24"/>
        </w:rPr>
        <w:t>基金合同</w:t>
      </w:r>
      <w:r>
        <w:rPr>
          <w:rFonts w:ascii="仿宋" w:eastAsia="仿宋" w:hAnsi="仿宋" w:cs="宋体" w:hint="eastAsia"/>
          <w:kern w:val="0"/>
          <w:sz w:val="24"/>
          <w:szCs w:val="24"/>
        </w:rPr>
        <w:t>》</w:t>
      </w:r>
      <w:r>
        <w:rPr>
          <w:rFonts w:ascii="仿宋" w:eastAsia="仿宋" w:hAnsi="仿宋" w:cs="宋体"/>
          <w:kern w:val="0"/>
          <w:sz w:val="24"/>
          <w:szCs w:val="24"/>
        </w:rPr>
        <w:t>及其他有关规定募集，并经中国证券监督管理委员会(以下简称“中国证监会”)</w:t>
      </w:r>
      <w:r>
        <w:rPr>
          <w:rFonts w:ascii="仿宋" w:eastAsia="仿宋" w:hAnsi="仿宋" w:cs="宋体" w:hint="eastAsia"/>
          <w:kern w:val="0"/>
          <w:sz w:val="24"/>
          <w:szCs w:val="24"/>
        </w:rPr>
        <w:t>注册</w:t>
      </w:r>
      <w:r>
        <w:rPr>
          <w:rFonts w:ascii="仿宋" w:eastAsia="仿宋" w:hAnsi="仿宋" w:cs="宋体"/>
          <w:kern w:val="0"/>
          <w:sz w:val="24"/>
          <w:szCs w:val="24"/>
        </w:rPr>
        <w:t>。</w:t>
      </w:r>
      <w:r w:rsidRPr="0022124B">
        <w:rPr>
          <w:rFonts w:ascii="仿宋" w:eastAsia="仿宋" w:hAnsi="仿宋" w:cs="宋体" w:hint="eastAsia"/>
          <w:kern w:val="0"/>
          <w:sz w:val="24"/>
          <w:szCs w:val="24"/>
        </w:rPr>
        <w:t>变更后的东方红</w:t>
      </w:r>
      <w:r>
        <w:rPr>
          <w:rFonts w:ascii="仿宋" w:eastAsia="仿宋" w:hAnsi="仿宋" w:cs="宋体" w:hint="eastAsia"/>
          <w:kern w:val="0"/>
          <w:sz w:val="24"/>
          <w:szCs w:val="24"/>
        </w:rPr>
        <w:t>恒阳五</w:t>
      </w:r>
      <w:r w:rsidRPr="0022124B">
        <w:rPr>
          <w:rFonts w:ascii="仿宋" w:eastAsia="仿宋" w:hAnsi="仿宋" w:cs="宋体" w:hint="eastAsia"/>
          <w:kern w:val="0"/>
          <w:sz w:val="24"/>
          <w:szCs w:val="24"/>
        </w:rPr>
        <w:t>年持有期混合型证券投资基金已经中国证监会变更注册。</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中国证监会对</w:t>
      </w:r>
      <w:r w:rsidRPr="0022124B">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22124B">
        <w:rPr>
          <w:rFonts w:ascii="仿宋" w:eastAsia="仿宋" w:hAnsi="仿宋" w:cs="宋体" w:hint="eastAsia"/>
          <w:kern w:val="0"/>
          <w:sz w:val="24"/>
          <w:szCs w:val="24"/>
        </w:rPr>
        <w:t>年定期开放混合型证券投资基金</w:t>
      </w:r>
      <w:r>
        <w:rPr>
          <w:rFonts w:ascii="仿宋" w:eastAsia="仿宋" w:hAnsi="仿宋" w:cs="宋体" w:hint="eastAsia"/>
          <w:kern w:val="0"/>
          <w:sz w:val="24"/>
          <w:szCs w:val="24"/>
        </w:rPr>
        <w:t>变更为本基金</w:t>
      </w:r>
      <w:r>
        <w:rPr>
          <w:rFonts w:ascii="仿宋" w:eastAsia="仿宋" w:hAnsi="仿宋" w:cs="宋体"/>
          <w:kern w:val="0"/>
          <w:sz w:val="24"/>
          <w:szCs w:val="24"/>
        </w:rPr>
        <w:t>的</w:t>
      </w:r>
      <w:r>
        <w:rPr>
          <w:rFonts w:ascii="仿宋" w:eastAsia="仿宋" w:hAnsi="仿宋" w:cs="宋体" w:hint="eastAsia"/>
          <w:kern w:val="0"/>
          <w:sz w:val="24"/>
          <w:szCs w:val="24"/>
        </w:rPr>
        <w:t>注册</w:t>
      </w:r>
      <w:r>
        <w:rPr>
          <w:rFonts w:ascii="仿宋" w:eastAsia="仿宋" w:hAnsi="仿宋" w:cs="宋体"/>
          <w:kern w:val="0"/>
          <w:sz w:val="24"/>
          <w:szCs w:val="24"/>
        </w:rPr>
        <w:t>，并不表明其对本基金的</w:t>
      </w:r>
      <w:r>
        <w:rPr>
          <w:rFonts w:ascii="仿宋" w:eastAsia="仿宋" w:hAnsi="仿宋" w:cs="宋体" w:hint="eastAsia"/>
          <w:kern w:val="0"/>
          <w:sz w:val="24"/>
          <w:szCs w:val="24"/>
        </w:rPr>
        <w:t>投资</w:t>
      </w:r>
      <w:r>
        <w:rPr>
          <w:rFonts w:ascii="仿宋" w:eastAsia="仿宋" w:hAnsi="仿宋" w:cs="宋体"/>
          <w:kern w:val="0"/>
          <w:sz w:val="24"/>
          <w:szCs w:val="24"/>
        </w:rPr>
        <w:t>价值和</w:t>
      </w:r>
      <w:r>
        <w:rPr>
          <w:rFonts w:ascii="仿宋" w:eastAsia="仿宋" w:hAnsi="仿宋" w:cs="宋体" w:hint="eastAsia"/>
          <w:kern w:val="0"/>
          <w:sz w:val="24"/>
          <w:szCs w:val="24"/>
        </w:rPr>
        <w:t>市场前景</w:t>
      </w:r>
      <w:r>
        <w:rPr>
          <w:rFonts w:ascii="仿宋" w:eastAsia="仿宋" w:hAnsi="仿宋" w:cs="宋体"/>
          <w:kern w:val="0"/>
          <w:sz w:val="24"/>
          <w:szCs w:val="24"/>
        </w:rPr>
        <w:t>做出实质性判断或保证，也不表明投资于本基金没有风险。</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基金管理人依照恪尽职守、诚实信用、谨慎勤勉的原则管理和运用基金财产，但不保证投资于本基金一定盈利，也不保证最低收益。</w:t>
      </w:r>
    </w:p>
    <w:p w:rsidR="00E45E2B" w:rsidRDefault="00E45E2B" w:rsidP="00E45E2B">
      <w:pPr>
        <w:numPr>
          <w:ilvl w:val="0"/>
          <w:numId w:val="22"/>
        </w:num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基金管理人、基金托管人在本基金合同之外披露涉及本基金的信息，其内容涉及界定基金合同当事人之间权利义务关系的，如与基金合同有冲突，以基金合同为准。</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投资者</w:t>
      </w:r>
      <w:r>
        <w:rPr>
          <w:rFonts w:ascii="仿宋" w:eastAsia="仿宋" w:hAnsi="仿宋" w:cs="宋体"/>
          <w:kern w:val="0"/>
          <w:sz w:val="24"/>
          <w:szCs w:val="24"/>
        </w:rPr>
        <w:t>应当认真阅读</w:t>
      </w:r>
      <w:r>
        <w:rPr>
          <w:rFonts w:ascii="仿宋" w:eastAsia="仿宋" w:hAnsi="仿宋" w:cs="宋体" w:hint="eastAsia"/>
          <w:kern w:val="0"/>
          <w:sz w:val="24"/>
          <w:szCs w:val="24"/>
        </w:rPr>
        <w:t>基金合同、</w:t>
      </w:r>
      <w:r>
        <w:rPr>
          <w:rFonts w:ascii="仿宋" w:eastAsia="仿宋" w:hAnsi="仿宋" w:cs="宋体"/>
          <w:kern w:val="0"/>
          <w:sz w:val="24"/>
          <w:szCs w:val="24"/>
        </w:rPr>
        <w:t>基金招募说明书</w:t>
      </w:r>
      <w:r>
        <w:rPr>
          <w:rFonts w:ascii="仿宋" w:eastAsia="仿宋" w:hAnsi="仿宋" w:cs="宋体" w:hint="eastAsia"/>
          <w:kern w:val="0"/>
          <w:sz w:val="24"/>
          <w:szCs w:val="24"/>
        </w:rPr>
        <w:t>、基金产品资料概要</w:t>
      </w:r>
      <w:r>
        <w:rPr>
          <w:rFonts w:ascii="仿宋" w:eastAsia="仿宋" w:hAnsi="仿宋" w:cs="宋体"/>
          <w:kern w:val="0"/>
          <w:sz w:val="24"/>
          <w:szCs w:val="24"/>
        </w:rPr>
        <w:t>等信息披露文件，自主判断基金的投资价值，自主做出投资决策，自行承担投资风险。</w:t>
      </w:r>
    </w:p>
    <w:p w:rsidR="00E45E2B" w:rsidRDefault="00E45E2B" w:rsidP="00E45E2B">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五、本基金按照中国法律法规成立并运作，若</w:t>
      </w:r>
      <w:r>
        <w:rPr>
          <w:rFonts w:ascii="仿宋" w:eastAsia="仿宋" w:hAnsi="仿宋" w:cs="宋体"/>
          <w:kern w:val="0"/>
          <w:sz w:val="24"/>
          <w:szCs w:val="24"/>
        </w:rPr>
        <w:t>基金合同的内容与届时有效的法律法规的强制性规定不一致，应当以届时有效的法律法规的规定为准。</w:t>
      </w:r>
    </w:p>
    <w:p w:rsidR="00E45E2B" w:rsidRDefault="00E45E2B" w:rsidP="00E45E2B">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六、本基金可通过</w:t>
      </w:r>
      <w:r>
        <w:rPr>
          <w:rFonts w:ascii="仿宋" w:eastAsia="仿宋" w:hAnsi="仿宋" w:cs="宋体"/>
          <w:kern w:val="0"/>
          <w:sz w:val="24"/>
          <w:szCs w:val="24"/>
        </w:rPr>
        <w:t>内地与香港</w:t>
      </w:r>
      <w:r>
        <w:rPr>
          <w:rFonts w:ascii="仿宋" w:eastAsia="仿宋" w:hAnsi="仿宋" w:cs="宋体" w:hint="eastAsia"/>
          <w:kern w:val="0"/>
          <w:sz w:val="24"/>
          <w:szCs w:val="24"/>
        </w:rPr>
        <w:t>股票市场交易互联互通机制（以下简称“港股通机制”）买卖规定范围内的香港联合交易所上市的股票，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揭示烦请查阅本基金招募说明书“风险揭示”章节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本基金可根据投资策略需要或不同配置地市场环境的变化，选择将部分基金资产投资于港股或选择不将基金资产投资于港股，基金资产并非必然投资港股。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揭示烦请查阅本基金招募说明书“风险揭示”章节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本基金可根据投资策略需要或市场环境的变化，选择将部分基金资产投资于存托凭证或选择不将基金资产投资于存托凭证，基金资产并非必然投资存托凭证。</w:t>
      </w:r>
    </w:p>
    <w:p w:rsidR="00E45E2B" w:rsidRPr="0097304A"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97304A">
        <w:rPr>
          <w:rFonts w:ascii="仿宋" w:eastAsia="仿宋" w:hAnsi="仿宋" w:cs="宋体" w:hint="eastAsia"/>
          <w:kern w:val="0"/>
          <w:sz w:val="24"/>
          <w:szCs w:val="24"/>
        </w:rPr>
        <w:t>八、本基金可投资股指期货、国债期货、股票期权等金融衍生品，金融衍生产品具有杠杆效应且价格波动剧烈，会放大收益或损失，在某些情况下甚至会导致投资亏损高于初始投资金额。本基金可根据投资策略需要或市场环境的变化，选择将部分基金资产投资于金融衍生品或选择不将基金资产投资于金融衍生品，基金资产并非必然投资金融衍生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97304A">
        <w:rPr>
          <w:rFonts w:ascii="仿宋" w:eastAsia="仿宋" w:hAnsi="仿宋" w:cs="宋体" w:hint="eastAsia"/>
          <w:kern w:val="0"/>
          <w:sz w:val="24"/>
          <w:szCs w:val="24"/>
        </w:rPr>
        <w:t>九、为对冲信用风险，本基金可能投资于信用衍生品，信用衍生品投资可能面临流动性风险、偿付风险以及价格波动风险等。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w:t>
      </w:r>
      <w:r w:rsidRPr="001F64BF">
        <w:rPr>
          <w:rFonts w:ascii="仿宋" w:eastAsia="仿宋" w:hAnsi="仿宋" w:cs="宋体" w:hint="eastAsia"/>
          <w:kern w:val="0"/>
          <w:sz w:val="24"/>
          <w:szCs w:val="24"/>
        </w:rPr>
        <w:t>当本基金持有特定资产且存在或潜在大额赎回申请时，基金管理人履行相应程序后，可以启用侧袋机制，具体详见基金合同和招募说明书的相关内容。侧袋机制实施期间，基金管理人将对基金简称进行特殊标识，并且不办理侧袋账户的申购赎回。侧袋机制的具体风险烦请查阅本基金招募说明书“风险揭示”章节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35" w:name="OLE_LINK2"/>
      <w:r>
        <w:rPr>
          <w:rFonts w:ascii="仿宋" w:eastAsia="仿宋" w:hAnsi="仿宋" w:cs="宋体" w:hint="eastAsia"/>
          <w:kern w:val="0"/>
          <w:sz w:val="24"/>
          <w:szCs w:val="24"/>
        </w:rPr>
        <w:t>十一、</w:t>
      </w:r>
      <w:bookmarkEnd w:id="35"/>
      <w:r>
        <w:rPr>
          <w:rFonts w:ascii="仿宋" w:eastAsia="仿宋" w:hAnsi="仿宋" w:cs="宋体" w:hint="eastAsia"/>
          <w:kern w:val="0"/>
          <w:sz w:val="24"/>
          <w:szCs w:val="24"/>
        </w:rPr>
        <w:t>除基金合同另有约定外，</w:t>
      </w:r>
      <w:r w:rsidRPr="00B80856">
        <w:rPr>
          <w:rFonts w:ascii="仿宋" w:eastAsia="仿宋" w:hAnsi="仿宋" w:cs="宋体" w:hint="eastAsia"/>
          <w:kern w:val="0"/>
          <w:sz w:val="24"/>
          <w:szCs w:val="24"/>
        </w:rPr>
        <w:t>本基金每份基金份额设置</w:t>
      </w:r>
      <w:r>
        <w:rPr>
          <w:rFonts w:ascii="仿宋" w:eastAsia="仿宋" w:hAnsi="仿宋" w:cs="宋体" w:hint="eastAsia"/>
          <w:kern w:val="0"/>
          <w:sz w:val="24"/>
          <w:szCs w:val="24"/>
        </w:rPr>
        <w:t>五</w:t>
      </w:r>
      <w:r w:rsidRPr="00B80856">
        <w:rPr>
          <w:rFonts w:ascii="仿宋" w:eastAsia="仿宋" w:hAnsi="仿宋" w:cs="宋体" w:hint="eastAsia"/>
          <w:kern w:val="0"/>
          <w:sz w:val="24"/>
          <w:szCs w:val="24"/>
        </w:rPr>
        <w:t>年锁定持有期，基金份额在锁定持有期内不办理赎回</w:t>
      </w:r>
      <w:r>
        <w:rPr>
          <w:rFonts w:ascii="仿宋" w:eastAsia="仿宋" w:hAnsi="仿宋" w:cs="宋体" w:hint="eastAsia"/>
          <w:kern w:val="0"/>
          <w:sz w:val="24"/>
          <w:szCs w:val="24"/>
        </w:rPr>
        <w:t>、</w:t>
      </w:r>
      <w:r w:rsidRPr="00B80856">
        <w:rPr>
          <w:rFonts w:ascii="仿宋" w:eastAsia="仿宋" w:hAnsi="仿宋" w:cs="宋体" w:hint="eastAsia"/>
          <w:kern w:val="0"/>
          <w:sz w:val="24"/>
          <w:szCs w:val="24"/>
        </w:rPr>
        <w:t>转换转出业务。锁定持有期到期后进入开放持有期，每份基金份额自其开放持有期首个开放日起开始办理赎回及转换转出业务。因此基金份额持有人面临在锁定持有期内不能赎回</w:t>
      </w:r>
      <w:r>
        <w:rPr>
          <w:rFonts w:ascii="仿宋" w:eastAsia="仿宋" w:hAnsi="仿宋" w:cs="宋体" w:hint="eastAsia"/>
          <w:kern w:val="0"/>
          <w:sz w:val="24"/>
          <w:szCs w:val="24"/>
        </w:rPr>
        <w:t>、</w:t>
      </w:r>
      <w:r w:rsidRPr="00B80856">
        <w:rPr>
          <w:rFonts w:ascii="仿宋" w:eastAsia="仿宋" w:hAnsi="仿宋" w:cs="宋体" w:hint="eastAsia"/>
          <w:kern w:val="0"/>
          <w:sz w:val="24"/>
          <w:szCs w:val="24"/>
        </w:rPr>
        <w:t>转换转出基金份额的风险。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十二、</w:t>
      </w:r>
      <w:r w:rsidRPr="00110C29">
        <w:rPr>
          <w:rFonts w:ascii="仿宋" w:eastAsia="仿宋" w:hAnsi="仿宋" w:cs="宋体" w:hint="eastAsia"/>
          <w:kern w:val="0"/>
          <w:sz w:val="24"/>
          <w:szCs w:val="24"/>
        </w:rPr>
        <w:t>基金单一投资者持有基金份额数不得达到或超过基金份额总数的50%，但在基金运作过程中因基金份额赎回等基金管理人无法予以控制的情形导致被动达到或超过50%的除外。法律法规或监管部门另有规定的，从其规定。</w:t>
      </w:r>
    </w:p>
    <w:p w:rsidR="00E45E2B" w:rsidRDefault="00E45E2B" w:rsidP="00E45E2B">
      <w:pPr>
        <w:widowControl/>
        <w:jc w:val="left"/>
        <w:rPr>
          <w:rFonts w:ascii="仿宋" w:eastAsia="仿宋" w:hAnsi="仿宋" w:cs="宋体"/>
          <w:kern w:val="0"/>
          <w:sz w:val="24"/>
          <w:szCs w:val="24"/>
        </w:rPr>
      </w:pPr>
      <w:r>
        <w:rPr>
          <w:rFonts w:ascii="仿宋" w:eastAsia="仿宋" w:hAnsi="仿宋" w:cs="宋体"/>
          <w:kern w:val="0"/>
          <w:sz w:val="24"/>
          <w:szCs w:val="24"/>
        </w:rPr>
        <w:br w:type="page"/>
      </w:r>
      <w:bookmarkStart w:id="36" w:name="_Toc22864"/>
      <w:bookmarkStart w:id="37" w:name="_Toc13020"/>
      <w:bookmarkStart w:id="38" w:name="_Toc15067"/>
      <w:bookmarkStart w:id="39" w:name="_Toc31551"/>
      <w:bookmarkStart w:id="40" w:name="_Toc3224"/>
      <w:bookmarkStart w:id="41" w:name="_Toc24860"/>
      <w:bookmarkStart w:id="42" w:name="_Toc2465"/>
      <w:bookmarkStart w:id="43" w:name="_Toc19592"/>
      <w:bookmarkStart w:id="44" w:name="_Toc6617"/>
      <w:bookmarkStart w:id="45" w:name="_Toc819"/>
      <w:bookmarkStart w:id="46" w:name="_Toc21301"/>
    </w:p>
    <w:p w:rsidR="00E45E2B" w:rsidRPr="004F6C89" w:rsidRDefault="00E45E2B" w:rsidP="004F6C89">
      <w:pPr>
        <w:pStyle w:val="1"/>
        <w:spacing w:line="360" w:lineRule="auto"/>
        <w:jc w:val="center"/>
        <w:rPr>
          <w:rFonts w:eastAsia="仿宋"/>
          <w:sz w:val="30"/>
          <w:szCs w:val="30"/>
          <w:lang w:val="zh-CN"/>
        </w:rPr>
      </w:pPr>
      <w:bookmarkStart w:id="47" w:name="_Toc377998617"/>
      <w:bookmarkStart w:id="48" w:name="_Toc459291239"/>
      <w:bookmarkStart w:id="49" w:name="_Toc169163862"/>
      <w:r w:rsidRPr="004F6C89">
        <w:rPr>
          <w:rFonts w:eastAsia="仿宋" w:hint="eastAsia"/>
          <w:sz w:val="30"/>
          <w:szCs w:val="30"/>
          <w:lang w:val="zh-CN"/>
        </w:rPr>
        <w:t>第二部分</w:t>
      </w:r>
      <w:r w:rsidRPr="004F6C89">
        <w:rPr>
          <w:rFonts w:eastAsia="仿宋" w:hint="eastAsia"/>
          <w:sz w:val="30"/>
          <w:szCs w:val="30"/>
          <w:lang w:val="zh-CN"/>
        </w:rPr>
        <w:t xml:space="preserve">    </w:t>
      </w:r>
      <w:r w:rsidRPr="004F6C89">
        <w:rPr>
          <w:rFonts w:eastAsia="仿宋" w:hint="eastAsia"/>
          <w:sz w:val="30"/>
          <w:szCs w:val="30"/>
          <w:lang w:val="zh-CN"/>
        </w:rPr>
        <w:t>释义</w:t>
      </w:r>
      <w:bookmarkEnd w:id="28"/>
      <w:bookmarkEnd w:id="33"/>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《基金合同》中除非文意另有所指，下列词语或简称具有如下含义：</w:t>
      </w:r>
    </w:p>
    <w:p w:rsidR="00E45E2B" w:rsidRPr="0093321E"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sidRPr="0093321E">
        <w:rPr>
          <w:rFonts w:ascii="仿宋" w:eastAsia="仿宋" w:hAnsi="仿宋" w:cs="宋体" w:hint="eastAsia"/>
          <w:b/>
          <w:kern w:val="0"/>
          <w:sz w:val="24"/>
          <w:szCs w:val="24"/>
        </w:rPr>
        <w:t>基金或本基金</w:t>
      </w:r>
      <w:r w:rsidRPr="0093321E">
        <w:rPr>
          <w:rFonts w:ascii="仿宋" w:eastAsia="仿宋" w:hAnsi="仿宋" w:cs="宋体" w:hint="eastAsia"/>
          <w:kern w:val="0"/>
          <w:sz w:val="24"/>
          <w:szCs w:val="24"/>
        </w:rPr>
        <w:t>：指东方红恒阳五年持有期混合型证券投资基金，本基金由东方红恒阳五年定期开放混合型证券投资基金变更而来</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基金管理人：</w:t>
      </w:r>
      <w:r>
        <w:rPr>
          <w:rFonts w:ascii="仿宋" w:eastAsia="仿宋" w:hAnsi="仿宋" w:cs="宋体" w:hint="eastAsia"/>
          <w:kern w:val="0"/>
          <w:sz w:val="24"/>
          <w:szCs w:val="24"/>
        </w:rPr>
        <w:t>指上海东方证券资产管理有限公司</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基金托管人：</w:t>
      </w:r>
      <w:r>
        <w:rPr>
          <w:rFonts w:ascii="仿宋" w:eastAsia="仿宋" w:hAnsi="仿宋" w:cs="宋体" w:hint="eastAsia"/>
          <w:kern w:val="0"/>
          <w:sz w:val="24"/>
          <w:szCs w:val="24"/>
        </w:rPr>
        <w:t>指</w:t>
      </w:r>
      <w:r>
        <w:rPr>
          <w:rFonts w:ascii="仿宋" w:eastAsia="仿宋" w:hAnsi="仿宋" w:cs="宋体" w:hint="eastAsia"/>
          <w:color w:val="000000"/>
          <w:kern w:val="0"/>
          <w:sz w:val="24"/>
        </w:rPr>
        <w:t>招商银行股份有限公司</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本基金合同、《基金合同》：</w:t>
      </w:r>
      <w:r>
        <w:rPr>
          <w:rFonts w:ascii="仿宋" w:eastAsia="仿宋" w:hAnsi="仿宋" w:cs="宋体" w:hint="eastAsia"/>
          <w:kern w:val="0"/>
          <w:sz w:val="24"/>
          <w:szCs w:val="24"/>
        </w:rPr>
        <w:t>指《东方红恒阳五年持有期混合型证券投资基金基金合同》及对本基金合同的任何有效的修订和补充</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托管协议：</w:t>
      </w:r>
      <w:r>
        <w:rPr>
          <w:rFonts w:ascii="仿宋" w:eastAsia="仿宋" w:hAnsi="仿宋" w:cs="宋体" w:hint="eastAsia"/>
          <w:kern w:val="0"/>
          <w:sz w:val="24"/>
          <w:szCs w:val="24"/>
        </w:rPr>
        <w:t>指基金管理人与基金托管人签订的《东方红恒阳五年持有期混合型证券投资基金托管协议》及其任何有效修订和补充</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招募说明书：</w:t>
      </w:r>
      <w:r>
        <w:rPr>
          <w:rFonts w:ascii="仿宋" w:eastAsia="仿宋" w:hAnsi="仿宋" w:cs="宋体" w:hint="eastAsia"/>
          <w:kern w:val="0"/>
          <w:sz w:val="24"/>
          <w:szCs w:val="24"/>
        </w:rPr>
        <w:t>指《东方红恒阳五年持有期混合型证券投资基金招募说明书》及其更新</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bCs/>
          <w:kern w:val="0"/>
          <w:sz w:val="24"/>
          <w:szCs w:val="24"/>
        </w:rPr>
        <w:t>基金产品资料概要：</w:t>
      </w:r>
      <w:r>
        <w:rPr>
          <w:rFonts w:ascii="仿宋" w:eastAsia="仿宋" w:hAnsi="仿宋" w:cs="宋体" w:hint="eastAsia"/>
          <w:kern w:val="0"/>
          <w:sz w:val="24"/>
          <w:szCs w:val="24"/>
        </w:rPr>
        <w:t>指《东方红恒阳五年持有期混合型证券投资基金基金产品资料概要》及其更新</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法律法规：</w:t>
      </w:r>
      <w:r w:rsidRPr="0016670E">
        <w:rPr>
          <w:rFonts w:ascii="仿宋" w:eastAsia="仿宋" w:hAnsi="仿宋" w:cs="宋体" w:hint="eastAsia"/>
          <w:kern w:val="0"/>
          <w:sz w:val="24"/>
          <w:szCs w:val="24"/>
        </w:rPr>
        <w:t>指中国现行有效并公布实施的法律、行政法规、规范性文件、司法解释、行政规章以及其他对基金合同当事人有约束力的决定、决议、通知等</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《基金法》：</w:t>
      </w:r>
      <w:r>
        <w:rPr>
          <w:rFonts w:ascii="仿宋" w:eastAsia="仿宋" w:hAnsi="仿宋" w:cs="宋体" w:hint="eastAsia"/>
          <w:kern w:val="0"/>
          <w:sz w:val="24"/>
          <w:szCs w:val="24"/>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《销售办法》</w:t>
      </w:r>
      <w:r>
        <w:rPr>
          <w:rFonts w:ascii="仿宋" w:eastAsia="仿宋" w:hAnsi="仿宋" w:cs="宋体" w:hint="eastAsia"/>
          <w:kern w:val="0"/>
          <w:sz w:val="24"/>
          <w:szCs w:val="24"/>
        </w:rPr>
        <w:t>：</w:t>
      </w:r>
      <w:r>
        <w:rPr>
          <w:rFonts w:ascii="仿宋" w:eastAsia="仿宋" w:hAnsi="仿宋" w:cs="宋体"/>
          <w:kern w:val="0"/>
          <w:sz w:val="24"/>
          <w:szCs w:val="24"/>
        </w:rPr>
        <w:t>指</w:t>
      </w:r>
      <w:r>
        <w:rPr>
          <w:rFonts w:ascii="仿宋" w:eastAsia="仿宋" w:hAnsi="仿宋" w:cs="宋体" w:hint="eastAsia"/>
          <w:kern w:val="0"/>
          <w:sz w:val="24"/>
          <w:szCs w:val="24"/>
        </w:rPr>
        <w:t>中国证监会2020年8月28日</w:t>
      </w:r>
      <w:r>
        <w:rPr>
          <w:rFonts w:ascii="仿宋" w:eastAsia="仿宋" w:hAnsi="仿宋" w:cs="宋体"/>
          <w:kern w:val="0"/>
          <w:sz w:val="24"/>
          <w:szCs w:val="24"/>
        </w:rPr>
        <w:t>颁布</w:t>
      </w:r>
      <w:r>
        <w:rPr>
          <w:rFonts w:ascii="仿宋" w:eastAsia="仿宋" w:hAnsi="仿宋" w:cs="宋体" w:hint="eastAsia"/>
          <w:kern w:val="0"/>
          <w:sz w:val="24"/>
          <w:szCs w:val="24"/>
        </w:rPr>
        <w:t>、同年10月1日实施的《公开募集证券投资基金销售机构监督管理办法》及颁布</w:t>
      </w:r>
      <w:r>
        <w:rPr>
          <w:rFonts w:ascii="仿宋" w:eastAsia="仿宋" w:hAnsi="仿宋" w:cs="宋体"/>
          <w:kern w:val="0"/>
          <w:sz w:val="24"/>
          <w:szCs w:val="24"/>
        </w:rPr>
        <w:t>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《信息披露办法》</w:t>
      </w:r>
      <w:r>
        <w:rPr>
          <w:rFonts w:ascii="仿宋" w:eastAsia="仿宋" w:hAnsi="仿宋" w:cs="宋体" w:hint="eastAsia"/>
          <w:kern w:val="0"/>
          <w:sz w:val="24"/>
          <w:szCs w:val="24"/>
        </w:rPr>
        <w:t>：指</w:t>
      </w:r>
      <w:r>
        <w:rPr>
          <w:rFonts w:ascii="仿宋" w:eastAsia="仿宋" w:hAnsi="仿宋" w:cs="宋体"/>
          <w:kern w:val="0"/>
          <w:sz w:val="24"/>
          <w:szCs w:val="24"/>
        </w:rPr>
        <w:t>中国证监会20</w:t>
      </w:r>
      <w:r>
        <w:rPr>
          <w:rFonts w:ascii="仿宋" w:eastAsia="仿宋" w:hAnsi="仿宋" w:cs="宋体" w:hint="eastAsia"/>
          <w:kern w:val="0"/>
          <w:sz w:val="24"/>
          <w:szCs w:val="24"/>
        </w:rPr>
        <w:t>19</w:t>
      </w:r>
      <w:r>
        <w:rPr>
          <w:rFonts w:ascii="仿宋" w:eastAsia="仿宋" w:hAnsi="仿宋" w:cs="宋体"/>
          <w:kern w:val="0"/>
          <w:sz w:val="24"/>
          <w:szCs w:val="24"/>
        </w:rPr>
        <w:t>年</w:t>
      </w:r>
      <w:r>
        <w:rPr>
          <w:rFonts w:ascii="仿宋" w:eastAsia="仿宋" w:hAnsi="仿宋" w:cs="宋体" w:hint="eastAsia"/>
          <w:kern w:val="0"/>
          <w:sz w:val="24"/>
          <w:szCs w:val="24"/>
        </w:rPr>
        <w:t>7</w:t>
      </w:r>
      <w:r>
        <w:rPr>
          <w:rFonts w:ascii="仿宋" w:eastAsia="仿宋" w:hAnsi="仿宋" w:cs="宋体"/>
          <w:kern w:val="0"/>
          <w:sz w:val="24"/>
          <w:szCs w:val="24"/>
        </w:rPr>
        <w:t>月</w:t>
      </w:r>
      <w:r>
        <w:rPr>
          <w:rFonts w:ascii="仿宋" w:eastAsia="仿宋" w:hAnsi="仿宋" w:cs="宋体" w:hint="eastAsia"/>
          <w:kern w:val="0"/>
          <w:sz w:val="24"/>
          <w:szCs w:val="24"/>
        </w:rPr>
        <w:t>26</w:t>
      </w:r>
      <w:r>
        <w:rPr>
          <w:rFonts w:ascii="仿宋" w:eastAsia="仿宋" w:hAnsi="仿宋" w:cs="宋体"/>
          <w:kern w:val="0"/>
          <w:sz w:val="24"/>
          <w:szCs w:val="24"/>
        </w:rPr>
        <w:t>日颁布、同年</w:t>
      </w:r>
      <w:r>
        <w:rPr>
          <w:rFonts w:ascii="仿宋" w:eastAsia="仿宋" w:hAnsi="仿宋" w:cs="宋体" w:hint="eastAsia"/>
          <w:kern w:val="0"/>
          <w:sz w:val="24"/>
          <w:szCs w:val="24"/>
        </w:rPr>
        <w:t>9</w:t>
      </w:r>
      <w:r>
        <w:rPr>
          <w:rFonts w:ascii="仿宋" w:eastAsia="仿宋" w:hAnsi="仿宋" w:cs="宋体"/>
          <w:kern w:val="0"/>
          <w:sz w:val="24"/>
          <w:szCs w:val="24"/>
        </w:rPr>
        <w:t>月1日实施</w:t>
      </w:r>
      <w:r>
        <w:rPr>
          <w:rFonts w:ascii="仿宋" w:eastAsia="仿宋" w:hAnsi="仿宋" w:cs="宋体" w:hint="eastAsia"/>
          <w:kern w:val="0"/>
          <w:sz w:val="24"/>
          <w:szCs w:val="24"/>
        </w:rPr>
        <w:t>，</w:t>
      </w:r>
      <w:r w:rsidRPr="00B91F90">
        <w:rPr>
          <w:rFonts w:ascii="仿宋" w:eastAsia="仿宋" w:hAnsi="仿宋" w:cs="宋体" w:hint="eastAsia"/>
          <w:kern w:val="0"/>
          <w:sz w:val="24"/>
          <w:szCs w:val="24"/>
        </w:rPr>
        <w:t>并经2020年3月20日中国证监会《关于修改部分证券期货规章的决定》修正</w:t>
      </w:r>
      <w:r>
        <w:rPr>
          <w:rFonts w:ascii="仿宋" w:eastAsia="仿宋" w:hAnsi="仿宋" w:cs="宋体"/>
          <w:kern w:val="0"/>
          <w:sz w:val="24"/>
          <w:szCs w:val="24"/>
        </w:rPr>
        <w:t>的《</w:t>
      </w:r>
      <w:r>
        <w:rPr>
          <w:rFonts w:ascii="仿宋" w:eastAsia="仿宋" w:hAnsi="仿宋" w:cs="宋体" w:hint="eastAsia"/>
          <w:kern w:val="0"/>
          <w:sz w:val="24"/>
          <w:szCs w:val="24"/>
        </w:rPr>
        <w:t>公开募集</w:t>
      </w:r>
      <w:r>
        <w:rPr>
          <w:rFonts w:ascii="仿宋" w:eastAsia="仿宋" w:hAnsi="仿宋" w:cs="宋体"/>
          <w:kern w:val="0"/>
          <w:sz w:val="24"/>
          <w:szCs w:val="24"/>
        </w:rPr>
        <w:t>证券投资基金信息披露管理办法》及颁布机关对其不时做出的修订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《运作办法》</w:t>
      </w:r>
      <w:r>
        <w:rPr>
          <w:rFonts w:ascii="仿宋" w:eastAsia="仿宋" w:hAnsi="仿宋" w:cs="宋体" w:hint="eastAsia"/>
          <w:kern w:val="0"/>
          <w:sz w:val="24"/>
          <w:szCs w:val="24"/>
        </w:rPr>
        <w:t>：指中国证监会2014年7月7日颁布、同年8月8日实施的</w:t>
      </w:r>
      <w:r>
        <w:rPr>
          <w:rFonts w:ascii="仿宋" w:eastAsia="仿宋" w:hAnsi="仿宋" w:cs="宋体"/>
          <w:kern w:val="0"/>
          <w:sz w:val="24"/>
          <w:szCs w:val="24"/>
        </w:rPr>
        <w:t>《</w:t>
      </w:r>
      <w:r>
        <w:rPr>
          <w:rFonts w:ascii="仿宋" w:eastAsia="仿宋" w:hAnsi="仿宋" w:cs="宋体" w:hint="eastAsia"/>
          <w:kern w:val="0"/>
          <w:sz w:val="24"/>
          <w:szCs w:val="24"/>
        </w:rPr>
        <w:t>公开募集证券投资基金运作管理办法</w:t>
      </w:r>
      <w:r>
        <w:rPr>
          <w:rFonts w:ascii="仿宋" w:eastAsia="仿宋" w:hAnsi="仿宋" w:cs="宋体"/>
          <w:kern w:val="0"/>
          <w:sz w:val="24"/>
          <w:szCs w:val="24"/>
        </w:rPr>
        <w:t>》及颁布机关对其不时做出的修订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《流动性风险管理规定》：</w:t>
      </w:r>
      <w:r>
        <w:rPr>
          <w:rFonts w:ascii="仿宋" w:eastAsia="仿宋" w:hAnsi="仿宋" w:cs="宋体" w:hint="eastAsia"/>
          <w:kern w:val="0"/>
          <w:sz w:val="24"/>
          <w:szCs w:val="24"/>
        </w:rPr>
        <w:t>指中国证监会2017年8月31日颁布、同年10月1日实施的</w:t>
      </w:r>
      <w:r>
        <w:rPr>
          <w:rFonts w:ascii="仿宋" w:eastAsia="仿宋" w:hAnsi="仿宋" w:cs="宋体"/>
          <w:kern w:val="0"/>
          <w:sz w:val="24"/>
          <w:szCs w:val="24"/>
        </w:rPr>
        <w:t>《</w:t>
      </w:r>
      <w:r>
        <w:rPr>
          <w:rFonts w:ascii="仿宋" w:eastAsia="仿宋" w:hAnsi="仿宋" w:cs="宋体" w:hint="eastAsia"/>
          <w:kern w:val="0"/>
          <w:sz w:val="24"/>
          <w:szCs w:val="24"/>
        </w:rPr>
        <w:t>公开募集开放式证券投资基金流动性风险管理规定</w:t>
      </w:r>
      <w:r>
        <w:rPr>
          <w:rFonts w:ascii="仿宋" w:eastAsia="仿宋" w:hAnsi="仿宋" w:cs="宋体"/>
          <w:kern w:val="0"/>
          <w:sz w:val="24"/>
          <w:szCs w:val="24"/>
        </w:rPr>
        <w:t>》及颁布机关对其不时做出的修订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中国证监会</w:t>
      </w:r>
      <w:r>
        <w:rPr>
          <w:rFonts w:ascii="仿宋" w:eastAsia="仿宋" w:hAnsi="仿宋" w:cs="宋体" w:hint="eastAsia"/>
          <w:kern w:val="0"/>
          <w:sz w:val="24"/>
          <w:szCs w:val="24"/>
        </w:rPr>
        <w:t>：指中国证券监督管理委员会</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b/>
          <w:kern w:val="0"/>
          <w:sz w:val="24"/>
          <w:szCs w:val="24"/>
        </w:rPr>
        <w:t>银行业监督管理机构</w:t>
      </w:r>
      <w:r>
        <w:rPr>
          <w:rFonts w:ascii="仿宋" w:eastAsia="仿宋" w:hAnsi="仿宋" w:cs="宋体"/>
          <w:kern w:val="0"/>
          <w:sz w:val="24"/>
          <w:szCs w:val="24"/>
        </w:rPr>
        <w:t>：指中国人民银行和/或</w:t>
      </w:r>
      <w:r w:rsidRPr="00B91F90">
        <w:rPr>
          <w:rFonts w:ascii="仿宋" w:eastAsia="仿宋" w:hAnsi="仿宋" w:cs="宋体" w:hint="eastAsia"/>
          <w:kern w:val="0"/>
          <w:sz w:val="24"/>
          <w:szCs w:val="24"/>
        </w:rPr>
        <w:t>国家金融监督管理总局</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基金合同当事人</w:t>
      </w:r>
      <w:r>
        <w:rPr>
          <w:rFonts w:ascii="仿宋" w:eastAsia="仿宋" w:hAnsi="仿宋" w:cs="宋体" w:hint="eastAsia"/>
          <w:kern w:val="0"/>
          <w:sz w:val="24"/>
          <w:szCs w:val="24"/>
        </w:rPr>
        <w:t>：</w:t>
      </w:r>
      <w:r>
        <w:rPr>
          <w:rFonts w:ascii="仿宋" w:eastAsia="仿宋" w:hAnsi="仿宋" w:cs="宋体"/>
          <w:kern w:val="0"/>
          <w:sz w:val="24"/>
          <w:szCs w:val="24"/>
        </w:rPr>
        <w:t>指受基金合同约束，根据基金合同享有权利并承担义务的法律主体，包括基金管理人、基金托管人和基金份额持有人</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个人投资者：</w:t>
      </w:r>
      <w:r>
        <w:rPr>
          <w:rFonts w:ascii="仿宋" w:eastAsia="仿宋" w:hAnsi="仿宋" w:cs="宋体" w:hint="eastAsia"/>
          <w:kern w:val="0"/>
          <w:sz w:val="24"/>
          <w:szCs w:val="24"/>
        </w:rPr>
        <w:t>指</w:t>
      </w:r>
      <w:r w:rsidRPr="00B91F90">
        <w:rPr>
          <w:rFonts w:ascii="仿宋" w:eastAsia="仿宋" w:hAnsi="仿宋" w:cs="宋体" w:hint="eastAsia"/>
          <w:kern w:val="0"/>
          <w:sz w:val="24"/>
          <w:szCs w:val="24"/>
        </w:rPr>
        <w:t>依据有关</w:t>
      </w:r>
      <w:r>
        <w:rPr>
          <w:rFonts w:ascii="仿宋" w:eastAsia="仿宋" w:hAnsi="仿宋" w:cs="宋体" w:hint="eastAsia"/>
          <w:kern w:val="0"/>
          <w:sz w:val="24"/>
          <w:szCs w:val="24"/>
        </w:rPr>
        <w:t>法律法规规定可投资于证券投资基金的自然人</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机构投资者：</w:t>
      </w:r>
      <w:r w:rsidRPr="00B91F90">
        <w:rPr>
          <w:rFonts w:ascii="仿宋" w:eastAsia="仿宋" w:hAnsi="仿宋" w:cs="宋体" w:hint="eastAsia"/>
          <w:kern w:val="0"/>
          <w:sz w:val="24"/>
          <w:szCs w:val="24"/>
        </w:rPr>
        <w:t>指依法可以投资证券投资基金的、在中华人民共和国境内合法登记并存续或经有关政府部门批准设立并存续的企业法人、事业法人、社会团体或其他组织</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合格境外投资者：</w:t>
      </w:r>
      <w:r w:rsidRPr="00B91F90">
        <w:rPr>
          <w:rFonts w:ascii="仿宋" w:eastAsia="仿宋" w:hAnsi="仿宋" w:cs="宋体" w:hint="eastAsia"/>
          <w:kern w:val="0"/>
          <w:sz w:val="24"/>
          <w:szCs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C13660">
        <w:rPr>
          <w:rFonts w:ascii="仿宋" w:eastAsia="仿宋" w:hAnsi="仿宋" w:cs="宋体" w:hint="eastAsia"/>
          <w:b/>
          <w:kern w:val="0"/>
          <w:sz w:val="24"/>
          <w:szCs w:val="24"/>
        </w:rPr>
        <w:t>投资人、投资者：</w:t>
      </w:r>
      <w:r w:rsidRPr="004D5E5D">
        <w:rPr>
          <w:rFonts w:ascii="仿宋" w:eastAsia="仿宋" w:hAnsi="仿宋" w:cs="宋体" w:hint="eastAsia"/>
          <w:kern w:val="0"/>
          <w:sz w:val="24"/>
          <w:szCs w:val="24"/>
        </w:rPr>
        <w:t>指个人投资者、机构投资者、合格境外投资者以及法律法规或中国证监会允许购买证券投资基金的其他投资人的合称</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基金份额持有人：</w:t>
      </w:r>
      <w:r>
        <w:rPr>
          <w:rFonts w:ascii="仿宋" w:eastAsia="仿宋" w:hAnsi="仿宋" w:cs="宋体" w:hint="eastAsia"/>
          <w:kern w:val="0"/>
          <w:sz w:val="24"/>
          <w:szCs w:val="24"/>
        </w:rPr>
        <w:t>指</w:t>
      </w:r>
      <w:r w:rsidRPr="00C13660">
        <w:rPr>
          <w:rFonts w:ascii="仿宋" w:eastAsia="仿宋" w:hAnsi="仿宋" w:cs="宋体" w:hint="eastAsia"/>
          <w:kern w:val="0"/>
          <w:sz w:val="24"/>
          <w:szCs w:val="24"/>
        </w:rPr>
        <w:t>依</w:t>
      </w:r>
      <w:r>
        <w:rPr>
          <w:rFonts w:ascii="仿宋" w:eastAsia="仿宋" w:hAnsi="仿宋" w:cs="宋体" w:hint="eastAsia"/>
          <w:kern w:val="0"/>
          <w:sz w:val="24"/>
          <w:szCs w:val="24"/>
        </w:rPr>
        <w:t>《</w:t>
      </w:r>
      <w:r w:rsidRPr="00C13660">
        <w:rPr>
          <w:rFonts w:ascii="仿宋" w:eastAsia="仿宋" w:hAnsi="仿宋" w:cs="宋体" w:hint="eastAsia"/>
          <w:kern w:val="0"/>
          <w:sz w:val="24"/>
          <w:szCs w:val="24"/>
        </w:rPr>
        <w:t>基金合同</w:t>
      </w:r>
      <w:r>
        <w:rPr>
          <w:rFonts w:ascii="仿宋" w:eastAsia="仿宋" w:hAnsi="仿宋" w:cs="宋体" w:hint="eastAsia"/>
          <w:kern w:val="0"/>
          <w:sz w:val="24"/>
          <w:szCs w:val="24"/>
        </w:rPr>
        <w:t>》</w:t>
      </w:r>
      <w:r w:rsidRPr="00C13660">
        <w:rPr>
          <w:rFonts w:ascii="仿宋" w:eastAsia="仿宋" w:hAnsi="仿宋" w:cs="宋体" w:hint="eastAsia"/>
          <w:kern w:val="0"/>
          <w:sz w:val="24"/>
          <w:szCs w:val="24"/>
        </w:rPr>
        <w:t>和招募说明书</w:t>
      </w:r>
      <w:r>
        <w:rPr>
          <w:rFonts w:ascii="仿宋" w:eastAsia="仿宋" w:hAnsi="仿宋" w:cs="宋体" w:hint="eastAsia"/>
          <w:kern w:val="0"/>
          <w:sz w:val="24"/>
          <w:szCs w:val="24"/>
        </w:rPr>
        <w:t>合法取得本基金基金份额的投资人</w:t>
      </w:r>
    </w:p>
    <w:p w:rsidR="00E45E2B"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kern w:val="0"/>
          <w:sz w:val="24"/>
          <w:szCs w:val="24"/>
        </w:rPr>
      </w:pPr>
      <w:r>
        <w:rPr>
          <w:rFonts w:ascii="仿宋" w:eastAsia="仿宋" w:hAnsi="仿宋" w:cs="宋体" w:hint="eastAsia"/>
          <w:b/>
          <w:kern w:val="0"/>
          <w:sz w:val="24"/>
          <w:szCs w:val="24"/>
        </w:rPr>
        <w:t>基金销售业务：</w:t>
      </w:r>
      <w:r>
        <w:rPr>
          <w:rFonts w:ascii="仿宋" w:eastAsia="仿宋" w:hAnsi="仿宋" w:cs="宋体" w:hint="eastAsia"/>
          <w:kern w:val="0"/>
          <w:sz w:val="24"/>
          <w:szCs w:val="24"/>
        </w:rPr>
        <w:t>指基金管理人或销售机构宣传推介基金，办理基金份额的申购、赎回、转换、转托管及定期定额投资等业务</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销售机构：</w:t>
      </w:r>
      <w:r>
        <w:rPr>
          <w:rFonts w:ascii="仿宋" w:eastAsia="仿宋" w:hAnsi="仿宋" w:cs="宋体" w:hint="eastAsia"/>
          <w:kern w:val="0"/>
          <w:sz w:val="24"/>
          <w:szCs w:val="24"/>
        </w:rPr>
        <w:t>指基金管理人以及符合《销售办法》和中国证监会规定的其他条件，取得基金销售业务资格并与基金管理人签订了基金销售服务</w:t>
      </w:r>
      <w:r w:rsidRPr="00EF37FB">
        <w:rPr>
          <w:rFonts w:ascii="仿宋" w:eastAsia="仿宋" w:hAnsi="仿宋" w:cs="宋体" w:hint="eastAsia"/>
          <w:kern w:val="0"/>
          <w:sz w:val="24"/>
          <w:szCs w:val="24"/>
        </w:rPr>
        <w:t>协议，办理基金销售业务的机构</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登记业务</w:t>
      </w:r>
      <w:r>
        <w:rPr>
          <w:rFonts w:ascii="仿宋" w:eastAsia="仿宋" w:hAnsi="仿宋" w:cs="宋体" w:hint="eastAsia"/>
          <w:kern w:val="0"/>
          <w:sz w:val="24"/>
          <w:szCs w:val="24"/>
        </w:rPr>
        <w:t>：指基金登记、存管、过户、清算和结算业务，具体内容包括投资人基金账户的建立和管理、基金份额登记、基金销售业务的确认、清算和结算、代理发放红利、建立并保管基金份额持有人名册和办理非交易过户等</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601E41">
        <w:rPr>
          <w:rFonts w:ascii="仿宋" w:eastAsia="仿宋" w:hAnsi="仿宋" w:cs="宋体" w:hint="eastAsia"/>
          <w:b/>
          <w:kern w:val="0"/>
          <w:sz w:val="24"/>
          <w:szCs w:val="24"/>
        </w:rPr>
        <w:t>登记机构：</w:t>
      </w:r>
      <w:r w:rsidRPr="00601E41">
        <w:rPr>
          <w:rFonts w:ascii="仿宋" w:eastAsia="仿宋" w:hAnsi="仿宋" w:cs="宋体" w:hint="eastAsia"/>
          <w:kern w:val="0"/>
          <w:sz w:val="24"/>
          <w:szCs w:val="24"/>
        </w:rPr>
        <w:t>指办理基金登记业务的机构，本基金的登记机构为上海东方证券资产管理有限公司或接受上海东方证券资产管理有限公司委托代为办理基金登记业务的机构</w:t>
      </w:r>
      <w:r>
        <w:rPr>
          <w:rFonts w:ascii="仿宋" w:eastAsia="仿宋" w:hAnsi="仿宋" w:cs="宋体" w:hint="eastAsia"/>
          <w:kern w:val="0"/>
          <w:sz w:val="24"/>
          <w:szCs w:val="24"/>
        </w:rPr>
        <w:t xml:space="preserve"> </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基金账户：</w:t>
      </w:r>
      <w:r w:rsidRPr="007649F7">
        <w:rPr>
          <w:rFonts w:ascii="仿宋" w:eastAsia="仿宋" w:hAnsi="仿宋" w:cs="宋体" w:hint="eastAsia"/>
          <w:kern w:val="0"/>
          <w:sz w:val="24"/>
          <w:szCs w:val="24"/>
        </w:rPr>
        <w:t>指登记机构为投资人开立的、记录其持有的、基金管理人所管理的基金份额余额及其变动情况的账户</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基金交易账户：</w:t>
      </w:r>
      <w:r>
        <w:rPr>
          <w:rFonts w:ascii="仿宋" w:eastAsia="仿宋" w:hAnsi="仿宋" w:cs="宋体" w:hint="eastAsia"/>
          <w:kern w:val="0"/>
          <w:sz w:val="24"/>
          <w:szCs w:val="24"/>
        </w:rPr>
        <w:t>指各销售机构为投资人开立的、记录投资人通过该销售机构办理基金申购、赎回、转换、转托管及定期定额投资等业务而引起的基金份额的变动及结余情况的账户</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基金合同生效日：</w:t>
      </w:r>
      <w:r w:rsidRPr="008548A6">
        <w:rPr>
          <w:rFonts w:ascii="仿宋" w:eastAsia="仿宋" w:hAnsi="仿宋" w:cs="宋体" w:hint="eastAsia"/>
          <w:kern w:val="0"/>
          <w:sz w:val="24"/>
          <w:szCs w:val="24"/>
        </w:rPr>
        <w:t>指《东方红</w:t>
      </w:r>
      <w:r>
        <w:rPr>
          <w:rFonts w:ascii="仿宋" w:eastAsia="仿宋" w:hAnsi="仿宋" w:cs="宋体" w:hint="eastAsia"/>
          <w:kern w:val="0"/>
          <w:sz w:val="24"/>
          <w:szCs w:val="24"/>
        </w:rPr>
        <w:t>恒阳五</w:t>
      </w:r>
      <w:r w:rsidRPr="008548A6">
        <w:rPr>
          <w:rFonts w:ascii="仿宋" w:eastAsia="仿宋" w:hAnsi="仿宋" w:cs="宋体" w:hint="eastAsia"/>
          <w:kern w:val="0"/>
          <w:sz w:val="24"/>
          <w:szCs w:val="24"/>
        </w:rPr>
        <w:t>年持有期混合型证券投资基金基金合同》生效日，原《东方红</w:t>
      </w:r>
      <w:r>
        <w:rPr>
          <w:rFonts w:ascii="仿宋" w:eastAsia="仿宋" w:hAnsi="仿宋" w:cs="宋体" w:hint="eastAsia"/>
          <w:kern w:val="0"/>
          <w:sz w:val="24"/>
          <w:szCs w:val="24"/>
        </w:rPr>
        <w:t>恒阳五</w:t>
      </w:r>
      <w:r w:rsidRPr="008548A6">
        <w:rPr>
          <w:rFonts w:ascii="仿宋" w:eastAsia="仿宋" w:hAnsi="仿宋" w:cs="宋体" w:hint="eastAsia"/>
          <w:kern w:val="0"/>
          <w:sz w:val="24"/>
          <w:szCs w:val="24"/>
        </w:rPr>
        <w:t>年定期开放混合型证券投资基金基金合同》自同一日终止</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b/>
          <w:kern w:val="0"/>
          <w:sz w:val="24"/>
          <w:szCs w:val="24"/>
        </w:rPr>
        <w:t>基金合同终止日</w:t>
      </w:r>
      <w:r>
        <w:rPr>
          <w:rFonts w:ascii="仿宋" w:eastAsia="仿宋" w:hAnsi="仿宋" w:cs="宋体"/>
          <w:kern w:val="0"/>
          <w:sz w:val="24"/>
          <w:szCs w:val="24"/>
        </w:rPr>
        <w:t>：指基金合同规定的基金合同终止事由出现后，基金财产清算完毕，清算结果报中国证监会备案并予以公告的日期</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基金存续期：</w:t>
      </w:r>
      <w:r>
        <w:rPr>
          <w:rFonts w:ascii="仿宋" w:eastAsia="仿宋" w:hAnsi="仿宋" w:cs="宋体" w:hint="eastAsia"/>
          <w:kern w:val="0"/>
          <w:sz w:val="24"/>
          <w:szCs w:val="24"/>
        </w:rPr>
        <w:t>指《</w:t>
      </w:r>
      <w:r w:rsidRPr="005955EA">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955EA">
        <w:rPr>
          <w:rFonts w:ascii="仿宋" w:eastAsia="仿宋" w:hAnsi="仿宋" w:cs="宋体" w:hint="eastAsia"/>
          <w:kern w:val="0"/>
          <w:sz w:val="24"/>
          <w:szCs w:val="24"/>
        </w:rPr>
        <w:t>年定期开放混合型证券投资基金</w:t>
      </w:r>
      <w:r>
        <w:rPr>
          <w:rFonts w:ascii="仿宋" w:eastAsia="仿宋" w:hAnsi="仿宋" w:cs="宋体" w:hint="eastAsia"/>
          <w:kern w:val="0"/>
          <w:sz w:val="24"/>
          <w:szCs w:val="24"/>
        </w:rPr>
        <w:t>基金合同》生效</w:t>
      </w:r>
      <w:r w:rsidRPr="00E2636A">
        <w:rPr>
          <w:rFonts w:ascii="仿宋" w:eastAsia="仿宋" w:hAnsi="仿宋" w:cs="宋体" w:hint="eastAsia"/>
          <w:kern w:val="0"/>
          <w:sz w:val="24"/>
          <w:szCs w:val="24"/>
        </w:rPr>
        <w:t>至终止之间的不定期</w:t>
      </w:r>
      <w:r>
        <w:rPr>
          <w:rFonts w:ascii="仿宋" w:eastAsia="仿宋" w:hAnsi="仿宋" w:cs="宋体" w:hint="eastAsia"/>
          <w:kern w:val="0"/>
          <w:sz w:val="24"/>
          <w:szCs w:val="24"/>
        </w:rPr>
        <w:t>期间</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工作日：</w:t>
      </w:r>
      <w:r>
        <w:rPr>
          <w:rFonts w:ascii="仿宋" w:eastAsia="仿宋" w:hAnsi="仿宋" w:cs="宋体" w:hint="eastAsia"/>
          <w:kern w:val="0"/>
          <w:sz w:val="24"/>
          <w:szCs w:val="24"/>
        </w:rPr>
        <w:t>指上海证券交易所和深圳证券交易所的正常交易日</w:t>
      </w:r>
    </w:p>
    <w:p w:rsidR="00E45E2B" w:rsidRDefault="00E45E2B" w:rsidP="00E45E2B">
      <w:pPr>
        <w:pStyle w:val="ae"/>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rPr>
      </w:pPr>
      <w:r>
        <w:rPr>
          <w:rFonts w:ascii="仿宋" w:eastAsia="仿宋" w:hAnsi="仿宋" w:cs="宋体" w:hint="eastAsia"/>
          <w:b/>
          <w:kern w:val="0"/>
          <w:sz w:val="24"/>
        </w:rPr>
        <w:t>年度对日：</w:t>
      </w:r>
      <w:r>
        <w:rPr>
          <w:rFonts w:ascii="仿宋" w:eastAsia="仿宋" w:hAnsi="仿宋" w:cs="宋体" w:hint="eastAsia"/>
          <w:kern w:val="0"/>
          <w:sz w:val="24"/>
        </w:rPr>
        <w:t>指某一特定日期在后续日历年份中的对应日期，如该对应日期为非工作日，则顺延至下一个工作日，若该日历年份中不存在对应日期的，则顺延至该月最后一日的下一工作日</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b/>
          <w:kern w:val="0"/>
          <w:sz w:val="24"/>
          <w:szCs w:val="24"/>
        </w:rPr>
        <w:t>T</w:t>
      </w:r>
      <w:r>
        <w:rPr>
          <w:rFonts w:ascii="仿宋" w:eastAsia="仿宋" w:hAnsi="仿宋" w:cs="宋体" w:hint="eastAsia"/>
          <w:b/>
          <w:kern w:val="0"/>
          <w:sz w:val="24"/>
          <w:szCs w:val="24"/>
        </w:rPr>
        <w:t>日：</w:t>
      </w:r>
      <w:r>
        <w:rPr>
          <w:rFonts w:ascii="仿宋" w:eastAsia="仿宋" w:hAnsi="仿宋" w:cs="宋体" w:hint="eastAsia"/>
          <w:kern w:val="0"/>
          <w:sz w:val="24"/>
          <w:szCs w:val="24"/>
        </w:rPr>
        <w:t>指</w:t>
      </w:r>
      <w:r w:rsidRPr="00742559">
        <w:rPr>
          <w:rFonts w:ascii="仿宋" w:eastAsia="仿宋" w:hAnsi="仿宋" w:cs="宋体" w:hint="eastAsia"/>
          <w:kern w:val="0"/>
          <w:sz w:val="24"/>
          <w:szCs w:val="24"/>
        </w:rPr>
        <w:t>销售机构在规定时间受理投资人</w:t>
      </w:r>
      <w:r>
        <w:rPr>
          <w:rFonts w:ascii="仿宋" w:eastAsia="仿宋" w:hAnsi="仿宋" w:cs="宋体" w:hint="eastAsia"/>
          <w:kern w:val="0"/>
          <w:sz w:val="24"/>
          <w:szCs w:val="24"/>
        </w:rPr>
        <w:t>申购、赎回或其他基金业务申请的开放日</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b/>
          <w:kern w:val="0"/>
          <w:sz w:val="24"/>
          <w:szCs w:val="24"/>
        </w:rPr>
        <w:t xml:space="preserve">T+n </w:t>
      </w:r>
      <w:r>
        <w:rPr>
          <w:rFonts w:ascii="仿宋" w:eastAsia="仿宋" w:hAnsi="仿宋" w:cs="宋体" w:hint="eastAsia"/>
          <w:b/>
          <w:kern w:val="0"/>
          <w:sz w:val="24"/>
          <w:szCs w:val="24"/>
        </w:rPr>
        <w:t>日：</w:t>
      </w:r>
      <w:r>
        <w:rPr>
          <w:rFonts w:ascii="仿宋" w:eastAsia="仿宋" w:hAnsi="仿宋" w:cs="宋体" w:hint="eastAsia"/>
          <w:kern w:val="0"/>
          <w:sz w:val="24"/>
          <w:szCs w:val="24"/>
        </w:rPr>
        <w:t>指自</w:t>
      </w:r>
      <w:r>
        <w:rPr>
          <w:rFonts w:ascii="仿宋" w:eastAsia="仿宋" w:hAnsi="仿宋" w:cs="宋体"/>
          <w:kern w:val="0"/>
          <w:sz w:val="24"/>
          <w:szCs w:val="24"/>
        </w:rPr>
        <w:t>T</w:t>
      </w:r>
      <w:r>
        <w:rPr>
          <w:rFonts w:ascii="仿宋" w:eastAsia="仿宋" w:hAnsi="仿宋" w:cs="宋体" w:hint="eastAsia"/>
          <w:kern w:val="0"/>
          <w:sz w:val="24"/>
          <w:szCs w:val="24"/>
        </w:rPr>
        <w:t>日起第</w:t>
      </w:r>
      <w:r>
        <w:rPr>
          <w:rFonts w:ascii="仿宋" w:eastAsia="仿宋" w:hAnsi="仿宋" w:cs="宋体"/>
          <w:kern w:val="0"/>
          <w:sz w:val="24"/>
          <w:szCs w:val="24"/>
        </w:rPr>
        <w:t>n</w:t>
      </w:r>
      <w:r>
        <w:rPr>
          <w:rFonts w:ascii="仿宋" w:eastAsia="仿宋" w:hAnsi="仿宋" w:cs="宋体" w:hint="eastAsia"/>
          <w:kern w:val="0"/>
          <w:sz w:val="24"/>
          <w:szCs w:val="24"/>
        </w:rPr>
        <w:t>个工作日（不包含</w:t>
      </w:r>
      <w:r>
        <w:rPr>
          <w:rFonts w:ascii="仿宋" w:eastAsia="仿宋" w:hAnsi="仿宋" w:cs="宋体"/>
          <w:kern w:val="0"/>
          <w:sz w:val="24"/>
          <w:szCs w:val="24"/>
        </w:rPr>
        <w:t>T</w:t>
      </w:r>
      <w:r>
        <w:rPr>
          <w:rFonts w:ascii="仿宋" w:eastAsia="仿宋" w:hAnsi="仿宋" w:cs="宋体" w:hint="eastAsia"/>
          <w:kern w:val="0"/>
          <w:sz w:val="24"/>
          <w:szCs w:val="24"/>
        </w:rPr>
        <w:t>日）</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开放日：</w:t>
      </w:r>
      <w:r w:rsidRPr="00616F3E">
        <w:rPr>
          <w:rFonts w:ascii="仿宋" w:eastAsia="仿宋" w:hAnsi="仿宋" w:cs="宋体" w:hint="eastAsia"/>
          <w:kern w:val="0"/>
          <w:sz w:val="24"/>
          <w:szCs w:val="24"/>
        </w:rPr>
        <w:t>指为投资人办理基金份额申购、赎回或其他业务的工作日，若该工作日为非港股通交易日，则基金管理人有权决定本基金是否开放</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开放时间</w:t>
      </w:r>
      <w:r>
        <w:rPr>
          <w:rFonts w:ascii="仿宋" w:eastAsia="仿宋" w:hAnsi="仿宋" w:cs="宋体" w:hint="eastAsia"/>
          <w:kern w:val="0"/>
          <w:sz w:val="24"/>
          <w:szCs w:val="24"/>
        </w:rPr>
        <w:t>：指开放日基金接受申购、赎回或其他交易的时间段</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EC7EBF">
        <w:rPr>
          <w:rFonts w:ascii="仿宋" w:eastAsia="仿宋" w:hAnsi="仿宋" w:cs="宋体" w:hint="eastAsia"/>
          <w:b/>
          <w:kern w:val="0"/>
          <w:sz w:val="24"/>
          <w:szCs w:val="24"/>
        </w:rPr>
        <w:t>锁定持有期</w:t>
      </w:r>
      <w:r w:rsidRPr="00616F3E">
        <w:rPr>
          <w:rFonts w:ascii="仿宋" w:eastAsia="仿宋" w:hAnsi="仿宋" w:cs="宋体" w:hint="eastAsia"/>
          <w:kern w:val="0"/>
          <w:sz w:val="24"/>
          <w:szCs w:val="24"/>
        </w:rPr>
        <w:t>：</w:t>
      </w:r>
      <w:r>
        <w:rPr>
          <w:rFonts w:ascii="仿宋" w:eastAsia="仿宋" w:hAnsi="仿宋" w:cs="宋体" w:hint="eastAsia"/>
          <w:kern w:val="0"/>
          <w:sz w:val="24"/>
          <w:szCs w:val="24"/>
        </w:rPr>
        <w:t>除基金合同另有约定外，</w:t>
      </w:r>
      <w:r w:rsidRPr="00F05EBC">
        <w:rPr>
          <w:rFonts w:ascii="仿宋" w:eastAsia="仿宋" w:hAnsi="仿宋" w:cs="宋体" w:hint="eastAsia"/>
          <w:kern w:val="0"/>
          <w:sz w:val="24"/>
          <w:szCs w:val="24"/>
        </w:rPr>
        <w:t>对于每份基金份额，锁定持有期指</w:t>
      </w:r>
      <w:r>
        <w:rPr>
          <w:rFonts w:ascii="仿宋" w:eastAsia="仿宋" w:hAnsi="仿宋" w:cs="宋体" w:hint="eastAsia"/>
          <w:kern w:val="0"/>
          <w:sz w:val="24"/>
          <w:szCs w:val="24"/>
        </w:rPr>
        <w:t>基金份额登记日</w:t>
      </w:r>
      <w:r w:rsidRPr="00F05EBC">
        <w:rPr>
          <w:rFonts w:ascii="仿宋" w:eastAsia="仿宋" w:hAnsi="仿宋" w:cs="宋体" w:hint="eastAsia"/>
          <w:kern w:val="0"/>
          <w:sz w:val="24"/>
          <w:szCs w:val="24"/>
        </w:rPr>
        <w:t>（对基金合同生效前已经持有的份额而言，下同）、基金份额申购申请日（对基金合同生效后申购份额而言，下同）或基金份额转换转入申请日（对基金合同生效后转换转入份额而言，下同）起（即锁定持有期起始日），至</w:t>
      </w:r>
      <w:r>
        <w:rPr>
          <w:rFonts w:ascii="仿宋" w:eastAsia="仿宋" w:hAnsi="仿宋" w:cs="宋体" w:hint="eastAsia"/>
          <w:kern w:val="0"/>
          <w:sz w:val="24"/>
          <w:szCs w:val="24"/>
        </w:rPr>
        <w:t>基金份额登记日</w:t>
      </w:r>
      <w:r w:rsidRPr="00F05EBC">
        <w:rPr>
          <w:rFonts w:ascii="仿宋" w:eastAsia="仿宋" w:hAnsi="仿宋" w:cs="宋体" w:hint="eastAsia"/>
          <w:kern w:val="0"/>
          <w:sz w:val="24"/>
          <w:szCs w:val="24"/>
        </w:rPr>
        <w:t>、基金份额申购申请日或基金份额转换转入申请日次</w:t>
      </w:r>
      <w:r>
        <w:rPr>
          <w:rFonts w:ascii="仿宋" w:eastAsia="仿宋" w:hAnsi="仿宋" w:cs="宋体" w:hint="eastAsia"/>
          <w:kern w:val="0"/>
          <w:sz w:val="24"/>
          <w:szCs w:val="24"/>
        </w:rPr>
        <w:t>五</w:t>
      </w:r>
      <w:r w:rsidRPr="00F05EBC">
        <w:rPr>
          <w:rFonts w:ascii="仿宋" w:eastAsia="仿宋" w:hAnsi="仿宋" w:cs="宋体" w:hint="eastAsia"/>
          <w:kern w:val="0"/>
          <w:sz w:val="24"/>
          <w:szCs w:val="24"/>
        </w:rPr>
        <w:t>年的年度对日的前一日（即锁定持有期到期日）之间的区间，基金份额在锁定持有期内不办理赎回</w:t>
      </w:r>
      <w:r>
        <w:rPr>
          <w:rFonts w:ascii="仿宋" w:eastAsia="仿宋" w:hAnsi="仿宋" w:cs="宋体" w:hint="eastAsia"/>
          <w:kern w:val="0"/>
          <w:sz w:val="24"/>
          <w:szCs w:val="24"/>
        </w:rPr>
        <w:t>、</w:t>
      </w:r>
      <w:r w:rsidRPr="00F05EBC">
        <w:rPr>
          <w:rFonts w:ascii="仿宋" w:eastAsia="仿宋" w:hAnsi="仿宋" w:cs="宋体" w:hint="eastAsia"/>
          <w:kern w:val="0"/>
          <w:sz w:val="24"/>
          <w:szCs w:val="24"/>
        </w:rPr>
        <w:t>转换转出业务</w:t>
      </w:r>
    </w:p>
    <w:p w:rsidR="00E45E2B" w:rsidRPr="00EB4BDA"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9032CE">
        <w:rPr>
          <w:rFonts w:ascii="仿宋" w:eastAsia="仿宋" w:hAnsi="仿宋" w:cs="宋体" w:hint="eastAsia"/>
          <w:b/>
          <w:kern w:val="0"/>
          <w:sz w:val="24"/>
          <w:szCs w:val="24"/>
        </w:rPr>
        <w:t>开放持有期：</w:t>
      </w:r>
      <w:r w:rsidRPr="00F05EBC">
        <w:rPr>
          <w:rFonts w:ascii="仿宋" w:eastAsia="仿宋" w:hAnsi="仿宋" w:cs="宋体" w:hint="eastAsia"/>
          <w:kern w:val="0"/>
          <w:sz w:val="24"/>
          <w:szCs w:val="24"/>
        </w:rPr>
        <w:t>除基金合同另有约定外，对于每份基金份额，自锁定持有期结束后即进入开放持有期，开放持有期首日为锁定持有期起始日次</w:t>
      </w:r>
      <w:r>
        <w:rPr>
          <w:rFonts w:ascii="仿宋" w:eastAsia="仿宋" w:hAnsi="仿宋" w:cs="宋体" w:hint="eastAsia"/>
          <w:kern w:val="0"/>
          <w:sz w:val="24"/>
          <w:szCs w:val="24"/>
        </w:rPr>
        <w:t>五</w:t>
      </w:r>
      <w:r w:rsidRPr="00F05EBC">
        <w:rPr>
          <w:rFonts w:ascii="仿宋" w:eastAsia="仿宋" w:hAnsi="仿宋" w:cs="宋体" w:hint="eastAsia"/>
          <w:kern w:val="0"/>
          <w:sz w:val="24"/>
          <w:szCs w:val="24"/>
        </w:rPr>
        <w:t>年的年度对日。每份基金份额在开放持有期期间的开放日可以办理赎回及转换转出业务</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《业务规则》：</w:t>
      </w:r>
      <w:r>
        <w:rPr>
          <w:rFonts w:ascii="仿宋" w:eastAsia="仿宋" w:hAnsi="仿宋" w:cs="宋体" w:hint="eastAsia"/>
          <w:kern w:val="0"/>
          <w:sz w:val="24"/>
          <w:szCs w:val="24"/>
        </w:rPr>
        <w:t>指《上海东方证券资产管理有限公司开放式基金业务规则》以及其他适用于证券投资基金的业务规则</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申购：</w:t>
      </w:r>
      <w:r>
        <w:rPr>
          <w:rFonts w:ascii="仿宋" w:eastAsia="仿宋" w:hAnsi="仿宋" w:cs="宋体" w:hint="eastAsia"/>
          <w:kern w:val="0"/>
          <w:sz w:val="24"/>
          <w:szCs w:val="24"/>
        </w:rPr>
        <w:t>指基金合同生效后，投资人根据基金合同和招募说明书的规定申请购买基金份额的行为</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赎回：</w:t>
      </w:r>
      <w:r>
        <w:rPr>
          <w:rFonts w:ascii="仿宋" w:eastAsia="仿宋" w:hAnsi="仿宋" w:cs="宋体" w:hint="eastAsia"/>
          <w:kern w:val="0"/>
          <w:sz w:val="24"/>
          <w:szCs w:val="24"/>
        </w:rPr>
        <w:t>指基金合同生效后，基金份额持有人按基金合同和招募说明书规定的条件要求将基金份额兑换为现金的行为</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基金转换</w:t>
      </w:r>
      <w:r>
        <w:rPr>
          <w:rFonts w:ascii="仿宋" w:eastAsia="仿宋" w:hAnsi="仿宋" w:cs="宋体" w:hint="eastAsia"/>
          <w:kern w:val="0"/>
          <w:sz w:val="24"/>
          <w:szCs w:val="24"/>
        </w:rPr>
        <w:t>：指基金份额持有人按照本基金合同和基金管理人届时有效公告规定的条件，申请将其持有基金管理人管理的、某一基金的基金份额转换为基金管理人管理的其他基金基金份额的行为</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b/>
          <w:kern w:val="0"/>
          <w:sz w:val="24"/>
          <w:szCs w:val="24"/>
        </w:rPr>
        <w:t>转托管：</w:t>
      </w:r>
      <w:r>
        <w:rPr>
          <w:rFonts w:ascii="仿宋" w:eastAsia="仿宋" w:hAnsi="仿宋" w:cs="宋体"/>
          <w:kern w:val="0"/>
          <w:sz w:val="24"/>
          <w:szCs w:val="24"/>
        </w:rPr>
        <w:t>指基金份额持有人在本基金的不同销售机构之间实施的变更所持基金份额销售机构的操作</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定期定额投资计划</w:t>
      </w:r>
      <w:r>
        <w:rPr>
          <w:rFonts w:ascii="仿宋" w:eastAsia="仿宋" w:hAnsi="仿宋" w:cs="宋体" w:hint="eastAsia"/>
          <w:kern w:val="0"/>
          <w:sz w:val="24"/>
          <w:szCs w:val="24"/>
        </w:rPr>
        <w:t>：指投资人通过有关销售机构提出申请，约定每期申购日、扣款金额及扣款方式，由销售机构于每期约定扣款日在投资人指定银行账户内自动完成扣款及受理基金申购申请的一种投资方式</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巨额赎回：</w:t>
      </w:r>
      <w:r w:rsidRPr="00E906F3">
        <w:rPr>
          <w:rFonts w:ascii="仿宋" w:eastAsia="仿宋" w:hAnsi="仿宋" w:cs="宋体" w:hint="eastAsia"/>
          <w:kern w:val="0"/>
          <w:sz w:val="24"/>
          <w:szCs w:val="24"/>
        </w:rPr>
        <w:t>指本基金单个开放日，基金净赎回申请（赎回申请份额总数加上基金转换中转出申请份额总数后扣除申购申请份额总数及基金转换中转入申请份额总数后的余额）超过上一工作日基金总份额的10%时的情形</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元：</w:t>
      </w:r>
      <w:r>
        <w:rPr>
          <w:rFonts w:ascii="仿宋" w:eastAsia="仿宋" w:hAnsi="仿宋" w:cs="宋体" w:hint="eastAsia"/>
          <w:kern w:val="0"/>
          <w:sz w:val="24"/>
          <w:szCs w:val="24"/>
        </w:rPr>
        <w:t>指人民币元</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基金收益</w:t>
      </w:r>
      <w:r>
        <w:rPr>
          <w:rFonts w:ascii="仿宋" w:eastAsia="仿宋" w:hAnsi="仿宋" w:cs="宋体" w:hint="eastAsia"/>
          <w:kern w:val="0"/>
          <w:sz w:val="24"/>
          <w:szCs w:val="24"/>
        </w:rPr>
        <w:t>：指基金投资所得红利、股息、债券利息、买卖证券价差、银行存款利息、已实现的其他合法收入及因运用基金财产带来的成本和费用的节约</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基金资产总值：</w:t>
      </w:r>
      <w:r>
        <w:rPr>
          <w:rFonts w:ascii="仿宋" w:eastAsia="仿宋" w:hAnsi="仿宋" w:cs="宋体" w:hint="eastAsia"/>
          <w:kern w:val="0"/>
          <w:sz w:val="24"/>
          <w:szCs w:val="24"/>
        </w:rPr>
        <w:t>指基金拥有的各类有价证券</w:t>
      </w:r>
      <w:r w:rsidRPr="00B114F0">
        <w:rPr>
          <w:rFonts w:ascii="仿宋" w:eastAsia="仿宋" w:hAnsi="仿宋" w:cs="宋体" w:hint="eastAsia"/>
          <w:kern w:val="0"/>
          <w:sz w:val="24"/>
          <w:szCs w:val="24"/>
        </w:rPr>
        <w:t>及票据价值</w:t>
      </w:r>
      <w:r>
        <w:rPr>
          <w:rFonts w:ascii="仿宋" w:eastAsia="仿宋" w:hAnsi="仿宋" w:cs="宋体" w:hint="eastAsia"/>
          <w:kern w:val="0"/>
          <w:sz w:val="24"/>
          <w:szCs w:val="24"/>
        </w:rPr>
        <w:t>、银行存款本息、基金应收申购基金款及其他资产的价值总和</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基金资产净值：</w:t>
      </w:r>
      <w:r>
        <w:rPr>
          <w:rFonts w:ascii="仿宋" w:eastAsia="仿宋" w:hAnsi="仿宋" w:cs="宋体" w:hint="eastAsia"/>
          <w:kern w:val="0"/>
          <w:sz w:val="24"/>
          <w:szCs w:val="24"/>
        </w:rPr>
        <w:t>指基金资产总值减去基金负债后的价值</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基金份额净值：</w:t>
      </w:r>
      <w:r>
        <w:rPr>
          <w:rFonts w:ascii="仿宋" w:eastAsia="仿宋" w:hAnsi="仿宋" w:cs="宋体" w:hint="eastAsia"/>
          <w:kern w:val="0"/>
          <w:sz w:val="24"/>
          <w:szCs w:val="24"/>
        </w:rPr>
        <w:t>指计算日基金资产净值除以计算日基金份额总数的数值</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7E07F1">
        <w:rPr>
          <w:rFonts w:ascii="仿宋" w:eastAsia="仿宋" w:hAnsi="仿宋" w:cs="宋体" w:hint="eastAsia"/>
          <w:b/>
          <w:kern w:val="0"/>
          <w:sz w:val="24"/>
          <w:szCs w:val="24"/>
        </w:rPr>
        <w:t>基金份额累计净值：</w:t>
      </w:r>
      <w:r w:rsidRPr="00512075">
        <w:rPr>
          <w:rFonts w:ascii="仿宋" w:eastAsia="仿宋" w:hAnsi="仿宋" w:cs="宋体" w:hint="eastAsia"/>
          <w:kern w:val="0"/>
          <w:sz w:val="24"/>
          <w:szCs w:val="24"/>
        </w:rPr>
        <w:t>指计算日基金份额净值与每份基金份额累计分红之和</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基金资产估值：</w:t>
      </w:r>
      <w:r>
        <w:rPr>
          <w:rFonts w:ascii="仿宋" w:eastAsia="仿宋" w:hAnsi="仿宋" w:cs="宋体" w:hint="eastAsia"/>
          <w:kern w:val="0"/>
          <w:sz w:val="24"/>
          <w:szCs w:val="24"/>
        </w:rPr>
        <w:t>指计算评估基金资产和负债的价值，以确定基金资产净值和基金份额净值的过程</w:t>
      </w:r>
    </w:p>
    <w:p w:rsidR="00E45E2B" w:rsidRPr="004D5E5D"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512075">
        <w:rPr>
          <w:rFonts w:ascii="仿宋" w:eastAsia="仿宋" w:hAnsi="仿宋" w:cs="宋体" w:hint="eastAsia"/>
          <w:b/>
          <w:kern w:val="0"/>
          <w:sz w:val="24"/>
          <w:szCs w:val="24"/>
        </w:rPr>
        <w:t>规定媒介：</w:t>
      </w:r>
      <w:r w:rsidRPr="004D5E5D">
        <w:rPr>
          <w:rFonts w:ascii="仿宋" w:eastAsia="仿宋" w:hAnsi="仿宋" w:cs="宋体" w:hint="eastAsia"/>
          <w:kern w:val="0"/>
          <w:sz w:val="24"/>
          <w:szCs w:val="24"/>
        </w:rPr>
        <w:t>指符合中国证监会规定条件的用以进行信息披露的全国性报刊及《信息披露办法》规定的互联网网站（包括基金管理人网站、基金托管人网站、中国证监会基金电子披露网站）等媒介</w:t>
      </w:r>
      <w:r>
        <w:rPr>
          <w:rFonts w:ascii="仿宋" w:eastAsia="仿宋" w:hAnsi="仿宋" w:cs="宋体" w:hint="eastAsia"/>
          <w:b/>
          <w:kern w:val="0"/>
          <w:sz w:val="24"/>
          <w:szCs w:val="24"/>
        </w:rPr>
        <w:t xml:space="preserve"> </w:t>
      </w:r>
      <w:r>
        <w:rPr>
          <w:rFonts w:ascii="仿宋" w:eastAsia="仿宋" w:hAnsi="仿宋" w:cs="宋体"/>
          <w:b/>
          <w:kern w:val="0"/>
          <w:sz w:val="24"/>
          <w:szCs w:val="24"/>
        </w:rPr>
        <w:t xml:space="preserve"> </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不可抗力：</w:t>
      </w:r>
      <w:r w:rsidRPr="00A04094">
        <w:rPr>
          <w:rFonts w:ascii="仿宋" w:eastAsia="仿宋" w:hAnsi="仿宋" w:cs="宋体" w:hint="eastAsia"/>
          <w:kern w:val="0"/>
          <w:sz w:val="24"/>
          <w:szCs w:val="24"/>
        </w:rPr>
        <w:t>指本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bookmarkStart w:id="50" w:name="_Hlt88031774"/>
      <w:bookmarkStart w:id="51" w:name="_Toc79392573"/>
      <w:bookmarkStart w:id="52" w:name="_Toc233456272"/>
      <w:bookmarkStart w:id="53" w:name="_Toc258829400"/>
      <w:bookmarkEnd w:id="50"/>
      <w:r>
        <w:rPr>
          <w:rFonts w:ascii="仿宋" w:eastAsia="仿宋" w:hAnsi="仿宋" w:cs="宋体" w:hint="eastAsia"/>
          <w:b/>
          <w:kern w:val="0"/>
          <w:sz w:val="24"/>
          <w:szCs w:val="24"/>
        </w:rPr>
        <w:t>基金销售网点</w:t>
      </w:r>
      <w:r>
        <w:rPr>
          <w:rFonts w:ascii="仿宋" w:eastAsia="仿宋" w:hAnsi="仿宋" w:cs="宋体" w:hint="eastAsia"/>
          <w:kern w:val="0"/>
          <w:sz w:val="24"/>
          <w:szCs w:val="24"/>
        </w:rPr>
        <w:t>：指基金管理人的直销网点及其他基金销售机构的销售网点</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货币市场工具：</w:t>
      </w:r>
      <w:r>
        <w:rPr>
          <w:rFonts w:ascii="仿宋" w:eastAsia="仿宋" w:hAnsi="仿宋" w:cs="宋体" w:hint="eastAsia"/>
          <w:kern w:val="0"/>
          <w:sz w:val="24"/>
          <w:szCs w:val="24"/>
        </w:rPr>
        <w:t>指现金（活期存款）；期限在一年以内（含一年）的银行存款、债券回购、中央银行票据、同业存单；剩余期限在三百九十七天以内（含三百九十七天）的债券、非金融企业债务融资工具、资产支持证券；中国证监会、中国人民银行认可的其他具有良好流动性的金融工具</w:t>
      </w:r>
    </w:p>
    <w:p w:rsidR="00E45E2B" w:rsidRPr="00E3274D"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b/>
          <w:kern w:val="0"/>
          <w:sz w:val="24"/>
          <w:szCs w:val="24"/>
        </w:rPr>
      </w:pPr>
      <w:r>
        <w:rPr>
          <w:rFonts w:ascii="仿宋" w:eastAsia="仿宋" w:hAnsi="仿宋" w:cs="宋体" w:hint="eastAsia"/>
          <w:b/>
          <w:kern w:val="0"/>
          <w:sz w:val="24"/>
          <w:szCs w:val="24"/>
        </w:rPr>
        <w:t>港股通标的股票：</w:t>
      </w:r>
      <w:r>
        <w:rPr>
          <w:rFonts w:ascii="仿宋" w:eastAsia="仿宋" w:hAnsi="仿宋" w:cs="宋体" w:hint="eastAsia"/>
          <w:kern w:val="0"/>
          <w:sz w:val="24"/>
          <w:szCs w:val="24"/>
        </w:rPr>
        <w:t>指内地投资者委托内地证券公司，经由上海证券交易所、深圳证券交易所或者经中国证监会认可的机构设立的证券交易服务公司，向香港联合交易所有限公司（以下简称“香港联合交易所”）进行申报、买卖规定范围内的香港联合交易所上市的股票</w:t>
      </w:r>
    </w:p>
    <w:p w:rsidR="00E45E2B" w:rsidRDefault="00E45E2B" w:rsidP="00E45E2B">
      <w:pPr>
        <w:pStyle w:val="14"/>
        <w:numPr>
          <w:ilvl w:val="0"/>
          <w:numId w:val="5"/>
        </w:numPr>
        <w:ind w:firstLineChars="0"/>
        <w:rPr>
          <w:rFonts w:ascii="仿宋" w:hAnsi="仿宋"/>
        </w:rPr>
      </w:pPr>
      <w:r>
        <w:rPr>
          <w:rFonts w:ascii="仿宋" w:hAnsi="仿宋"/>
          <w:b/>
        </w:rPr>
        <w:t>信用衍生品</w:t>
      </w:r>
      <w:r>
        <w:rPr>
          <w:rFonts w:ascii="仿宋" w:hAnsi="仿宋"/>
        </w:rPr>
        <w:t>：指符合证券交易所或银行间市场相关业务规则，专门用于管理信用风险的信用衍生工具</w:t>
      </w:r>
    </w:p>
    <w:p w:rsidR="00E45E2B" w:rsidRDefault="00E45E2B" w:rsidP="00E45E2B">
      <w:pPr>
        <w:pStyle w:val="14"/>
        <w:numPr>
          <w:ilvl w:val="0"/>
          <w:numId w:val="5"/>
        </w:numPr>
        <w:ind w:firstLineChars="0"/>
        <w:rPr>
          <w:rFonts w:ascii="仿宋" w:hAnsi="仿宋"/>
        </w:rPr>
      </w:pPr>
      <w:r>
        <w:rPr>
          <w:rFonts w:ascii="仿宋" w:hAnsi="仿宋"/>
          <w:b/>
        </w:rPr>
        <w:t>信用保护买方</w:t>
      </w:r>
      <w:r>
        <w:rPr>
          <w:rFonts w:ascii="仿宋" w:hAnsi="仿宋"/>
        </w:rPr>
        <w:t>：亦称信用保护购买方，指接受信用风险保护的一方</w:t>
      </w:r>
    </w:p>
    <w:p w:rsidR="00E45E2B" w:rsidRDefault="00E45E2B" w:rsidP="00E45E2B">
      <w:pPr>
        <w:pStyle w:val="14"/>
        <w:numPr>
          <w:ilvl w:val="0"/>
          <w:numId w:val="5"/>
        </w:numPr>
        <w:ind w:firstLineChars="0"/>
        <w:rPr>
          <w:rFonts w:ascii="仿宋" w:hAnsi="仿宋"/>
        </w:rPr>
      </w:pPr>
      <w:r>
        <w:rPr>
          <w:rFonts w:ascii="仿宋" w:hAnsi="仿宋"/>
          <w:b/>
        </w:rPr>
        <w:t>信用保护卖方</w:t>
      </w:r>
      <w:r>
        <w:rPr>
          <w:rFonts w:ascii="仿宋" w:hAnsi="仿宋"/>
        </w:rPr>
        <w:t>：亦称信用保护提供方，指提供信用风险保护的一方</w:t>
      </w:r>
    </w:p>
    <w:p w:rsidR="00E45E2B" w:rsidRPr="00E3274D" w:rsidRDefault="00E45E2B" w:rsidP="00E45E2B">
      <w:pPr>
        <w:pStyle w:val="14"/>
        <w:numPr>
          <w:ilvl w:val="0"/>
          <w:numId w:val="5"/>
        </w:numPr>
        <w:ind w:firstLineChars="0"/>
        <w:rPr>
          <w:rFonts w:ascii="仿宋" w:hAnsi="仿宋"/>
        </w:rPr>
      </w:pPr>
      <w:r>
        <w:rPr>
          <w:rFonts w:ascii="仿宋" w:hAnsi="仿宋"/>
          <w:b/>
        </w:rPr>
        <w:t>名义本金</w:t>
      </w:r>
      <w:r>
        <w:rPr>
          <w:rFonts w:ascii="仿宋" w:hAnsi="仿宋"/>
        </w:rPr>
        <w:t>：亦称交易名义本金，指一笔信用衍生品交易提供信用保护的金额，各项支付和结算以此金额为计算基准</w:t>
      </w:r>
    </w:p>
    <w:p w:rsidR="00E45E2B"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b/>
          <w:kern w:val="0"/>
          <w:sz w:val="24"/>
          <w:szCs w:val="24"/>
        </w:rPr>
      </w:pPr>
      <w:r>
        <w:rPr>
          <w:rFonts w:ascii="仿宋" w:eastAsia="仿宋" w:hAnsi="仿宋" w:cs="宋体" w:hint="eastAsia"/>
          <w:b/>
          <w:kern w:val="0"/>
          <w:sz w:val="24"/>
          <w:szCs w:val="24"/>
        </w:rPr>
        <w:t>流动性受限资产：</w:t>
      </w:r>
      <w:r>
        <w:rPr>
          <w:rFonts w:ascii="仿宋" w:eastAsia="仿宋" w:hAnsi="仿宋" w:cs="宋体" w:hint="eastAsia"/>
          <w:bCs/>
          <w:kern w:val="0"/>
          <w:sz w:val="24"/>
          <w:szCs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E45E2B" w:rsidRPr="004D5E5D"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kern w:val="0"/>
          <w:sz w:val="24"/>
          <w:szCs w:val="24"/>
        </w:rPr>
      </w:pPr>
      <w:r>
        <w:rPr>
          <w:rFonts w:ascii="仿宋" w:eastAsia="仿宋" w:hAnsi="仿宋" w:hint="eastAsia"/>
          <w:b/>
          <w:color w:val="000000"/>
          <w:sz w:val="24"/>
        </w:rPr>
        <w:t>摆动定价机制：</w:t>
      </w:r>
      <w:r>
        <w:rPr>
          <w:rFonts w:ascii="仿宋" w:eastAsia="仿宋" w:hAnsi="仿宋" w:hint="eastAsia"/>
          <w:color w:val="000000"/>
          <w:sz w:val="24"/>
        </w:rPr>
        <w:t>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E45E2B" w:rsidRDefault="00E45E2B" w:rsidP="00E45E2B">
      <w:pPr>
        <w:numPr>
          <w:ilvl w:val="0"/>
          <w:numId w:val="5"/>
        </w:numPr>
        <w:tabs>
          <w:tab w:val="left" w:pos="567"/>
        </w:tabs>
        <w:autoSpaceDE w:val="0"/>
        <w:autoSpaceDN w:val="0"/>
        <w:adjustRightInd w:val="0"/>
        <w:spacing w:line="360" w:lineRule="auto"/>
        <w:jc w:val="left"/>
        <w:rPr>
          <w:rFonts w:ascii="仿宋" w:eastAsia="仿宋" w:hAnsi="仿宋" w:cs="宋体"/>
          <w:kern w:val="0"/>
          <w:sz w:val="24"/>
          <w:szCs w:val="24"/>
        </w:rPr>
      </w:pPr>
      <w:r w:rsidRPr="004D5E5D">
        <w:rPr>
          <w:rFonts w:ascii="仿宋" w:eastAsia="仿宋" w:hAnsi="仿宋" w:cs="宋体" w:hint="eastAsia"/>
          <w:b/>
          <w:kern w:val="0"/>
          <w:sz w:val="24"/>
          <w:szCs w:val="24"/>
        </w:rPr>
        <w:t>侧袋机制：</w:t>
      </w:r>
      <w:r w:rsidRPr="00A04094">
        <w:rPr>
          <w:rFonts w:ascii="仿宋" w:eastAsia="仿宋" w:hAnsi="仿宋" w:cs="宋体" w:hint="eastAsia"/>
          <w:kern w:val="0"/>
          <w:sz w:val="24"/>
          <w:szCs w:val="24"/>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E45E2B" w:rsidRDefault="00E45E2B" w:rsidP="00E45E2B">
      <w:pPr>
        <w:numPr>
          <w:ilvl w:val="0"/>
          <w:numId w:val="5"/>
        </w:numPr>
        <w:tabs>
          <w:tab w:val="left" w:pos="567"/>
        </w:tabs>
        <w:autoSpaceDE w:val="0"/>
        <w:autoSpaceDN w:val="0"/>
        <w:adjustRightInd w:val="0"/>
        <w:spacing w:line="360" w:lineRule="auto"/>
        <w:jc w:val="left"/>
        <w:rPr>
          <w:rFonts w:ascii="仿宋" w:eastAsia="仿宋" w:hAnsi="仿宋" w:cs="宋体"/>
          <w:kern w:val="0"/>
          <w:sz w:val="24"/>
          <w:szCs w:val="24"/>
        </w:rPr>
      </w:pPr>
      <w:r w:rsidRPr="004D5E5D">
        <w:rPr>
          <w:rFonts w:ascii="仿宋" w:eastAsia="仿宋" w:hAnsi="仿宋" w:cs="宋体" w:hint="eastAsia"/>
          <w:b/>
          <w:kern w:val="0"/>
          <w:sz w:val="24"/>
          <w:szCs w:val="24"/>
        </w:rPr>
        <w:t>特定资产：</w:t>
      </w:r>
      <w:r w:rsidRPr="00A04094">
        <w:rPr>
          <w:rFonts w:ascii="仿宋" w:eastAsia="仿宋" w:hAnsi="仿宋" w:cs="宋体" w:hint="eastAsia"/>
          <w:kern w:val="0"/>
          <w:sz w:val="24"/>
          <w:szCs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45E2B" w:rsidRDefault="00E45E2B" w:rsidP="00E45E2B">
      <w:pPr>
        <w:tabs>
          <w:tab w:val="left" w:pos="567"/>
        </w:tabs>
        <w:autoSpaceDE w:val="0"/>
        <w:autoSpaceDN w:val="0"/>
        <w:adjustRightInd w:val="0"/>
        <w:spacing w:line="360" w:lineRule="auto"/>
        <w:ind w:left="360"/>
        <w:jc w:val="left"/>
        <w:rPr>
          <w:rFonts w:ascii="仿宋" w:eastAsia="仿宋" w:hAnsi="仿宋" w:cs="宋体"/>
          <w:kern w:val="0"/>
          <w:sz w:val="24"/>
          <w:szCs w:val="24"/>
        </w:rPr>
      </w:pPr>
    </w:p>
    <w:p w:rsidR="00E45E2B" w:rsidRDefault="00E45E2B" w:rsidP="00E45E2B">
      <w:pPr>
        <w:pStyle w:val="-11"/>
        <w:tabs>
          <w:tab w:val="left" w:pos="567"/>
        </w:tabs>
        <w:autoSpaceDE w:val="0"/>
        <w:autoSpaceDN w:val="0"/>
        <w:adjustRightInd w:val="0"/>
        <w:spacing w:line="360" w:lineRule="auto"/>
        <w:ind w:left="540" w:firstLineChars="0" w:firstLine="0"/>
        <w:jc w:val="left"/>
        <w:rPr>
          <w:rFonts w:ascii="仿宋" w:eastAsia="仿宋" w:hAnsi="仿宋" w:cs="宋体"/>
          <w:kern w:val="0"/>
          <w:sz w:val="24"/>
          <w:szCs w:val="24"/>
        </w:rPr>
      </w:pPr>
    </w:p>
    <w:p w:rsidR="00E45E2B" w:rsidRDefault="00E45E2B" w:rsidP="00E45E2B">
      <w:pPr>
        <w:pStyle w:val="-11"/>
        <w:tabs>
          <w:tab w:val="left" w:pos="567"/>
        </w:tabs>
        <w:autoSpaceDE w:val="0"/>
        <w:autoSpaceDN w:val="0"/>
        <w:adjustRightInd w:val="0"/>
        <w:spacing w:line="360" w:lineRule="auto"/>
        <w:ind w:left="540" w:firstLineChars="0" w:firstLine="0"/>
        <w:jc w:val="left"/>
        <w:rPr>
          <w:rFonts w:ascii="仿宋" w:eastAsia="仿宋" w:hAnsi="仿宋" w:cs="宋体"/>
          <w:kern w:val="0"/>
          <w:sz w:val="24"/>
          <w:szCs w:val="24"/>
        </w:rPr>
      </w:pPr>
      <w:r>
        <w:rPr>
          <w:rFonts w:ascii="仿宋" w:eastAsia="仿宋" w:hAnsi="仿宋" w:cs="宋体"/>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54" w:name="_Toc377998618"/>
      <w:bookmarkStart w:id="55" w:name="_Toc459291240"/>
      <w:bookmarkStart w:id="56" w:name="_Toc169163863"/>
      <w:r w:rsidRPr="004F6C89">
        <w:rPr>
          <w:rFonts w:eastAsia="仿宋" w:hint="eastAsia"/>
          <w:sz w:val="30"/>
          <w:szCs w:val="30"/>
          <w:lang w:val="zh-CN"/>
        </w:rPr>
        <w:t>第三部分</w:t>
      </w:r>
      <w:r w:rsidRPr="004F6C89">
        <w:rPr>
          <w:rFonts w:eastAsia="仿宋" w:hint="eastAsia"/>
          <w:sz w:val="30"/>
          <w:szCs w:val="30"/>
          <w:lang w:val="zh-CN"/>
        </w:rPr>
        <w:t xml:space="preserve">    </w:t>
      </w:r>
      <w:r w:rsidRPr="004F6C89">
        <w:rPr>
          <w:rFonts w:eastAsia="仿宋" w:hint="eastAsia"/>
          <w:sz w:val="30"/>
          <w:szCs w:val="30"/>
          <w:lang w:val="zh-CN"/>
        </w:rPr>
        <w:t>基金的基本情况</w:t>
      </w:r>
      <w:bookmarkEnd w:id="54"/>
      <w:bookmarkEnd w:id="55"/>
      <w:bookmarkEnd w:id="56"/>
    </w:p>
    <w:p w:rsidR="00E45E2B" w:rsidRDefault="00E45E2B" w:rsidP="00E45E2B">
      <w:pPr>
        <w:autoSpaceDE w:val="0"/>
        <w:autoSpaceDN w:val="0"/>
        <w:adjustRightInd w:val="0"/>
        <w:spacing w:line="360" w:lineRule="auto"/>
        <w:ind w:leftChars="201" w:left="422"/>
        <w:jc w:val="left"/>
        <w:rPr>
          <w:rFonts w:ascii="仿宋" w:eastAsia="仿宋" w:hAnsi="仿宋" w:cs="宋体"/>
          <w:b/>
          <w:bCs/>
          <w:kern w:val="0"/>
          <w:sz w:val="24"/>
          <w:szCs w:val="24"/>
        </w:rPr>
      </w:pPr>
      <w:r>
        <w:rPr>
          <w:rFonts w:ascii="仿宋" w:eastAsia="仿宋" w:hAnsi="仿宋" w:cs="宋体" w:hint="eastAsia"/>
          <w:b/>
          <w:bCs/>
          <w:kern w:val="0"/>
          <w:sz w:val="24"/>
          <w:szCs w:val="24"/>
        </w:rPr>
        <w:t>一、基金名称</w:t>
      </w:r>
      <w:bookmarkEnd w:id="51"/>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东方红恒阳五年持有期混合型证券投资基金。</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57" w:name="_Toc79392574"/>
      <w:r>
        <w:rPr>
          <w:rFonts w:ascii="仿宋" w:eastAsia="仿宋" w:hAnsi="仿宋" w:cs="宋体" w:hint="eastAsia"/>
          <w:b/>
          <w:bCs/>
          <w:kern w:val="0"/>
          <w:sz w:val="24"/>
          <w:szCs w:val="24"/>
        </w:rPr>
        <w:t>二、基金的类别</w:t>
      </w:r>
      <w:bookmarkEnd w:id="5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混合型证券投资基金。</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58" w:name="_Toc79392575"/>
      <w:r>
        <w:rPr>
          <w:rFonts w:ascii="仿宋" w:eastAsia="仿宋" w:hAnsi="仿宋" w:cs="宋体" w:hint="eastAsia"/>
          <w:b/>
          <w:bCs/>
          <w:kern w:val="0"/>
          <w:sz w:val="24"/>
          <w:szCs w:val="24"/>
        </w:rPr>
        <w:t>三、基金的运作方式</w:t>
      </w:r>
    </w:p>
    <w:p w:rsidR="00E45E2B" w:rsidRPr="00A04094"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A04094">
        <w:rPr>
          <w:rFonts w:ascii="仿宋" w:eastAsia="仿宋" w:hAnsi="仿宋" w:cs="宋体" w:hint="eastAsia"/>
          <w:kern w:val="0"/>
          <w:sz w:val="24"/>
          <w:szCs w:val="24"/>
        </w:rPr>
        <w:t>契约型开放式</w:t>
      </w:r>
    </w:p>
    <w:p w:rsidR="00E45E2B" w:rsidRPr="00A04094"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除基金合同另有约定外，</w:t>
      </w:r>
      <w:r w:rsidRPr="00A04094">
        <w:rPr>
          <w:rFonts w:ascii="仿宋" w:eastAsia="仿宋" w:hAnsi="仿宋" w:cs="宋体" w:hint="eastAsia"/>
          <w:kern w:val="0"/>
          <w:sz w:val="24"/>
          <w:szCs w:val="24"/>
        </w:rPr>
        <w:t>本基金对每份基金份额设置</w:t>
      </w:r>
      <w:r>
        <w:rPr>
          <w:rFonts w:ascii="仿宋" w:eastAsia="仿宋" w:hAnsi="仿宋" w:cs="宋体" w:hint="eastAsia"/>
          <w:kern w:val="0"/>
          <w:sz w:val="24"/>
          <w:szCs w:val="24"/>
        </w:rPr>
        <w:t>五年锁定持有期</w:t>
      </w:r>
      <w:r w:rsidRPr="00570E80">
        <w:rPr>
          <w:rFonts w:ascii="仿宋" w:eastAsia="仿宋" w:hAnsi="仿宋" w:cs="宋体" w:hint="eastAsia"/>
          <w:kern w:val="0"/>
          <w:sz w:val="24"/>
          <w:szCs w:val="24"/>
        </w:rPr>
        <w:t>。</w:t>
      </w:r>
      <w:r w:rsidRPr="00414536">
        <w:rPr>
          <w:rFonts w:ascii="仿宋" w:eastAsia="仿宋" w:hAnsi="仿宋" w:cs="宋体" w:hint="eastAsia"/>
          <w:kern w:val="0"/>
          <w:sz w:val="24"/>
          <w:szCs w:val="24"/>
        </w:rPr>
        <w:t>锁定持有期指</w:t>
      </w:r>
      <w:r>
        <w:rPr>
          <w:rFonts w:ascii="仿宋" w:eastAsia="仿宋" w:hAnsi="仿宋" w:cs="宋体" w:hint="eastAsia"/>
          <w:kern w:val="0"/>
          <w:sz w:val="24"/>
          <w:szCs w:val="24"/>
        </w:rPr>
        <w:t>基金份额登记日</w:t>
      </w:r>
      <w:r w:rsidRPr="00414536">
        <w:rPr>
          <w:rFonts w:ascii="仿宋" w:eastAsia="仿宋" w:hAnsi="仿宋" w:cs="宋体" w:hint="eastAsia"/>
          <w:kern w:val="0"/>
          <w:sz w:val="24"/>
          <w:szCs w:val="24"/>
        </w:rPr>
        <w:t>（对基金合同生效前已经持有的份额而言，下同）、基金份额申购申请日（对基金合同生效后申购份额而言，下同）或基金份额转换转入</w:t>
      </w:r>
      <w:r>
        <w:rPr>
          <w:rFonts w:ascii="仿宋" w:eastAsia="仿宋" w:hAnsi="仿宋" w:cs="宋体" w:hint="eastAsia"/>
          <w:kern w:val="0"/>
          <w:sz w:val="24"/>
          <w:szCs w:val="24"/>
        </w:rPr>
        <w:t>申请</w:t>
      </w:r>
      <w:r w:rsidRPr="00414536">
        <w:rPr>
          <w:rFonts w:ascii="仿宋" w:eastAsia="仿宋" w:hAnsi="仿宋" w:cs="宋体" w:hint="eastAsia"/>
          <w:kern w:val="0"/>
          <w:sz w:val="24"/>
          <w:szCs w:val="24"/>
        </w:rPr>
        <w:t>日（对基金合同生效后转换转入份额而言，下同）起（即锁定持有期起始日），至</w:t>
      </w:r>
      <w:r>
        <w:rPr>
          <w:rFonts w:ascii="仿宋" w:eastAsia="仿宋" w:hAnsi="仿宋" w:cs="宋体" w:hint="eastAsia"/>
          <w:kern w:val="0"/>
          <w:sz w:val="24"/>
          <w:szCs w:val="24"/>
        </w:rPr>
        <w:t>基金份额登记日</w:t>
      </w:r>
      <w:r w:rsidRPr="00414536">
        <w:rPr>
          <w:rFonts w:ascii="仿宋" w:eastAsia="仿宋" w:hAnsi="仿宋" w:cs="宋体" w:hint="eastAsia"/>
          <w:kern w:val="0"/>
          <w:sz w:val="24"/>
          <w:szCs w:val="24"/>
        </w:rPr>
        <w:t>、基金份额申购申请日或基金份额转换转入申请日次</w:t>
      </w:r>
      <w:r>
        <w:rPr>
          <w:rFonts w:ascii="仿宋" w:eastAsia="仿宋" w:hAnsi="仿宋" w:cs="宋体" w:hint="eastAsia"/>
          <w:kern w:val="0"/>
          <w:sz w:val="24"/>
          <w:szCs w:val="24"/>
        </w:rPr>
        <w:t>五</w:t>
      </w:r>
      <w:r w:rsidRPr="00414536">
        <w:rPr>
          <w:rFonts w:ascii="仿宋" w:eastAsia="仿宋" w:hAnsi="仿宋" w:cs="宋体" w:hint="eastAsia"/>
          <w:kern w:val="0"/>
          <w:sz w:val="24"/>
          <w:szCs w:val="24"/>
        </w:rPr>
        <w:t>年的年度对日的前一日（即锁定持有期到期日）之间的区间。</w:t>
      </w:r>
      <w:r w:rsidRPr="00570E80">
        <w:rPr>
          <w:rFonts w:ascii="仿宋" w:eastAsia="仿宋" w:hAnsi="仿宋" w:cs="宋体" w:hint="eastAsia"/>
          <w:kern w:val="0"/>
          <w:sz w:val="24"/>
          <w:szCs w:val="24"/>
        </w:rPr>
        <w:t>每份基金份额的锁定持有期结束后即进入开放持有期，开放持有期首日为锁定持有期起始日次</w:t>
      </w:r>
      <w:r>
        <w:rPr>
          <w:rFonts w:ascii="仿宋" w:eastAsia="仿宋" w:hAnsi="仿宋" w:cs="宋体" w:hint="eastAsia"/>
          <w:kern w:val="0"/>
          <w:sz w:val="24"/>
          <w:szCs w:val="24"/>
        </w:rPr>
        <w:t>五</w:t>
      </w:r>
      <w:r w:rsidRPr="00570E80">
        <w:rPr>
          <w:rFonts w:ascii="仿宋" w:eastAsia="仿宋" w:hAnsi="仿宋" w:cs="宋体" w:hint="eastAsia"/>
          <w:kern w:val="0"/>
          <w:sz w:val="24"/>
          <w:szCs w:val="24"/>
        </w:rPr>
        <w:t>年的年度对日。每份基金份额在开放持有期的开放日可以办理赎回及转换转出业务。</w:t>
      </w:r>
    </w:p>
    <w:p w:rsidR="00E45E2B" w:rsidRDefault="00E45E2B" w:rsidP="00E45E2B">
      <w:pPr>
        <w:autoSpaceDE w:val="0"/>
        <w:autoSpaceDN w:val="0"/>
        <w:adjustRightInd w:val="0"/>
        <w:spacing w:line="360" w:lineRule="auto"/>
        <w:ind w:firstLine="420"/>
        <w:contextualSpacing/>
        <w:jc w:val="left"/>
        <w:rPr>
          <w:rFonts w:ascii="仿宋" w:eastAsia="仿宋" w:hAnsi="仿宋" w:cs="宋体"/>
          <w:b/>
          <w:bCs/>
          <w:kern w:val="0"/>
          <w:sz w:val="24"/>
          <w:szCs w:val="24"/>
        </w:rPr>
      </w:pPr>
      <w:r>
        <w:rPr>
          <w:rFonts w:ascii="仿宋" w:eastAsia="仿宋" w:hAnsi="仿宋" w:cs="宋体" w:hint="eastAsia"/>
          <w:b/>
          <w:bCs/>
          <w:kern w:val="0"/>
          <w:sz w:val="24"/>
          <w:szCs w:val="24"/>
        </w:rPr>
        <w:t>四、基金的投资目标</w:t>
      </w:r>
      <w:bookmarkEnd w:id="58"/>
    </w:p>
    <w:p w:rsidR="00E45E2B" w:rsidRDefault="00E45E2B" w:rsidP="00E45E2B">
      <w:pPr>
        <w:autoSpaceDE w:val="0"/>
        <w:autoSpaceDN w:val="0"/>
        <w:adjustRightInd w:val="0"/>
        <w:spacing w:line="360" w:lineRule="auto"/>
        <w:ind w:firstLineChars="177" w:firstLine="425"/>
        <w:contextualSpacing/>
        <w:jc w:val="left"/>
        <w:rPr>
          <w:rFonts w:ascii="仿宋" w:eastAsia="仿宋" w:hAnsi="仿宋" w:cs="宋体"/>
          <w:kern w:val="0"/>
          <w:sz w:val="24"/>
        </w:rPr>
      </w:pPr>
      <w:r>
        <w:rPr>
          <w:rFonts w:ascii="仿宋" w:eastAsia="仿宋" w:hAnsi="仿宋" w:cs="宋体" w:hint="eastAsia"/>
          <w:kern w:val="0"/>
          <w:sz w:val="24"/>
        </w:rPr>
        <w:t>本基金在严格控制投资组合风险的前提下，追求资产净值的长期稳健增值。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五、基金存续期限</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不定期</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w:t>
      </w:r>
      <w:r>
        <w:rPr>
          <w:rFonts w:ascii="仿宋" w:eastAsia="仿宋" w:hAnsi="仿宋" w:cs="宋体"/>
          <w:b/>
          <w:bCs/>
          <w:kern w:val="0"/>
          <w:sz w:val="24"/>
          <w:szCs w:val="24"/>
        </w:rPr>
        <w:t>、基金份额类别设置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59" w:name="OLE_LINK17"/>
      <w:r>
        <w:rPr>
          <w:rFonts w:ascii="仿宋" w:eastAsia="仿宋" w:hAnsi="仿宋" w:cs="宋体"/>
          <w:kern w:val="0"/>
          <w:sz w:val="24"/>
          <w:szCs w:val="24"/>
        </w:rPr>
        <w:t>在不违反法律法规</w:t>
      </w:r>
      <w:r>
        <w:rPr>
          <w:rFonts w:ascii="仿宋" w:eastAsia="仿宋" w:hAnsi="仿宋" w:cs="宋体" w:hint="eastAsia"/>
          <w:kern w:val="0"/>
          <w:sz w:val="24"/>
          <w:szCs w:val="24"/>
        </w:rPr>
        <w:t>规定</w:t>
      </w:r>
      <w:r>
        <w:rPr>
          <w:rFonts w:ascii="仿宋" w:eastAsia="仿宋" w:hAnsi="仿宋" w:cs="宋体"/>
          <w:kern w:val="0"/>
          <w:sz w:val="24"/>
          <w:szCs w:val="24"/>
        </w:rPr>
        <w:t>、基金合同的约定以及对基金份额持有人利益无实质性不利影响的情况下，</w:t>
      </w:r>
      <w:r>
        <w:rPr>
          <w:rFonts w:ascii="仿宋" w:eastAsia="仿宋" w:hAnsi="仿宋" w:cs="宋体" w:hint="eastAsia"/>
          <w:kern w:val="0"/>
          <w:sz w:val="24"/>
          <w:szCs w:val="24"/>
        </w:rPr>
        <w:t>经与基金托管人就清算交收、核算估值、系统支持等方面协商一致，基金管理人在履行适当程序后</w:t>
      </w:r>
      <w:r>
        <w:rPr>
          <w:rFonts w:ascii="仿宋" w:eastAsia="仿宋" w:hAnsi="仿宋" w:cs="宋体"/>
          <w:kern w:val="0"/>
          <w:sz w:val="24"/>
          <w:szCs w:val="24"/>
        </w:rPr>
        <w:t>可增加、减少或调整基金份额类别设置、对基金份额分类办法及规则进行调整并在调整实施之日前依照《信息披露办法》的有关规定在</w:t>
      </w:r>
      <w:r>
        <w:rPr>
          <w:rFonts w:ascii="仿宋" w:eastAsia="仿宋" w:hAnsi="仿宋" w:cs="宋体" w:hint="eastAsia"/>
          <w:kern w:val="0"/>
          <w:sz w:val="24"/>
          <w:szCs w:val="24"/>
        </w:rPr>
        <w:t>规定</w:t>
      </w:r>
      <w:r>
        <w:rPr>
          <w:rFonts w:ascii="仿宋" w:eastAsia="仿宋" w:hAnsi="仿宋" w:cs="宋体"/>
          <w:kern w:val="0"/>
          <w:sz w:val="24"/>
          <w:szCs w:val="24"/>
        </w:rPr>
        <w:t>媒介上公告，不需要召开基金份额持有人大会。</w:t>
      </w:r>
      <w:bookmarkEnd w:id="5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p>
    <w:p w:rsidR="00E45E2B" w:rsidRDefault="00E45E2B" w:rsidP="004F6C89">
      <w:pPr>
        <w:pStyle w:val="1"/>
        <w:spacing w:line="360" w:lineRule="auto"/>
        <w:jc w:val="center"/>
        <w:rPr>
          <w:kern w:val="0"/>
        </w:rPr>
      </w:pPr>
      <w:r>
        <w:rPr>
          <w:rFonts w:ascii="仿宋" w:hAnsi="仿宋" w:cs="宋体"/>
          <w:b w:val="0"/>
          <w:bCs w:val="0"/>
          <w:kern w:val="0"/>
        </w:rPr>
        <w:br w:type="page"/>
      </w:r>
      <w:bookmarkStart w:id="60" w:name="_Toc459291241"/>
      <w:bookmarkStart w:id="61" w:name="_Toc377998619"/>
      <w:bookmarkStart w:id="62" w:name="_Toc169163864"/>
      <w:r w:rsidRPr="004F6C89">
        <w:rPr>
          <w:rFonts w:eastAsia="仿宋" w:hint="eastAsia"/>
          <w:sz w:val="30"/>
          <w:szCs w:val="30"/>
          <w:lang w:val="zh-CN"/>
        </w:rPr>
        <w:t>第四部分</w:t>
      </w:r>
      <w:r w:rsidRPr="004F6C89">
        <w:rPr>
          <w:rFonts w:eastAsia="仿宋" w:hint="eastAsia"/>
          <w:sz w:val="30"/>
          <w:szCs w:val="30"/>
          <w:lang w:val="zh-CN"/>
        </w:rPr>
        <w:t xml:space="preserve"> </w:t>
      </w:r>
      <w:r w:rsidRPr="004F6C89">
        <w:rPr>
          <w:rFonts w:eastAsia="仿宋"/>
          <w:sz w:val="30"/>
          <w:szCs w:val="30"/>
          <w:lang w:val="zh-CN"/>
        </w:rPr>
        <w:t xml:space="preserve">   </w:t>
      </w:r>
      <w:r w:rsidRPr="004F6C89">
        <w:rPr>
          <w:rFonts w:eastAsia="仿宋" w:hint="eastAsia"/>
          <w:sz w:val="30"/>
          <w:szCs w:val="30"/>
          <w:lang w:val="zh-CN"/>
        </w:rPr>
        <w:t>基金的</w:t>
      </w:r>
      <w:bookmarkEnd w:id="60"/>
      <w:r w:rsidRPr="004F6C89">
        <w:rPr>
          <w:rFonts w:eastAsia="仿宋" w:hint="eastAsia"/>
          <w:sz w:val="30"/>
          <w:szCs w:val="30"/>
          <w:lang w:val="zh-CN"/>
        </w:rPr>
        <w:t>历史沿革</w:t>
      </w:r>
      <w:bookmarkEnd w:id="61"/>
      <w:bookmarkEnd w:id="62"/>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AF382F">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AF382F">
        <w:rPr>
          <w:rFonts w:ascii="仿宋" w:eastAsia="仿宋" w:hAnsi="仿宋" w:cs="宋体" w:hint="eastAsia"/>
          <w:kern w:val="0"/>
          <w:sz w:val="24"/>
          <w:szCs w:val="24"/>
        </w:rPr>
        <w:t>年持有期混合型证券投资基金</w:t>
      </w:r>
      <w:r w:rsidRPr="004D402B">
        <w:rPr>
          <w:rFonts w:ascii="仿宋" w:eastAsia="仿宋" w:hAnsi="仿宋" w:cs="宋体" w:hint="eastAsia"/>
          <w:bCs/>
          <w:color w:val="000000"/>
          <w:kern w:val="0"/>
          <w:sz w:val="24"/>
          <w:szCs w:val="24"/>
        </w:rPr>
        <w:t>由东方红</w:t>
      </w:r>
      <w:r>
        <w:rPr>
          <w:rFonts w:ascii="仿宋" w:eastAsia="仿宋" w:hAnsi="仿宋" w:cs="宋体" w:hint="eastAsia"/>
          <w:bCs/>
          <w:color w:val="000000"/>
          <w:kern w:val="0"/>
          <w:sz w:val="24"/>
          <w:szCs w:val="24"/>
        </w:rPr>
        <w:t>恒阳五</w:t>
      </w:r>
      <w:r w:rsidRPr="004D402B">
        <w:rPr>
          <w:rFonts w:ascii="仿宋" w:eastAsia="仿宋" w:hAnsi="仿宋" w:cs="宋体" w:hint="eastAsia"/>
          <w:bCs/>
          <w:color w:val="000000"/>
          <w:kern w:val="0"/>
          <w:sz w:val="24"/>
          <w:szCs w:val="24"/>
        </w:rPr>
        <w:t>年定期开放混合型证券投资基金转型而来。</w:t>
      </w:r>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经中国证监会《关于准予</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注册的批复》（证监许可【</w:t>
      </w:r>
      <w:r>
        <w:rPr>
          <w:rFonts w:ascii="仿宋" w:eastAsia="仿宋" w:hAnsi="仿宋" w:cs="宋体"/>
          <w:bCs/>
          <w:color w:val="000000"/>
          <w:kern w:val="0"/>
          <w:sz w:val="24"/>
          <w:szCs w:val="24"/>
        </w:rPr>
        <w:t>2019</w:t>
      </w:r>
      <w:r w:rsidRPr="004D402B">
        <w:rPr>
          <w:rFonts w:ascii="仿宋" w:eastAsia="仿宋" w:hAnsi="仿宋" w:cs="宋体" w:hint="eastAsia"/>
          <w:bCs/>
          <w:color w:val="000000"/>
          <w:kern w:val="0"/>
          <w:sz w:val="24"/>
          <w:szCs w:val="24"/>
        </w:rPr>
        <w:t>】</w:t>
      </w:r>
      <w:r>
        <w:rPr>
          <w:rFonts w:ascii="仿宋" w:eastAsia="仿宋" w:hAnsi="仿宋" w:cs="宋体"/>
          <w:bCs/>
          <w:color w:val="000000"/>
          <w:kern w:val="0"/>
          <w:sz w:val="24"/>
          <w:szCs w:val="24"/>
        </w:rPr>
        <w:t>2125</w:t>
      </w:r>
      <w:r w:rsidRPr="004D402B">
        <w:rPr>
          <w:rFonts w:ascii="仿宋" w:eastAsia="仿宋" w:hAnsi="仿宋" w:cs="宋体" w:hint="eastAsia"/>
          <w:bCs/>
          <w:color w:val="000000"/>
          <w:kern w:val="0"/>
          <w:sz w:val="24"/>
          <w:szCs w:val="24"/>
        </w:rPr>
        <w:t>号）注册募集，基金管理人为上海东方证券资产管理有限公司，基金托管人为</w:t>
      </w:r>
      <w:r>
        <w:rPr>
          <w:rFonts w:ascii="仿宋" w:eastAsia="仿宋" w:hAnsi="仿宋" w:cs="宋体" w:hint="eastAsia"/>
          <w:bCs/>
          <w:color w:val="000000"/>
          <w:kern w:val="0"/>
          <w:sz w:val="24"/>
          <w:szCs w:val="24"/>
        </w:rPr>
        <w:t>招商银行股份有限公司</w:t>
      </w:r>
      <w:r w:rsidRPr="004D402B">
        <w:rPr>
          <w:rFonts w:ascii="仿宋" w:eastAsia="仿宋" w:hAnsi="仿宋" w:cs="宋体" w:hint="eastAsia"/>
          <w:bCs/>
          <w:color w:val="000000"/>
          <w:kern w:val="0"/>
          <w:sz w:val="24"/>
          <w:szCs w:val="24"/>
        </w:rPr>
        <w:t>。</w:t>
      </w:r>
    </w:p>
    <w:p w:rsidR="00E45E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023EDC">
        <w:rPr>
          <w:rFonts w:ascii="仿宋" w:eastAsia="仿宋" w:hAnsi="仿宋" w:cs="宋体" w:hint="eastAsia"/>
          <w:bCs/>
          <w:color w:val="000000"/>
          <w:kern w:val="0"/>
          <w:sz w:val="24"/>
          <w:szCs w:val="24"/>
        </w:rPr>
        <w:t>于</w:t>
      </w:r>
      <w:r w:rsidRPr="00AF382F">
        <w:rPr>
          <w:rFonts w:ascii="仿宋" w:eastAsia="仿宋" w:hAnsi="仿宋" w:cs="宋体"/>
          <w:bCs/>
          <w:color w:val="000000"/>
          <w:kern w:val="0"/>
          <w:sz w:val="24"/>
          <w:szCs w:val="24"/>
        </w:rPr>
        <w:t>20</w:t>
      </w:r>
      <w:r>
        <w:rPr>
          <w:rFonts w:ascii="仿宋" w:eastAsia="仿宋" w:hAnsi="仿宋" w:cs="宋体"/>
          <w:bCs/>
          <w:color w:val="000000"/>
          <w:kern w:val="0"/>
          <w:sz w:val="24"/>
          <w:szCs w:val="24"/>
        </w:rPr>
        <w:t>20</w:t>
      </w:r>
      <w:r w:rsidRPr="00AF382F">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rPr>
        <w:t>2</w:t>
      </w:r>
      <w:r w:rsidRPr="00AF382F">
        <w:rPr>
          <w:rFonts w:ascii="仿宋" w:eastAsia="仿宋" w:hAnsi="仿宋" w:cs="宋体" w:hint="eastAsia"/>
          <w:bCs/>
          <w:color w:val="000000"/>
          <w:kern w:val="0"/>
          <w:sz w:val="24"/>
          <w:szCs w:val="24"/>
        </w:rPr>
        <w:t>月</w:t>
      </w:r>
      <w:r>
        <w:rPr>
          <w:rFonts w:ascii="仿宋" w:eastAsia="仿宋" w:hAnsi="仿宋" w:cs="宋体"/>
          <w:bCs/>
          <w:color w:val="000000"/>
          <w:kern w:val="0"/>
          <w:sz w:val="24"/>
          <w:szCs w:val="24"/>
        </w:rPr>
        <w:t>7</w:t>
      </w:r>
      <w:r w:rsidRPr="00AF382F">
        <w:rPr>
          <w:rFonts w:ascii="仿宋" w:eastAsia="仿宋" w:hAnsi="仿宋" w:cs="宋体" w:hint="eastAsia"/>
          <w:bCs/>
          <w:color w:val="000000"/>
          <w:kern w:val="0"/>
          <w:sz w:val="24"/>
          <w:szCs w:val="24"/>
        </w:rPr>
        <w:t>日</w:t>
      </w:r>
      <w:r w:rsidRPr="00023EDC">
        <w:rPr>
          <w:rFonts w:ascii="仿宋" w:eastAsia="仿宋" w:hAnsi="仿宋" w:cs="宋体" w:hint="eastAsia"/>
          <w:bCs/>
          <w:color w:val="000000"/>
          <w:kern w:val="0"/>
          <w:sz w:val="24"/>
          <w:szCs w:val="24"/>
        </w:rPr>
        <w:t>进行公开募集</w:t>
      </w:r>
      <w:r>
        <w:rPr>
          <w:rFonts w:ascii="仿宋" w:eastAsia="仿宋" w:hAnsi="仿宋" w:cs="宋体" w:hint="eastAsia"/>
          <w:bCs/>
          <w:color w:val="000000"/>
          <w:kern w:val="0"/>
          <w:sz w:val="24"/>
          <w:szCs w:val="24"/>
        </w:rPr>
        <w:t>，并于当日结束募集</w:t>
      </w:r>
      <w:r w:rsidRPr="00023EDC">
        <w:rPr>
          <w:rFonts w:ascii="仿宋" w:eastAsia="仿宋" w:hAnsi="仿宋" w:cs="宋体" w:hint="eastAsia"/>
          <w:bCs/>
          <w:color w:val="000000"/>
          <w:kern w:val="0"/>
          <w:sz w:val="24"/>
          <w:szCs w:val="24"/>
        </w:rPr>
        <w:t>，募集结束后基金管理人向中国证监会办理备案手续。经中国证监会书面确认</w:t>
      </w:r>
      <w:r>
        <w:rPr>
          <w:rFonts w:ascii="仿宋" w:eastAsia="仿宋" w:hAnsi="仿宋" w:cs="宋体" w:hint="eastAsia"/>
          <w:bCs/>
          <w:color w:val="000000"/>
          <w:kern w:val="0"/>
          <w:sz w:val="24"/>
          <w:szCs w:val="24"/>
        </w:rPr>
        <w:t>，</w:t>
      </w:r>
      <w:r w:rsidRPr="00AF382F">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AF382F">
        <w:rPr>
          <w:rFonts w:ascii="仿宋" w:eastAsia="仿宋" w:hAnsi="仿宋" w:cs="宋体" w:hint="eastAsia"/>
          <w:bCs/>
          <w:color w:val="000000"/>
          <w:kern w:val="0"/>
          <w:sz w:val="24"/>
          <w:szCs w:val="24"/>
        </w:rPr>
        <w:t>年定期开放混合型证券投资基金基金合同》于</w:t>
      </w:r>
      <w:r w:rsidRPr="00AF382F">
        <w:rPr>
          <w:rFonts w:ascii="仿宋" w:eastAsia="仿宋" w:hAnsi="仿宋" w:cs="宋体"/>
          <w:bCs/>
          <w:color w:val="000000"/>
          <w:kern w:val="0"/>
          <w:sz w:val="24"/>
          <w:szCs w:val="24"/>
        </w:rPr>
        <w:t>20</w:t>
      </w:r>
      <w:r>
        <w:rPr>
          <w:rFonts w:ascii="仿宋" w:eastAsia="仿宋" w:hAnsi="仿宋" w:cs="宋体"/>
          <w:bCs/>
          <w:color w:val="000000"/>
          <w:kern w:val="0"/>
          <w:sz w:val="24"/>
          <w:szCs w:val="24"/>
        </w:rPr>
        <w:t>20</w:t>
      </w:r>
      <w:r w:rsidRPr="00AF382F">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rPr>
        <w:t>2</w:t>
      </w:r>
      <w:r w:rsidRPr="00AF382F">
        <w:rPr>
          <w:rFonts w:ascii="仿宋" w:eastAsia="仿宋" w:hAnsi="仿宋" w:cs="宋体" w:hint="eastAsia"/>
          <w:bCs/>
          <w:color w:val="000000"/>
          <w:kern w:val="0"/>
          <w:sz w:val="24"/>
          <w:szCs w:val="24"/>
        </w:rPr>
        <w:t>月</w:t>
      </w:r>
      <w:r>
        <w:rPr>
          <w:rFonts w:ascii="仿宋" w:eastAsia="仿宋" w:hAnsi="仿宋" w:cs="宋体"/>
          <w:bCs/>
          <w:color w:val="000000"/>
          <w:kern w:val="0"/>
          <w:sz w:val="24"/>
          <w:szCs w:val="24"/>
        </w:rPr>
        <w:t>13</w:t>
      </w:r>
      <w:r w:rsidRPr="00AF382F">
        <w:rPr>
          <w:rFonts w:ascii="仿宋" w:eastAsia="仿宋" w:hAnsi="仿宋" w:cs="宋体" w:hint="eastAsia"/>
          <w:bCs/>
          <w:color w:val="000000"/>
          <w:kern w:val="0"/>
          <w:sz w:val="24"/>
          <w:szCs w:val="24"/>
        </w:rPr>
        <w:t>日生效。</w:t>
      </w:r>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Pr>
          <w:rFonts w:ascii="仿宋" w:eastAsia="仿宋" w:hAnsi="仿宋" w:cs="宋体" w:hint="eastAsia"/>
          <w:bCs/>
          <w:color w:val="000000"/>
          <w:kern w:val="0"/>
          <w:sz w:val="24"/>
          <w:szCs w:val="24"/>
        </w:rPr>
        <w:t>已</w:t>
      </w:r>
      <w:r w:rsidRPr="00456AEF">
        <w:rPr>
          <w:rFonts w:ascii="仿宋" w:eastAsia="仿宋" w:hAnsi="仿宋" w:cs="宋体" w:hint="eastAsia"/>
          <w:bCs/>
          <w:color w:val="000000"/>
          <w:kern w:val="0"/>
          <w:sz w:val="24"/>
          <w:szCs w:val="24"/>
        </w:rPr>
        <w:t>经中国证监会20XX年X月X日《关于准予东方红</w:t>
      </w:r>
      <w:r>
        <w:rPr>
          <w:rFonts w:ascii="仿宋" w:eastAsia="仿宋" w:hAnsi="仿宋" w:cs="宋体" w:hint="eastAsia"/>
          <w:bCs/>
          <w:color w:val="000000"/>
          <w:kern w:val="0"/>
          <w:sz w:val="24"/>
          <w:szCs w:val="24"/>
        </w:rPr>
        <w:t>恒阳五</w:t>
      </w:r>
      <w:r w:rsidRPr="00456AEF">
        <w:rPr>
          <w:rFonts w:ascii="仿宋" w:eastAsia="仿宋" w:hAnsi="仿宋" w:cs="宋体" w:hint="eastAsia"/>
          <w:bCs/>
          <w:color w:val="000000"/>
          <w:kern w:val="0"/>
          <w:sz w:val="24"/>
          <w:szCs w:val="24"/>
        </w:rPr>
        <w:t>年定期开放混合型证券投资基金变更注册的批复》（证监许可[20XX]XX号文）</w:t>
      </w:r>
      <w:r>
        <w:rPr>
          <w:rFonts w:ascii="仿宋" w:eastAsia="仿宋" w:hAnsi="仿宋" w:cs="宋体" w:hint="eastAsia"/>
          <w:bCs/>
          <w:color w:val="000000"/>
          <w:kern w:val="0"/>
          <w:sz w:val="24"/>
          <w:szCs w:val="24"/>
        </w:rPr>
        <w:t>准予</w:t>
      </w:r>
      <w:r w:rsidRPr="00456AEF">
        <w:rPr>
          <w:rFonts w:ascii="仿宋" w:eastAsia="仿宋" w:hAnsi="仿宋" w:cs="宋体" w:hint="eastAsia"/>
          <w:bCs/>
          <w:color w:val="000000"/>
          <w:kern w:val="0"/>
          <w:sz w:val="24"/>
          <w:szCs w:val="24"/>
        </w:rPr>
        <w:t>变更注册</w:t>
      </w:r>
      <w:r>
        <w:rPr>
          <w:rFonts w:ascii="仿宋" w:eastAsia="仿宋" w:hAnsi="仿宋" w:cs="宋体" w:hint="eastAsia"/>
          <w:bCs/>
          <w:color w:val="000000"/>
          <w:kern w:val="0"/>
          <w:sz w:val="24"/>
          <w:szCs w:val="24"/>
        </w:rPr>
        <w:t>为</w:t>
      </w:r>
      <w:r w:rsidRPr="00456AEF">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456AEF">
        <w:rPr>
          <w:rFonts w:ascii="仿宋" w:eastAsia="仿宋" w:hAnsi="仿宋" w:cs="宋体" w:hint="eastAsia"/>
          <w:bCs/>
          <w:color w:val="000000"/>
          <w:kern w:val="0"/>
          <w:sz w:val="24"/>
          <w:szCs w:val="24"/>
        </w:rPr>
        <w:t>年持有期混合型证券投资基金。</w:t>
      </w:r>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4D402B">
        <w:rPr>
          <w:rFonts w:ascii="仿宋" w:eastAsia="仿宋" w:hAnsi="仿宋" w:cs="宋体" w:hint="eastAsia"/>
          <w:bCs/>
          <w:color w:val="000000"/>
          <w:kern w:val="0"/>
          <w:sz w:val="24"/>
          <w:szCs w:val="24"/>
        </w:rPr>
        <w:t>202</w:t>
      </w:r>
      <w:r>
        <w:rPr>
          <w:rFonts w:ascii="仿宋" w:eastAsia="仿宋" w:hAnsi="仿宋" w:cs="宋体" w:hint="eastAsia"/>
          <w:bCs/>
          <w:color w:val="000000"/>
          <w:kern w:val="0"/>
          <w:sz w:val="24"/>
          <w:szCs w:val="24"/>
        </w:rPr>
        <w:t>X</w:t>
      </w:r>
      <w:r w:rsidRPr="004D402B">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rPr>
        <w:t>XX</w:t>
      </w:r>
      <w:r w:rsidRPr="004D402B">
        <w:rPr>
          <w:rFonts w:ascii="仿宋" w:eastAsia="仿宋" w:hAnsi="仿宋" w:cs="宋体" w:hint="eastAsia"/>
          <w:bCs/>
          <w:color w:val="000000"/>
          <w:kern w:val="0"/>
          <w:sz w:val="24"/>
          <w:szCs w:val="24"/>
        </w:rPr>
        <w:t>月</w:t>
      </w:r>
      <w:r>
        <w:rPr>
          <w:rFonts w:ascii="仿宋" w:eastAsia="仿宋" w:hAnsi="仿宋" w:cs="宋体" w:hint="eastAsia"/>
          <w:bCs/>
          <w:color w:val="000000"/>
          <w:kern w:val="0"/>
          <w:sz w:val="24"/>
          <w:szCs w:val="24"/>
        </w:rPr>
        <w:t>X</w:t>
      </w:r>
      <w:r>
        <w:rPr>
          <w:rFonts w:ascii="仿宋" w:eastAsia="仿宋" w:hAnsi="仿宋" w:cs="宋体"/>
          <w:bCs/>
          <w:color w:val="000000"/>
          <w:kern w:val="0"/>
          <w:sz w:val="24"/>
          <w:szCs w:val="24"/>
        </w:rPr>
        <w:t>X</w:t>
      </w:r>
      <w:r w:rsidRPr="004D402B">
        <w:rPr>
          <w:rFonts w:ascii="仿宋" w:eastAsia="仿宋" w:hAnsi="仿宋" w:cs="宋体" w:hint="eastAsia"/>
          <w:bCs/>
          <w:color w:val="000000"/>
          <w:kern w:val="0"/>
          <w:sz w:val="24"/>
          <w:szCs w:val="24"/>
        </w:rPr>
        <w:t>日</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以</w:t>
      </w:r>
      <w:r>
        <w:rPr>
          <w:rFonts w:ascii="仿宋" w:eastAsia="仿宋" w:hAnsi="仿宋" w:cs="宋体" w:hint="eastAsia"/>
          <w:bCs/>
          <w:color w:val="000000"/>
          <w:kern w:val="0"/>
          <w:sz w:val="24"/>
          <w:szCs w:val="24"/>
        </w:rPr>
        <w:t>通讯</w:t>
      </w:r>
      <w:r w:rsidRPr="004D402B">
        <w:rPr>
          <w:rFonts w:ascii="仿宋" w:eastAsia="仿宋" w:hAnsi="仿宋" w:cs="宋体" w:hint="eastAsia"/>
          <w:bCs/>
          <w:color w:val="000000"/>
          <w:kern w:val="0"/>
          <w:sz w:val="24"/>
          <w:szCs w:val="24"/>
        </w:rPr>
        <w:t>方式召开基金份额持有人大会，会议审议通过了《关于</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转型</w:t>
      </w:r>
      <w:r w:rsidRPr="00E3274D">
        <w:rPr>
          <w:rFonts w:ascii="仿宋" w:eastAsia="仿宋" w:hAnsi="仿宋" w:cs="宋体" w:hint="eastAsia"/>
          <w:bCs/>
          <w:color w:val="000000"/>
          <w:kern w:val="0"/>
          <w:sz w:val="24"/>
          <w:szCs w:val="24"/>
        </w:rPr>
        <w:t>及修改基金合同有关事项</w:t>
      </w:r>
      <w:r w:rsidRPr="004D402B">
        <w:rPr>
          <w:rFonts w:ascii="仿宋" w:eastAsia="仿宋" w:hAnsi="仿宋" w:cs="宋体" w:hint="eastAsia"/>
          <w:bCs/>
          <w:color w:val="000000"/>
          <w:kern w:val="0"/>
          <w:sz w:val="24"/>
          <w:szCs w:val="24"/>
        </w:rPr>
        <w:t>的议案》，内容包括</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AF382F">
        <w:rPr>
          <w:rFonts w:ascii="仿宋" w:eastAsia="仿宋" w:hAnsi="仿宋" w:cs="宋体" w:hint="eastAsia"/>
          <w:bCs/>
          <w:color w:val="000000"/>
          <w:kern w:val="0"/>
          <w:sz w:val="24"/>
          <w:szCs w:val="24"/>
        </w:rPr>
        <w:t>修改运作方式、终止上市、</w:t>
      </w:r>
      <w:r>
        <w:rPr>
          <w:rFonts w:ascii="仿宋" w:eastAsia="仿宋" w:hAnsi="仿宋" w:cs="宋体" w:hint="eastAsia"/>
          <w:bCs/>
          <w:color w:val="000000"/>
          <w:kern w:val="0"/>
          <w:sz w:val="24"/>
          <w:szCs w:val="24"/>
        </w:rPr>
        <w:t>修改</w:t>
      </w:r>
      <w:r w:rsidRPr="00AF382F">
        <w:rPr>
          <w:rFonts w:ascii="仿宋" w:eastAsia="仿宋" w:hAnsi="仿宋" w:cs="宋体" w:hint="eastAsia"/>
          <w:bCs/>
          <w:color w:val="000000"/>
          <w:kern w:val="0"/>
          <w:sz w:val="24"/>
          <w:szCs w:val="24"/>
        </w:rPr>
        <w:t>投资范围、投资策略、投资组合比例、投资限制及修订基金合同等</w:t>
      </w:r>
      <w:r>
        <w:rPr>
          <w:rFonts w:ascii="仿宋" w:eastAsia="仿宋" w:hAnsi="仿宋" w:cs="宋体" w:hint="eastAsia"/>
          <w:bCs/>
          <w:color w:val="000000"/>
          <w:kern w:val="0"/>
          <w:sz w:val="24"/>
          <w:szCs w:val="24"/>
        </w:rPr>
        <w:t>，</w:t>
      </w:r>
      <w:r w:rsidRPr="00A64CDB">
        <w:rPr>
          <w:rFonts w:ascii="仿宋" w:eastAsia="仿宋" w:hAnsi="仿宋" w:cs="宋体" w:hint="eastAsia"/>
          <w:bCs/>
          <w:color w:val="000000"/>
          <w:kern w:val="0"/>
          <w:sz w:val="24"/>
          <w:szCs w:val="24"/>
        </w:rPr>
        <w:t>并同意将变更注册后基金更名为“东方红</w:t>
      </w:r>
      <w:r>
        <w:rPr>
          <w:rFonts w:ascii="仿宋" w:eastAsia="仿宋" w:hAnsi="仿宋" w:cs="宋体" w:hint="eastAsia"/>
          <w:bCs/>
          <w:color w:val="000000"/>
          <w:kern w:val="0"/>
          <w:sz w:val="24"/>
          <w:szCs w:val="24"/>
        </w:rPr>
        <w:t>恒阳五</w:t>
      </w:r>
      <w:r w:rsidRPr="00A64CDB">
        <w:rPr>
          <w:rFonts w:ascii="仿宋" w:eastAsia="仿宋" w:hAnsi="仿宋" w:cs="宋体" w:hint="eastAsia"/>
          <w:bCs/>
          <w:color w:val="000000"/>
          <w:kern w:val="0"/>
          <w:sz w:val="24"/>
          <w:szCs w:val="24"/>
        </w:rPr>
        <w:t>年持有期混合型证券投资基金”，</w:t>
      </w:r>
      <w:r w:rsidRPr="00AF382F">
        <w:rPr>
          <w:rFonts w:ascii="仿宋" w:eastAsia="仿宋" w:hAnsi="仿宋" w:cs="宋体" w:hint="eastAsia"/>
          <w:bCs/>
          <w:color w:val="000000"/>
          <w:kern w:val="0"/>
          <w:sz w:val="24"/>
          <w:szCs w:val="24"/>
        </w:rPr>
        <w:t>上述基金份额持有人大会决议自表决通过之日起生效。</w:t>
      </w:r>
      <w:r w:rsidRPr="004D402B">
        <w:rPr>
          <w:rFonts w:ascii="仿宋" w:eastAsia="仿宋" w:hAnsi="仿宋" w:cs="宋体" w:hint="eastAsia"/>
          <w:bCs/>
          <w:color w:val="000000"/>
          <w:kern w:val="0"/>
          <w:sz w:val="24"/>
          <w:szCs w:val="24"/>
        </w:rPr>
        <w:t>依据基金份额持有人大会决议，基金管理人向</w:t>
      </w:r>
      <w:r>
        <w:rPr>
          <w:rFonts w:ascii="仿宋" w:eastAsia="仿宋" w:hAnsi="仿宋" w:cs="宋体" w:hint="eastAsia"/>
          <w:bCs/>
          <w:color w:val="000000"/>
          <w:kern w:val="0"/>
          <w:sz w:val="24"/>
          <w:szCs w:val="24"/>
        </w:rPr>
        <w:t>深圳</w:t>
      </w:r>
      <w:r w:rsidRPr="004D402B">
        <w:rPr>
          <w:rFonts w:ascii="仿宋" w:eastAsia="仿宋" w:hAnsi="仿宋" w:cs="宋体" w:hint="eastAsia"/>
          <w:bCs/>
          <w:color w:val="000000"/>
          <w:kern w:val="0"/>
          <w:sz w:val="24"/>
          <w:szCs w:val="24"/>
        </w:rPr>
        <w:t>证券交易所申请基金终止上市，并正式进行转型。</w:t>
      </w:r>
    </w:p>
    <w:p w:rsidR="00E45E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4D402B">
        <w:rPr>
          <w:rFonts w:ascii="仿宋" w:eastAsia="仿宋" w:hAnsi="仿宋" w:cs="宋体" w:hint="eastAsia"/>
          <w:bCs/>
          <w:color w:val="000000"/>
          <w:kern w:val="0"/>
          <w:sz w:val="24"/>
          <w:szCs w:val="24"/>
        </w:rPr>
        <w:t>自 202</w:t>
      </w:r>
      <w:r>
        <w:rPr>
          <w:rFonts w:ascii="仿宋" w:eastAsia="仿宋" w:hAnsi="仿宋" w:cs="宋体" w:hint="eastAsia"/>
          <w:bCs/>
          <w:color w:val="000000"/>
          <w:kern w:val="0"/>
          <w:sz w:val="24"/>
          <w:szCs w:val="24"/>
        </w:rPr>
        <w:t>x</w:t>
      </w:r>
      <w:r w:rsidRPr="004D402B">
        <w:rPr>
          <w:rFonts w:ascii="仿宋" w:eastAsia="仿宋" w:hAnsi="仿宋" w:cs="宋体" w:hint="eastAsia"/>
          <w:bCs/>
          <w:color w:val="000000"/>
          <w:kern w:val="0"/>
          <w:sz w:val="24"/>
          <w:szCs w:val="24"/>
        </w:rPr>
        <w:t xml:space="preserve"> 年 xx 月 xx </w:t>
      </w:r>
      <w:r>
        <w:rPr>
          <w:rFonts w:ascii="仿宋" w:eastAsia="仿宋" w:hAnsi="仿宋" w:cs="宋体" w:hint="eastAsia"/>
          <w:bCs/>
          <w:color w:val="000000"/>
          <w:kern w:val="0"/>
          <w:sz w:val="24"/>
          <w:szCs w:val="24"/>
        </w:rPr>
        <w:t>日起，</w:t>
      </w:r>
      <w:r w:rsidRPr="00AF382F">
        <w:rPr>
          <w:rFonts w:ascii="仿宋" w:eastAsia="仿宋" w:hAnsi="仿宋" w:cs="宋体" w:hint="eastAsia"/>
          <w:bCs/>
          <w:color w:val="000000"/>
          <w:kern w:val="0"/>
          <w:sz w:val="24"/>
          <w:szCs w:val="24"/>
        </w:rPr>
        <w:t>《</w:t>
      </w:r>
      <w:r w:rsidRPr="009D6B31">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9D6B31">
        <w:rPr>
          <w:rFonts w:ascii="仿宋" w:eastAsia="仿宋" w:hAnsi="仿宋" w:cs="宋体" w:hint="eastAsia"/>
          <w:bCs/>
          <w:color w:val="000000"/>
          <w:kern w:val="0"/>
          <w:sz w:val="24"/>
          <w:szCs w:val="24"/>
        </w:rPr>
        <w:t>年持有期混合型证券投资基金基金合同</w:t>
      </w:r>
      <w:r w:rsidRPr="004D402B">
        <w:rPr>
          <w:rFonts w:ascii="仿宋" w:eastAsia="仿宋" w:hAnsi="仿宋" w:cs="宋体" w:hint="eastAsia"/>
          <w:bCs/>
          <w:color w:val="000000"/>
          <w:kern w:val="0"/>
          <w:sz w:val="24"/>
          <w:szCs w:val="24"/>
        </w:rPr>
        <w:t>》生效，《</w:t>
      </w:r>
      <w:r w:rsidRPr="00504A9D">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504A9D">
        <w:rPr>
          <w:rFonts w:ascii="仿宋" w:eastAsia="仿宋" w:hAnsi="仿宋" w:cs="宋体" w:hint="eastAsia"/>
          <w:bCs/>
          <w:color w:val="000000"/>
          <w:kern w:val="0"/>
          <w:sz w:val="24"/>
          <w:szCs w:val="24"/>
        </w:rPr>
        <w:t>年定期开放混合型证券投资基金</w:t>
      </w:r>
      <w:r>
        <w:rPr>
          <w:rFonts w:ascii="仿宋" w:eastAsia="仿宋" w:hAnsi="仿宋" w:cs="宋体" w:hint="eastAsia"/>
          <w:bCs/>
          <w:color w:val="000000"/>
          <w:kern w:val="0"/>
          <w:sz w:val="24"/>
          <w:szCs w:val="24"/>
        </w:rPr>
        <w:t>基金合同</w:t>
      </w:r>
      <w:r w:rsidRPr="004D402B">
        <w:rPr>
          <w:rFonts w:ascii="仿宋" w:eastAsia="仿宋" w:hAnsi="仿宋" w:cs="宋体" w:hint="eastAsia"/>
          <w:bCs/>
          <w:color w:val="000000"/>
          <w:kern w:val="0"/>
          <w:sz w:val="24"/>
          <w:szCs w:val="24"/>
        </w:rPr>
        <w:t>》同日起失效。</w:t>
      </w:r>
    </w:p>
    <w:p w:rsidR="00E45E2B" w:rsidRPr="009D6B31"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p>
    <w:p w:rsidR="00E45E2B" w:rsidRPr="004F6C89" w:rsidRDefault="00E45E2B" w:rsidP="004F6C89">
      <w:pPr>
        <w:pStyle w:val="1"/>
        <w:spacing w:line="360" w:lineRule="auto"/>
        <w:jc w:val="center"/>
        <w:rPr>
          <w:rFonts w:eastAsia="仿宋"/>
          <w:sz w:val="30"/>
          <w:szCs w:val="30"/>
          <w:lang w:val="zh-CN"/>
        </w:rPr>
      </w:pPr>
      <w:bookmarkStart w:id="63" w:name="_Toc377998620"/>
      <w:bookmarkStart w:id="64" w:name="_Toc169163865"/>
      <w:r w:rsidRPr="004F6C89">
        <w:rPr>
          <w:rFonts w:eastAsia="仿宋" w:hint="eastAsia"/>
          <w:sz w:val="30"/>
          <w:szCs w:val="30"/>
          <w:lang w:val="zh-CN"/>
        </w:rPr>
        <w:t>第五部分</w:t>
      </w:r>
      <w:r w:rsidRPr="004F6C89">
        <w:rPr>
          <w:rFonts w:eastAsia="仿宋" w:hint="eastAsia"/>
          <w:sz w:val="30"/>
          <w:szCs w:val="30"/>
          <w:lang w:val="zh-CN"/>
        </w:rPr>
        <w:t xml:space="preserve"> </w:t>
      </w:r>
      <w:r w:rsidRPr="004F6C89">
        <w:rPr>
          <w:rFonts w:eastAsia="仿宋"/>
          <w:sz w:val="30"/>
          <w:szCs w:val="30"/>
          <w:lang w:val="zh-CN"/>
        </w:rPr>
        <w:t xml:space="preserve">   </w:t>
      </w:r>
      <w:r w:rsidRPr="004F6C89">
        <w:rPr>
          <w:rFonts w:eastAsia="仿宋" w:hint="eastAsia"/>
          <w:sz w:val="30"/>
          <w:szCs w:val="30"/>
          <w:lang w:val="zh-CN"/>
        </w:rPr>
        <w:t>基金的存续</w:t>
      </w:r>
      <w:bookmarkEnd w:id="63"/>
      <w:bookmarkEnd w:id="64"/>
    </w:p>
    <w:p w:rsidR="00E45E2B" w:rsidRPr="005C4689"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C4689">
        <w:rPr>
          <w:rFonts w:ascii="仿宋" w:eastAsia="仿宋" w:hAnsi="仿宋" w:cs="宋体" w:hint="eastAsia"/>
          <w:kern w:val="0"/>
          <w:sz w:val="24"/>
          <w:szCs w:val="24"/>
        </w:rPr>
        <w:t>一、基金份额的变更登记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83034">
        <w:rPr>
          <w:rFonts w:ascii="仿宋" w:eastAsia="仿宋" w:hAnsi="仿宋" w:cs="宋体" w:hint="eastAsia"/>
          <w:kern w:val="0"/>
          <w:sz w:val="24"/>
          <w:szCs w:val="24"/>
        </w:rPr>
        <w:t>根据原《东方红恒阳五年定期开放混合型证券投资基金基金合同》失效当日登记在册的基金份额持有</w:t>
      </w:r>
      <w:r w:rsidRPr="009F2A90">
        <w:rPr>
          <w:rFonts w:ascii="仿宋" w:eastAsia="仿宋" w:hAnsi="仿宋" w:cs="宋体" w:hint="eastAsia"/>
          <w:kern w:val="0"/>
          <w:sz w:val="24"/>
          <w:szCs w:val="24"/>
        </w:rPr>
        <w:t>人名册，进行基金份额更名及必要的信息变更。</w:t>
      </w:r>
    </w:p>
    <w:p w:rsidR="00E45E2B" w:rsidRPr="004D5E5D"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4D5E5D">
        <w:rPr>
          <w:rFonts w:ascii="仿宋" w:eastAsia="仿宋" w:hAnsi="仿宋" w:cs="宋体" w:hint="eastAsia"/>
          <w:b/>
          <w:kern w:val="0"/>
          <w:sz w:val="24"/>
          <w:szCs w:val="24"/>
        </w:rPr>
        <w:t>二、基金存续期内的基金份额持有人数量和资产规模</w:t>
      </w:r>
    </w:p>
    <w:p w:rsidR="00E45E2B" w:rsidRPr="004D40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402B">
        <w:rPr>
          <w:rFonts w:ascii="仿宋" w:eastAsia="仿宋" w:hAnsi="仿宋" w:cs="宋体" w:hint="eastAsia"/>
          <w:kern w:val="0"/>
          <w:sz w:val="24"/>
          <w:szCs w:val="24"/>
        </w:rPr>
        <w:t>《基金合同》生效后，连续20个工作日出现基金份额持有人数量不满 200 人或者基金资产净值低于5000万元情形的，基金管理人应当在定期报告中予以披露；连续</w:t>
      </w:r>
      <w:r>
        <w:rPr>
          <w:rFonts w:ascii="仿宋" w:eastAsia="仿宋" w:hAnsi="仿宋" w:cs="宋体" w:hint="eastAsia"/>
          <w:kern w:val="0"/>
          <w:sz w:val="24"/>
          <w:szCs w:val="24"/>
        </w:rPr>
        <w:t>60</w:t>
      </w:r>
      <w:r w:rsidRPr="004D402B">
        <w:rPr>
          <w:rFonts w:ascii="仿宋" w:eastAsia="仿宋" w:hAnsi="仿宋" w:cs="宋体" w:hint="eastAsia"/>
          <w:kern w:val="0"/>
          <w:sz w:val="24"/>
          <w:szCs w:val="24"/>
        </w:rPr>
        <w:t>个工作日出现前述情形的，基金管理人应当在</w:t>
      </w:r>
      <w:r>
        <w:rPr>
          <w:rFonts w:ascii="仿宋" w:eastAsia="仿宋" w:hAnsi="仿宋" w:cs="宋体" w:hint="eastAsia"/>
          <w:kern w:val="0"/>
          <w:sz w:val="24"/>
          <w:szCs w:val="24"/>
        </w:rPr>
        <w:t>10</w:t>
      </w:r>
      <w:r w:rsidRPr="004D402B">
        <w:rPr>
          <w:rFonts w:ascii="仿宋" w:eastAsia="仿宋" w:hAnsi="仿宋" w:cs="宋体" w:hint="eastAsia"/>
          <w:kern w:val="0"/>
          <w:sz w:val="24"/>
          <w:szCs w:val="24"/>
        </w:rPr>
        <w:t>个工作日内向中国证监会报告并提出解决方案，如持续运作、转换运作方式、与其他基金合并或者终止基金合同等，并在</w:t>
      </w:r>
      <w:r>
        <w:rPr>
          <w:rFonts w:ascii="仿宋" w:eastAsia="仿宋" w:hAnsi="仿宋" w:cs="宋体" w:hint="eastAsia"/>
          <w:kern w:val="0"/>
          <w:sz w:val="24"/>
          <w:szCs w:val="24"/>
        </w:rPr>
        <w:t>6</w:t>
      </w:r>
      <w:r w:rsidRPr="004D402B">
        <w:rPr>
          <w:rFonts w:ascii="仿宋" w:eastAsia="仿宋" w:hAnsi="仿宋" w:cs="宋体" w:hint="eastAsia"/>
          <w:kern w:val="0"/>
          <w:sz w:val="24"/>
          <w:szCs w:val="24"/>
        </w:rPr>
        <w:t>个月内召集基金份额持有人大会。</w:t>
      </w:r>
    </w:p>
    <w:p w:rsidR="00E45E2B" w:rsidRDefault="00E45E2B" w:rsidP="00E45E2B">
      <w:pPr>
        <w:autoSpaceDE w:val="0"/>
        <w:autoSpaceDN w:val="0"/>
        <w:adjustRightInd w:val="0"/>
        <w:spacing w:line="360" w:lineRule="auto"/>
        <w:ind w:firstLine="420"/>
        <w:jc w:val="left"/>
        <w:rPr>
          <w:kern w:val="0"/>
        </w:rPr>
      </w:pPr>
      <w:r w:rsidRPr="004D402B">
        <w:rPr>
          <w:rFonts w:ascii="仿宋" w:eastAsia="仿宋" w:hAnsi="仿宋" w:cs="宋体" w:hint="eastAsia"/>
          <w:kern w:val="0"/>
          <w:sz w:val="24"/>
          <w:szCs w:val="24"/>
        </w:rPr>
        <w:t>法律法规或中国证监会另有规定时，从其规定。</w:t>
      </w:r>
    </w:p>
    <w:p w:rsidR="00E45E2B" w:rsidRDefault="00E45E2B" w:rsidP="004F6C89">
      <w:pPr>
        <w:pStyle w:val="1"/>
        <w:spacing w:line="360" w:lineRule="auto"/>
        <w:jc w:val="center"/>
        <w:rPr>
          <w:kern w:val="0"/>
        </w:rPr>
      </w:pPr>
      <w:bookmarkStart w:id="65" w:name="_Toc10463"/>
      <w:bookmarkStart w:id="66" w:name="_Toc98560352"/>
      <w:bookmarkStart w:id="67" w:name="_Toc48649707"/>
      <w:bookmarkStart w:id="68" w:name="_Toc123051452"/>
      <w:bookmarkStart w:id="69" w:name="_Toc7920"/>
      <w:bookmarkStart w:id="70" w:name="_Toc1427"/>
      <w:bookmarkStart w:id="71" w:name="_Toc4003"/>
      <w:bookmarkStart w:id="72" w:name="_Toc17244"/>
      <w:bookmarkStart w:id="73" w:name="_Toc610"/>
      <w:bookmarkStart w:id="74" w:name="_Toc1270"/>
      <w:bookmarkStart w:id="75" w:name="_Toc23822"/>
      <w:bookmarkStart w:id="76" w:name="_Toc20733"/>
      <w:bookmarkStart w:id="77" w:name="_Toc141703886"/>
      <w:bookmarkStart w:id="78" w:name="_Toc79392606"/>
      <w:bookmarkStart w:id="79" w:name="_Toc123112234"/>
      <w:bookmarkStart w:id="80" w:name="_Toc123102453"/>
      <w:bookmarkStart w:id="81" w:name="_Toc11081"/>
      <w:bookmarkStart w:id="82" w:name="_Toc139991736"/>
      <w:bookmarkStart w:id="83" w:name="_Toc23261"/>
      <w:r>
        <w:rPr>
          <w:rFonts w:ascii="仿宋" w:hAnsi="仿宋" w:cs="宋体"/>
          <w:b w:val="0"/>
          <w:bCs w:val="0"/>
          <w:kern w:val="0"/>
          <w:sz w:val="24"/>
          <w:szCs w:val="24"/>
        </w:rPr>
        <w:br w:type="page"/>
      </w:r>
      <w:bookmarkStart w:id="84" w:name="_Toc377998621"/>
      <w:bookmarkStart w:id="85" w:name="_Toc459291243"/>
      <w:bookmarkStart w:id="86" w:name="_Toc169163866"/>
      <w:r w:rsidRPr="004F6C89">
        <w:rPr>
          <w:rFonts w:eastAsia="仿宋" w:hint="eastAsia"/>
          <w:sz w:val="30"/>
          <w:szCs w:val="30"/>
          <w:lang w:val="zh-CN"/>
        </w:rPr>
        <w:t>第六部分</w:t>
      </w:r>
      <w:r w:rsidRPr="004F6C89">
        <w:rPr>
          <w:rFonts w:eastAsia="仿宋" w:hint="eastAsia"/>
          <w:sz w:val="30"/>
          <w:szCs w:val="30"/>
          <w:lang w:val="zh-CN"/>
        </w:rPr>
        <w:t xml:space="preserve">    </w:t>
      </w:r>
      <w:bookmarkEnd w:id="84"/>
      <w:r w:rsidRPr="004F6C89">
        <w:rPr>
          <w:rFonts w:eastAsia="仿宋" w:hint="eastAsia"/>
          <w:sz w:val="30"/>
          <w:szCs w:val="30"/>
          <w:lang w:val="zh-CN"/>
        </w:rPr>
        <w:t>基金份额的</w:t>
      </w:r>
      <w:bookmarkStart w:id="87" w:name="_Toc459291244"/>
      <w:bookmarkEnd w:id="85"/>
      <w:r w:rsidRPr="004F6C89">
        <w:rPr>
          <w:rFonts w:eastAsia="仿宋" w:hint="eastAsia"/>
          <w:sz w:val="30"/>
          <w:szCs w:val="30"/>
          <w:lang w:val="zh-CN"/>
        </w:rPr>
        <w:t>申购、赎回与转换</w:t>
      </w:r>
      <w:bookmarkEnd w:id="86"/>
      <w:bookmarkEnd w:id="87"/>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一、</w:t>
      </w:r>
      <w:r w:rsidRPr="00732D44">
        <w:rPr>
          <w:rFonts w:ascii="仿宋" w:eastAsia="仿宋" w:hAnsi="仿宋" w:cs="宋体" w:hint="eastAsia"/>
          <w:b/>
          <w:bCs/>
          <w:kern w:val="0"/>
          <w:sz w:val="24"/>
          <w:szCs w:val="24"/>
        </w:rPr>
        <w:t>基金的运作方式</w:t>
      </w:r>
    </w:p>
    <w:p w:rsidR="00E45E2B" w:rsidRPr="00BF30DA"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BF30DA">
        <w:rPr>
          <w:rFonts w:ascii="仿宋" w:eastAsia="仿宋" w:hAnsi="仿宋" w:cs="宋体" w:hint="eastAsia"/>
          <w:kern w:val="0"/>
          <w:sz w:val="24"/>
          <w:szCs w:val="24"/>
        </w:rPr>
        <w:t>契约型开放式。</w:t>
      </w:r>
    </w:p>
    <w:p w:rsidR="00E45E2B" w:rsidRDefault="00E45E2B" w:rsidP="00E45E2B">
      <w:pPr>
        <w:autoSpaceDE w:val="0"/>
        <w:autoSpaceDN w:val="0"/>
        <w:adjustRightInd w:val="0"/>
        <w:spacing w:line="360" w:lineRule="auto"/>
        <w:ind w:firstLine="420"/>
        <w:contextualSpacing/>
        <w:jc w:val="left"/>
        <w:rPr>
          <w:rFonts w:ascii="仿宋" w:eastAsia="仿宋" w:hAnsi="仿宋" w:cs="宋体"/>
          <w:kern w:val="0"/>
          <w:sz w:val="24"/>
          <w:szCs w:val="24"/>
        </w:rPr>
      </w:pPr>
      <w:r>
        <w:rPr>
          <w:rFonts w:ascii="仿宋" w:eastAsia="仿宋" w:hAnsi="仿宋" w:cs="宋体" w:hint="eastAsia"/>
          <w:kern w:val="0"/>
          <w:sz w:val="24"/>
          <w:szCs w:val="24"/>
        </w:rPr>
        <w:t>除基金合同另有约定外，</w:t>
      </w:r>
      <w:r w:rsidRPr="008748D9">
        <w:rPr>
          <w:rFonts w:ascii="仿宋" w:eastAsia="仿宋" w:hAnsi="仿宋" w:cs="宋体" w:hint="eastAsia"/>
          <w:kern w:val="0"/>
          <w:sz w:val="24"/>
          <w:szCs w:val="24"/>
        </w:rPr>
        <w:t>本基金对每份基金份额设置</w:t>
      </w:r>
      <w:r>
        <w:rPr>
          <w:rFonts w:ascii="仿宋" w:eastAsia="仿宋" w:hAnsi="仿宋" w:cs="宋体" w:hint="eastAsia"/>
          <w:kern w:val="0"/>
          <w:sz w:val="24"/>
          <w:szCs w:val="24"/>
        </w:rPr>
        <w:t>五</w:t>
      </w:r>
      <w:r w:rsidRPr="008748D9">
        <w:rPr>
          <w:rFonts w:ascii="仿宋" w:eastAsia="仿宋" w:hAnsi="仿宋" w:cs="宋体" w:hint="eastAsia"/>
          <w:kern w:val="0"/>
          <w:sz w:val="24"/>
          <w:szCs w:val="24"/>
        </w:rPr>
        <w:t>年锁定持有期。锁定持有期指</w:t>
      </w:r>
      <w:r>
        <w:rPr>
          <w:rFonts w:ascii="仿宋" w:eastAsia="仿宋" w:hAnsi="仿宋" w:cs="宋体" w:hint="eastAsia"/>
          <w:kern w:val="0"/>
          <w:sz w:val="24"/>
          <w:szCs w:val="24"/>
        </w:rPr>
        <w:t>基金份额登记日</w:t>
      </w:r>
      <w:r w:rsidRPr="008748D9">
        <w:rPr>
          <w:rFonts w:ascii="仿宋" w:eastAsia="仿宋" w:hAnsi="仿宋" w:cs="宋体" w:hint="eastAsia"/>
          <w:kern w:val="0"/>
          <w:sz w:val="24"/>
          <w:szCs w:val="24"/>
        </w:rPr>
        <w:t>（对基金合同生效前已经持有的份额而言，下同）、基金份额申购申请日（对基金合同生效后申购份额而言，下同）或基金份额转换转入申请日（对基金合同生效后转换转入份额而言，下同）起（即锁定持有期起始日），至</w:t>
      </w:r>
      <w:r>
        <w:rPr>
          <w:rFonts w:ascii="仿宋" w:eastAsia="仿宋" w:hAnsi="仿宋" w:cs="宋体" w:hint="eastAsia"/>
          <w:kern w:val="0"/>
          <w:sz w:val="24"/>
          <w:szCs w:val="24"/>
        </w:rPr>
        <w:t>基金份额登记日</w:t>
      </w:r>
      <w:r w:rsidRPr="008748D9">
        <w:rPr>
          <w:rFonts w:ascii="仿宋" w:eastAsia="仿宋" w:hAnsi="仿宋" w:cs="宋体" w:hint="eastAsia"/>
          <w:kern w:val="0"/>
          <w:sz w:val="24"/>
          <w:szCs w:val="24"/>
        </w:rPr>
        <w:t>、基金份额申购申请日或基金份额转换转入申请日次</w:t>
      </w:r>
      <w:r>
        <w:rPr>
          <w:rFonts w:ascii="仿宋" w:eastAsia="仿宋" w:hAnsi="仿宋" w:cs="宋体" w:hint="eastAsia"/>
          <w:kern w:val="0"/>
          <w:sz w:val="24"/>
          <w:szCs w:val="24"/>
        </w:rPr>
        <w:t>五</w:t>
      </w:r>
      <w:r w:rsidRPr="008748D9">
        <w:rPr>
          <w:rFonts w:ascii="仿宋" w:eastAsia="仿宋" w:hAnsi="仿宋" w:cs="宋体" w:hint="eastAsia"/>
          <w:kern w:val="0"/>
          <w:sz w:val="24"/>
          <w:szCs w:val="24"/>
        </w:rPr>
        <w:t>年的年度对日的前一日（即锁定持有期到期日）之间的区间。每份基金份额的锁定持有期结束后即进入开放持有期，开放持有期首日为锁定持有期起始日次</w:t>
      </w:r>
      <w:r>
        <w:rPr>
          <w:rFonts w:ascii="仿宋" w:eastAsia="仿宋" w:hAnsi="仿宋" w:cs="宋体" w:hint="eastAsia"/>
          <w:kern w:val="0"/>
          <w:sz w:val="24"/>
          <w:szCs w:val="24"/>
        </w:rPr>
        <w:t>五</w:t>
      </w:r>
      <w:r w:rsidRPr="008748D9">
        <w:rPr>
          <w:rFonts w:ascii="仿宋" w:eastAsia="仿宋" w:hAnsi="仿宋" w:cs="宋体" w:hint="eastAsia"/>
          <w:kern w:val="0"/>
          <w:sz w:val="24"/>
          <w:szCs w:val="24"/>
        </w:rPr>
        <w:t>年的年度对日。每份基金份额在开放持有期的开放日可以办理赎回及转换转出业务</w:t>
      </w:r>
      <w:r w:rsidRPr="00F05EBC">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4D5E5D">
        <w:rPr>
          <w:rFonts w:ascii="仿宋" w:eastAsia="仿宋" w:hAnsi="仿宋" w:cs="宋体" w:hint="eastAsia"/>
          <w:b/>
          <w:kern w:val="0"/>
          <w:sz w:val="24"/>
          <w:szCs w:val="24"/>
        </w:rPr>
        <w:t>二</w:t>
      </w:r>
      <w:r>
        <w:rPr>
          <w:rFonts w:ascii="仿宋" w:eastAsia="仿宋" w:hAnsi="仿宋" w:cs="宋体" w:hint="eastAsia"/>
          <w:b/>
          <w:kern w:val="0"/>
          <w:sz w:val="24"/>
          <w:szCs w:val="24"/>
        </w:rPr>
        <w:t>、申购与赎回场所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21B25">
        <w:rPr>
          <w:rFonts w:ascii="仿宋" w:eastAsia="仿宋" w:hAnsi="仿宋" w:cs="宋体" w:hint="eastAsia"/>
          <w:kern w:val="0"/>
          <w:sz w:val="24"/>
          <w:szCs w:val="24"/>
        </w:rPr>
        <w:t>本基金的申购与赎回将通过销售机构进行。具体的销售机构将在基金管理人网站披露的销售机构名录中列明。基金管理人可根据情况变更或增减销售机构，并在基金管理人网站公示。基金投资者应当在销售机构办理基金销售业务的营业场所或按销售机构提供的其他方式办理基金份额的申购与赎回。</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三、</w:t>
      </w:r>
      <w:r>
        <w:rPr>
          <w:rFonts w:ascii="仿宋" w:eastAsia="仿宋" w:hAnsi="仿宋" w:cs="宋体" w:hint="eastAsia"/>
          <w:b/>
          <w:bCs/>
          <w:kern w:val="0"/>
          <w:sz w:val="24"/>
          <w:szCs w:val="24"/>
        </w:rPr>
        <w:t>申购与赎回的开放日及时间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1、开放日及开放时间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投资人在开放日办理基金份额的申购和/或赎回，具体办理时间为上海证券交易所、深圳证券交易所的正常交易日的交易时间，若该交易日为非港股通交易日，</w:t>
      </w:r>
      <w:r w:rsidRPr="00FB512E">
        <w:rPr>
          <w:rFonts w:ascii="仿宋" w:eastAsia="仿宋" w:hAnsi="仿宋" w:cs="宋体" w:hint="eastAsia"/>
          <w:kern w:val="0"/>
          <w:sz w:val="24"/>
          <w:szCs w:val="24"/>
        </w:rPr>
        <w:t>则基金管理人有权决定本基金是否开放。此外，</w:t>
      </w:r>
      <w:r>
        <w:rPr>
          <w:rFonts w:ascii="仿宋" w:eastAsia="仿宋" w:hAnsi="仿宋" w:cs="宋体" w:hint="eastAsia"/>
          <w:kern w:val="0"/>
          <w:sz w:val="24"/>
          <w:szCs w:val="24"/>
        </w:rPr>
        <w:t>基金管理人可根据法律法规、中国证监会的要求或本基金合同的规定公告暂停申购、赎回</w:t>
      </w:r>
      <w:r>
        <w:rPr>
          <w:rFonts w:ascii="仿宋" w:eastAsia="仿宋" w:hAnsi="仿宋" w:cs="宋体" w:hint="eastAsia"/>
          <w:bCs/>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基金合同生效后，</w:t>
      </w:r>
      <w:r w:rsidRPr="000567EB">
        <w:rPr>
          <w:rFonts w:ascii="仿宋" w:eastAsia="仿宋" w:hAnsi="仿宋" w:cs="宋体" w:hint="eastAsia"/>
          <w:kern w:val="0"/>
          <w:sz w:val="24"/>
          <w:szCs w:val="24"/>
        </w:rPr>
        <w:t>若出现新的证券、期货交易市场或证券、期货交易所交易时间变更</w:t>
      </w:r>
      <w:r>
        <w:rPr>
          <w:rFonts w:ascii="仿宋" w:eastAsia="仿宋" w:hAnsi="仿宋" w:cs="宋体" w:hint="eastAsia"/>
          <w:kern w:val="0"/>
          <w:sz w:val="24"/>
          <w:szCs w:val="24"/>
        </w:rPr>
        <w:t>、</w:t>
      </w:r>
      <w:r w:rsidRPr="000567EB">
        <w:rPr>
          <w:rFonts w:ascii="仿宋" w:eastAsia="仿宋" w:hAnsi="仿宋" w:cs="宋体" w:hint="eastAsia"/>
          <w:kern w:val="0"/>
          <w:sz w:val="24"/>
          <w:szCs w:val="24"/>
        </w:rPr>
        <w:t>其他特殊情况或根据业务需要</w:t>
      </w:r>
      <w:r>
        <w:rPr>
          <w:rFonts w:ascii="仿宋" w:eastAsia="仿宋" w:hAnsi="仿宋" w:cs="宋体" w:hint="eastAsia"/>
          <w:kern w:val="0"/>
          <w:sz w:val="24"/>
          <w:szCs w:val="24"/>
        </w:rPr>
        <w:t>，基金管理人将视情况对前述开放日及开放时间进行相应的调整，但应在实施日前依照《信息披露办法》的有关规定在规定媒介上公告。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2、申购、赎回开始日及业务办理时间</w:t>
      </w:r>
    </w:p>
    <w:p w:rsidR="00E45E2B" w:rsidRPr="00796CCA"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96CCA">
        <w:rPr>
          <w:rFonts w:ascii="仿宋" w:eastAsia="仿宋" w:hAnsi="仿宋" w:cs="宋体" w:hint="eastAsia"/>
          <w:kern w:val="0"/>
          <w:sz w:val="24"/>
          <w:szCs w:val="24"/>
        </w:rPr>
        <w:t>基金管理人可根据实际情况依法决定本基金开始办理申购的具体日期，具体业务办理时间在开放申购业务的公告中规定。</w:t>
      </w:r>
    </w:p>
    <w:p w:rsidR="00E45E2B" w:rsidRPr="00FB512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96CCA">
        <w:rPr>
          <w:rFonts w:ascii="仿宋" w:eastAsia="仿宋" w:hAnsi="仿宋" w:cs="宋体" w:hint="eastAsia"/>
          <w:kern w:val="0"/>
          <w:sz w:val="24"/>
          <w:szCs w:val="24"/>
        </w:rPr>
        <w:t>基金管理人有权依法决定本基金开放赎回的时间，具体业务办理时间在开放赎回业务的公告中规定。</w:t>
      </w:r>
      <w:r w:rsidRPr="006C464A">
        <w:rPr>
          <w:rFonts w:ascii="仿宋" w:eastAsia="仿宋" w:hAnsi="仿宋" w:cs="宋体" w:hint="eastAsia"/>
          <w:kern w:val="0"/>
          <w:sz w:val="24"/>
          <w:szCs w:val="24"/>
        </w:rPr>
        <w:t>对于每份基金份额，其锁定持有期结束后即进入开放持有期，</w:t>
      </w:r>
      <w:r w:rsidRPr="00CA05DF">
        <w:rPr>
          <w:rFonts w:ascii="仿宋" w:eastAsia="仿宋" w:hAnsi="仿宋" w:cs="宋体" w:hint="eastAsia"/>
          <w:kern w:val="0"/>
          <w:sz w:val="24"/>
          <w:szCs w:val="24"/>
        </w:rPr>
        <w:t>但在本基金开始办理赎回前，投资者仍无法办理赎回或转换转出业务。在本基金开始办理赎回业务后，且在开放持有期的开放日，投资者可以办理赎回</w:t>
      </w:r>
      <w:r w:rsidRPr="000D2922">
        <w:rPr>
          <w:rFonts w:ascii="仿宋" w:eastAsia="仿宋" w:hAnsi="仿宋" w:cs="宋体" w:hint="eastAsia"/>
          <w:kern w:val="0"/>
          <w:sz w:val="24"/>
          <w:szCs w:val="24"/>
        </w:rPr>
        <w:t>或转换转出</w:t>
      </w:r>
      <w:r w:rsidRPr="00CA05DF">
        <w:rPr>
          <w:rFonts w:ascii="仿宋" w:eastAsia="仿宋" w:hAnsi="仿宋" w:cs="宋体" w:hint="eastAsia"/>
          <w:kern w:val="0"/>
          <w:sz w:val="24"/>
          <w:szCs w:val="24"/>
        </w:rPr>
        <w:t>业务。</w:t>
      </w:r>
      <w:r w:rsidRPr="006C464A">
        <w:rPr>
          <w:rFonts w:ascii="仿宋" w:eastAsia="仿宋" w:hAnsi="仿宋" w:cs="宋体" w:hint="eastAsia"/>
          <w:kern w:val="0"/>
          <w:sz w:val="24"/>
          <w:szCs w:val="24"/>
        </w:rPr>
        <w:t>由红利再投资而来的基金份额不受锁定持有期的限制</w:t>
      </w:r>
      <w:r>
        <w:rPr>
          <w:rFonts w:ascii="仿宋" w:eastAsia="仿宋" w:hAnsi="仿宋" w:cs="宋体" w:hint="eastAsia"/>
          <w:kern w:val="0"/>
          <w:sz w:val="24"/>
          <w:szCs w:val="24"/>
        </w:rPr>
        <w:t>；</w:t>
      </w:r>
      <w:r w:rsidR="00914C9A">
        <w:rPr>
          <w:rFonts w:ascii="仿宋" w:eastAsia="仿宋" w:hAnsi="仿宋" w:cs="宋体" w:hint="eastAsia"/>
          <w:kern w:val="0"/>
          <w:sz w:val="24"/>
          <w:szCs w:val="24"/>
        </w:rPr>
        <w:t>基金转型前</w:t>
      </w:r>
      <w:r>
        <w:rPr>
          <w:rFonts w:ascii="仿宋" w:eastAsia="仿宋" w:hAnsi="仿宋" w:cs="宋体" w:hint="eastAsia"/>
          <w:kern w:val="0"/>
          <w:sz w:val="24"/>
          <w:szCs w:val="24"/>
        </w:rPr>
        <w:t>基金份额持有人通过二级市场买入的基金份额在转型后，亦不</w:t>
      </w:r>
      <w:r w:rsidRPr="006C464A">
        <w:rPr>
          <w:rFonts w:ascii="仿宋" w:eastAsia="仿宋" w:hAnsi="仿宋" w:cs="宋体" w:hint="eastAsia"/>
          <w:kern w:val="0"/>
          <w:sz w:val="24"/>
          <w:szCs w:val="24"/>
        </w:rPr>
        <w:t>受</w:t>
      </w:r>
      <w:r>
        <w:rPr>
          <w:rFonts w:ascii="仿宋" w:eastAsia="仿宋" w:hAnsi="仿宋" w:cs="宋体" w:hint="eastAsia"/>
          <w:kern w:val="0"/>
          <w:sz w:val="24"/>
          <w:szCs w:val="24"/>
        </w:rPr>
        <w:t>锁定持有期的限制。</w:t>
      </w:r>
    </w:p>
    <w:p w:rsidR="00E45E2B" w:rsidRPr="00FB512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B512E">
        <w:rPr>
          <w:rFonts w:ascii="仿宋" w:eastAsia="仿宋" w:hAnsi="仿宋" w:cs="宋体" w:hint="eastAsia"/>
          <w:kern w:val="0"/>
          <w:sz w:val="24"/>
          <w:szCs w:val="24"/>
        </w:rPr>
        <w:t>在确定申购开始与赎回开始时间后，基金管理人应在申购、赎回开放日前依照《信息披露办法》的有关规定在规定媒介上公告申购与赎回的开始时间。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B512E">
        <w:rPr>
          <w:rFonts w:ascii="仿宋" w:eastAsia="仿宋" w:hAnsi="仿宋" w:cs="宋体" w:hint="eastAsia"/>
          <w:kern w:val="0"/>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四、</w:t>
      </w:r>
      <w:r>
        <w:rPr>
          <w:rFonts w:ascii="仿宋" w:eastAsia="仿宋" w:hAnsi="仿宋" w:cs="宋体" w:hint="eastAsia"/>
          <w:b/>
          <w:bCs/>
          <w:kern w:val="0"/>
          <w:sz w:val="24"/>
          <w:szCs w:val="24"/>
        </w:rPr>
        <w:t>申购与赎回的原则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、“未知价”原则，即申购、赎回价格以申请当日收市后计算的基金份额净值为基准进行计算；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、“金额申购、份额赎回”原则，即申购以金额申请，赎回以份额申请；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、当日的申购与赎回申请可以在基金管理人规定的时间以内撤销；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w:t>
      </w:r>
      <w:r w:rsidRPr="004D3B8E">
        <w:rPr>
          <w:rFonts w:ascii="仿宋" w:eastAsia="仿宋" w:hAnsi="仿宋" w:cs="宋体" w:hint="eastAsia"/>
          <w:kern w:val="0"/>
          <w:sz w:val="24"/>
          <w:szCs w:val="24"/>
        </w:rPr>
        <w:t>基金份额持有人赎回时，</w:t>
      </w:r>
      <w:r w:rsidRPr="00DD62DF">
        <w:rPr>
          <w:rFonts w:ascii="仿宋" w:eastAsia="仿宋" w:hAnsi="仿宋" w:cs="宋体" w:hint="eastAsia"/>
          <w:kern w:val="0"/>
          <w:sz w:val="24"/>
          <w:szCs w:val="24"/>
        </w:rPr>
        <w:t>除指定赎回外，</w:t>
      </w:r>
      <w:r w:rsidRPr="008A0740">
        <w:rPr>
          <w:rFonts w:ascii="仿宋" w:eastAsia="仿宋" w:hAnsi="仿宋" w:cs="宋体" w:hint="eastAsia"/>
          <w:kern w:val="0"/>
          <w:sz w:val="24"/>
          <w:szCs w:val="24"/>
        </w:rPr>
        <w:t>基金管理人对可赎回份额按“先进先出”进行处理</w:t>
      </w:r>
      <w:r>
        <w:rPr>
          <w:rFonts w:ascii="仿宋" w:eastAsia="仿宋" w:hAnsi="仿宋" w:cs="宋体" w:hint="eastAsia"/>
          <w:kern w:val="0"/>
          <w:sz w:val="24"/>
          <w:szCs w:val="24"/>
        </w:rPr>
        <w:t>，即按照基金份额持有人份额登记日期的先后次序进行顺序赎回，并确定所适用的赎回费率；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w:t>
      </w:r>
      <w:r w:rsidRPr="00DD62DF">
        <w:rPr>
          <w:rFonts w:ascii="仿宋" w:eastAsia="仿宋" w:hAnsi="仿宋" w:cs="宋体" w:hint="eastAsia"/>
          <w:kern w:val="0"/>
          <w:sz w:val="24"/>
          <w:szCs w:val="24"/>
        </w:rPr>
        <w:t>办理申购、赎回业务时，应当遵循基金份额持有人利益优先原则，确保投资者的合法权益不受损害并得到公平对待。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DD62DF">
        <w:rPr>
          <w:rFonts w:ascii="仿宋" w:eastAsia="仿宋" w:hAnsi="仿宋" w:cs="宋体" w:hint="eastAsia"/>
          <w:kern w:val="0"/>
          <w:sz w:val="24"/>
          <w:szCs w:val="24"/>
        </w:rPr>
        <w:t>基金管理人可在法律法规允许且对基金份额持有人无实质性不利影响的前提下，对上述原则进行调整。基金管理人必须在新规则开始实施前按照《信息披露办法》的有关规定在规定媒介公告。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五</w:t>
      </w:r>
      <w:r>
        <w:rPr>
          <w:rFonts w:ascii="仿宋" w:eastAsia="仿宋" w:hAnsi="仿宋" w:cs="宋体" w:hint="eastAsia"/>
          <w:b/>
          <w:bCs/>
          <w:kern w:val="0"/>
          <w:sz w:val="24"/>
          <w:szCs w:val="24"/>
        </w:rPr>
        <w:t>、申购与赎回的程序</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1、申购和赎回的申请方式</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投资人必须根据销售机构规定的程序，在开放日的具体业务办理时间内提出申购或赎回的申请。</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2、申购和赎回的款项支付</w:t>
      </w:r>
    </w:p>
    <w:p w:rsidR="00E45E2B" w:rsidRPr="0010704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56ED0">
        <w:rPr>
          <w:rFonts w:ascii="仿宋" w:eastAsia="仿宋" w:hAnsi="仿宋" w:hint="eastAsia"/>
          <w:sz w:val="24"/>
          <w:szCs w:val="24"/>
        </w:rPr>
        <w:t>投资人申购基金份额时，必须全额交付申购款项</w:t>
      </w:r>
      <w:r w:rsidRPr="0010704E">
        <w:rPr>
          <w:rFonts w:ascii="仿宋" w:eastAsia="仿宋" w:hAnsi="仿宋" w:cs="宋体" w:hint="eastAsia"/>
          <w:kern w:val="0"/>
          <w:sz w:val="24"/>
          <w:szCs w:val="24"/>
        </w:rPr>
        <w:t>，投资人全额交付申购款项，申购成立；基金份额登记机构确认基金份额时，申购生效。</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397C20">
        <w:rPr>
          <w:rFonts w:ascii="仿宋" w:eastAsia="仿宋" w:hAnsi="仿宋" w:cs="宋体" w:hint="eastAsia"/>
          <w:kern w:val="0"/>
          <w:sz w:val="24"/>
          <w:szCs w:val="24"/>
        </w:rPr>
        <w:t>基金份额持有人递交赎回申请时，其在销售机构必须有足够的基金份额余额。</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基金份额持有人递交赎回申请，赎回成立；基金份额登记机构确认赎回时，赎回生效。投资者赎回申请生效后，基金管理人将在T＋</w:t>
      </w:r>
      <w:r>
        <w:rPr>
          <w:rFonts w:ascii="仿宋" w:eastAsia="仿宋" w:hAnsi="仿宋" w:cs="宋体"/>
          <w:kern w:val="0"/>
          <w:sz w:val="24"/>
          <w:szCs w:val="24"/>
        </w:rPr>
        <w:t>7</w:t>
      </w:r>
      <w:r w:rsidRPr="004D5E5D">
        <w:rPr>
          <w:rFonts w:ascii="仿宋" w:eastAsia="仿宋" w:hAnsi="仿宋" w:cs="宋体" w:hint="eastAsia"/>
          <w:kern w:val="0"/>
          <w:sz w:val="24"/>
          <w:szCs w:val="24"/>
        </w:rPr>
        <w:t>日（包括该日）内支付赎回款项。遇证券</w:t>
      </w:r>
      <w:r>
        <w:rPr>
          <w:rFonts w:ascii="仿宋" w:eastAsia="仿宋" w:hAnsi="仿宋" w:cs="宋体" w:hint="eastAsia"/>
          <w:kern w:val="0"/>
          <w:sz w:val="24"/>
          <w:szCs w:val="24"/>
        </w:rPr>
        <w:t>、期货</w:t>
      </w:r>
      <w:r w:rsidRPr="004D5E5D">
        <w:rPr>
          <w:rFonts w:ascii="仿宋" w:eastAsia="仿宋" w:hAnsi="仿宋" w:cs="宋体" w:hint="eastAsia"/>
          <w:kern w:val="0"/>
          <w:sz w:val="24"/>
          <w:szCs w:val="24"/>
        </w:rPr>
        <w:t>交易所或交易市场数据传输延迟、通讯系统故障、银行数据交换系统故障</w:t>
      </w:r>
      <w:r w:rsidRPr="00700AA2">
        <w:rPr>
          <w:rFonts w:ascii="仿宋" w:eastAsia="仿宋" w:hAnsi="仿宋" w:cs="宋体" w:hint="eastAsia"/>
          <w:kern w:val="0"/>
          <w:sz w:val="24"/>
          <w:szCs w:val="24"/>
        </w:rPr>
        <w:t>、港股通交易系统或港股通资金交收规则限制</w:t>
      </w:r>
      <w:r w:rsidRPr="004D5E5D">
        <w:rPr>
          <w:rFonts w:ascii="仿宋" w:eastAsia="仿宋" w:hAnsi="仿宋" w:cs="宋体" w:hint="eastAsia"/>
          <w:kern w:val="0"/>
          <w:sz w:val="24"/>
          <w:szCs w:val="24"/>
        </w:rPr>
        <w:t>或其他非基金管理人及基金托管人所能控制的因素影响业务处理流程时，赎回款项顺延至</w:t>
      </w:r>
      <w:r w:rsidRPr="00700AA2">
        <w:rPr>
          <w:rFonts w:ascii="仿宋" w:eastAsia="仿宋" w:hAnsi="仿宋" w:cs="宋体" w:hint="eastAsia"/>
          <w:kern w:val="0"/>
          <w:sz w:val="24"/>
          <w:szCs w:val="24"/>
        </w:rPr>
        <w:t>前述因素消失后的</w:t>
      </w:r>
      <w:r w:rsidRPr="004D5E5D">
        <w:rPr>
          <w:rFonts w:ascii="仿宋" w:eastAsia="仿宋" w:hAnsi="仿宋" w:cs="宋体" w:hint="eastAsia"/>
          <w:kern w:val="0"/>
          <w:sz w:val="24"/>
          <w:szCs w:val="24"/>
        </w:rPr>
        <w:t>下一个工作日划出。在发生巨额赎回或本基金合同载明的其他暂停赎回或延缓支付赎回款项的情形时，款项的支付办法参照本基金合同有关条款处理。</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3、申购和赎回申请的确认</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基金管理人应以交易时间结束前受理有效申购和赎回申请的当天作为申购或赎回申请日（T日），在正常情况下，本基金登记机构在T+</w:t>
      </w:r>
      <w:r>
        <w:rPr>
          <w:rFonts w:ascii="仿宋" w:eastAsia="仿宋" w:hAnsi="仿宋" w:cs="宋体"/>
          <w:kern w:val="0"/>
          <w:sz w:val="24"/>
          <w:szCs w:val="24"/>
        </w:rPr>
        <w:t>1</w:t>
      </w:r>
      <w:r w:rsidRPr="004D5E5D">
        <w:rPr>
          <w:rFonts w:ascii="仿宋" w:eastAsia="仿宋" w:hAnsi="仿宋" w:cs="宋体" w:hint="eastAsia"/>
          <w:kern w:val="0"/>
          <w:sz w:val="24"/>
          <w:szCs w:val="24"/>
        </w:rPr>
        <w:t>日内对该交易的有效性进行确认。T日提交的有效申请，投资人应在T+</w:t>
      </w:r>
      <w:r>
        <w:rPr>
          <w:rFonts w:ascii="仿宋" w:eastAsia="仿宋" w:hAnsi="仿宋" w:cs="宋体"/>
          <w:kern w:val="0"/>
          <w:sz w:val="24"/>
          <w:szCs w:val="24"/>
        </w:rPr>
        <w:t>2</w:t>
      </w:r>
      <w:r w:rsidRPr="004D5E5D">
        <w:rPr>
          <w:rFonts w:ascii="仿宋" w:eastAsia="仿宋" w:hAnsi="仿宋" w:cs="宋体" w:hint="eastAsia"/>
          <w:kern w:val="0"/>
          <w:sz w:val="24"/>
          <w:szCs w:val="24"/>
        </w:rPr>
        <w:t>日后（包括该日）及时到销售网点柜台或以销售机构规定的其他方式查询申请的确认情况。否则，如因申请未得到基金登记机构的确认而造成的损失，由投资者自行承担。若申购不成立或无效，则申购款项退还给投资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基金销售机构对申购、赎回申请的受理并不代表该申请一定成功，而仅代表销售机构确实接收到申购、赎回申请。申购、赎回的确认以基金登记机构的确认结果为准。对于申请的确认情况，投资人应及时查询并妥善行使合法权利，否则，由此产生的投资人任何损失由投资人自行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00AA2">
        <w:rPr>
          <w:rFonts w:ascii="仿宋" w:eastAsia="仿宋" w:hAnsi="仿宋" w:cs="宋体" w:hint="eastAsia"/>
          <w:kern w:val="0"/>
          <w:sz w:val="24"/>
          <w:szCs w:val="24"/>
        </w:rPr>
        <w:t>基金管理人可在法律法规允许且对基金份额持有人无实质性不利影响的前提下，对上述业务办理时间进行调整。基金管理人必须在新规则开始实施前按照《信息披露办法》的有关规定在规定媒介公告。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六</w:t>
      </w:r>
      <w:r w:rsidRPr="004D5E5D">
        <w:rPr>
          <w:rFonts w:ascii="仿宋" w:eastAsia="仿宋" w:hAnsi="仿宋" w:cs="宋体" w:hint="eastAsia"/>
          <w:b/>
          <w:bCs/>
          <w:kern w:val="0"/>
          <w:sz w:val="24"/>
          <w:szCs w:val="24"/>
        </w:rPr>
        <w:t>、</w:t>
      </w:r>
      <w:r>
        <w:rPr>
          <w:rFonts w:ascii="仿宋" w:eastAsia="仿宋" w:hAnsi="仿宋" w:cs="宋体" w:hint="eastAsia"/>
          <w:b/>
          <w:bCs/>
          <w:kern w:val="0"/>
          <w:sz w:val="24"/>
          <w:szCs w:val="24"/>
        </w:rPr>
        <w:t>申购与赎回的数额限制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、基金管理人可以规定投资人首次申购和每次申购的最低金额以及每次赎回的最低份额。具体规定请参见《招募说明书》或相关公告；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、基金管理人可以规定投资人每个交易账户的最低基金份额余额。具体规定请参见《招募说明书》或相关公告；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、基金管理人可以规定单个投资人累计持有的基金份额上限。具体规定请参见《招募说明书》或相关公告；</w:t>
      </w:r>
    </w:p>
    <w:p w:rsidR="00E45E2B" w:rsidRPr="008B622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8B622D">
        <w:rPr>
          <w:rFonts w:ascii="仿宋" w:eastAsia="仿宋" w:hAnsi="仿宋" w:cs="宋体" w:hint="eastAsia"/>
          <w:kern w:val="0"/>
          <w:sz w:val="24"/>
          <w:szCs w:val="24"/>
        </w:rPr>
        <w:t>基金管理人可以规定单一投资者单日或单笔申购金额上限，具体规定请参见招募说明书或相关公告</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8B622D">
        <w:rPr>
          <w:rFonts w:ascii="仿宋" w:eastAsia="仿宋" w:hAnsi="仿宋" w:cs="宋体" w:hint="eastAsia"/>
          <w:kern w:val="0"/>
          <w:sz w:val="24"/>
          <w:szCs w:val="24"/>
        </w:rPr>
        <w:t>5、基金管理人可以规定本基金的总规模限额、当日申购金额限制和单日净申购比例上限，具体规定请参见招募说明书或相关公告</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w:t>
      </w:r>
      <w:r w:rsidRPr="005E24FF">
        <w:rPr>
          <w:rFonts w:ascii="仿宋" w:eastAsia="仿宋" w:hAnsi="仿宋" w:cs="宋体" w:hint="eastAsia"/>
          <w:kern w:val="0"/>
          <w:sz w:val="24"/>
          <w:szCs w:val="24"/>
        </w:rPr>
        <w:t>规模予以控制。具体见基金管理人相关公告</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、基金管理人可在法律法规允许的情况下，调整上述对申购的金额和赎回的份额的数量限制</w:t>
      </w:r>
      <w:r w:rsidRPr="00C348D0">
        <w:rPr>
          <w:rFonts w:ascii="仿宋" w:eastAsia="仿宋" w:hAnsi="仿宋" w:cs="宋体" w:hint="eastAsia"/>
          <w:kern w:val="0"/>
          <w:sz w:val="24"/>
          <w:szCs w:val="24"/>
        </w:rPr>
        <w:t>，或者新增基金规模的控制措施</w:t>
      </w:r>
      <w:r>
        <w:rPr>
          <w:rFonts w:ascii="仿宋" w:eastAsia="仿宋" w:hAnsi="仿宋" w:cs="宋体" w:hint="eastAsia"/>
          <w:kern w:val="0"/>
          <w:sz w:val="24"/>
          <w:szCs w:val="24"/>
        </w:rPr>
        <w:t>。基金管理人应</w:t>
      </w:r>
      <w:r w:rsidRPr="00C348D0">
        <w:rPr>
          <w:rFonts w:ascii="仿宋" w:eastAsia="仿宋" w:hAnsi="仿宋" w:cs="宋体" w:hint="eastAsia"/>
          <w:kern w:val="0"/>
          <w:sz w:val="24"/>
          <w:szCs w:val="24"/>
        </w:rPr>
        <w:t>在调整实施前</w:t>
      </w:r>
      <w:r>
        <w:rPr>
          <w:rFonts w:ascii="仿宋" w:eastAsia="仿宋" w:hAnsi="仿宋" w:cs="宋体" w:hint="eastAsia"/>
          <w:kern w:val="0"/>
          <w:sz w:val="24"/>
          <w:szCs w:val="24"/>
        </w:rPr>
        <w:t>依照《信息披露办法》的有关规定在规定媒介上公告。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七、申购和赎回的价格、费用及其用途</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88" w:name="OLE_LINK18"/>
      <w:r>
        <w:rPr>
          <w:rFonts w:ascii="仿宋" w:eastAsia="仿宋" w:hAnsi="仿宋" w:cs="宋体"/>
          <w:kern w:val="0"/>
          <w:sz w:val="24"/>
          <w:szCs w:val="24"/>
        </w:rPr>
        <w:t>1</w:t>
      </w:r>
      <w:r>
        <w:rPr>
          <w:rFonts w:ascii="仿宋" w:eastAsia="仿宋" w:hAnsi="仿宋" w:cs="宋体" w:hint="eastAsia"/>
          <w:kern w:val="0"/>
          <w:sz w:val="24"/>
          <w:szCs w:val="24"/>
        </w:rPr>
        <w:t>、本基金</w:t>
      </w:r>
      <w:r w:rsidRPr="008B622D">
        <w:rPr>
          <w:rFonts w:ascii="仿宋" w:eastAsia="仿宋" w:hAnsi="仿宋" w:cs="宋体" w:hint="eastAsia"/>
          <w:kern w:val="0"/>
          <w:sz w:val="24"/>
          <w:szCs w:val="24"/>
        </w:rPr>
        <w:t>基金</w:t>
      </w:r>
      <w:r>
        <w:rPr>
          <w:rFonts w:ascii="仿宋" w:eastAsia="仿宋" w:hAnsi="仿宋" w:cs="宋体" w:hint="eastAsia"/>
          <w:kern w:val="0"/>
          <w:sz w:val="24"/>
          <w:szCs w:val="24"/>
        </w:rPr>
        <w:t>份额净值的计算，保留到小数点后4位，小数点后第5位四舍五入，由此产生的收益或损失由基金财产享有或承担。</w:t>
      </w:r>
      <w:r>
        <w:rPr>
          <w:rFonts w:ascii="仿宋" w:eastAsia="仿宋" w:hAnsi="仿宋" w:cs="宋体"/>
          <w:kern w:val="0"/>
          <w:sz w:val="24"/>
          <w:szCs w:val="24"/>
        </w:rPr>
        <w:t>T</w:t>
      </w:r>
      <w:r>
        <w:rPr>
          <w:rFonts w:ascii="仿宋" w:eastAsia="仿宋" w:hAnsi="仿宋" w:cs="宋体" w:hint="eastAsia"/>
          <w:kern w:val="0"/>
          <w:sz w:val="24"/>
          <w:szCs w:val="24"/>
        </w:rPr>
        <w:t>日的基金份额净值在当天收市后计算，并在</w:t>
      </w:r>
      <w:r>
        <w:rPr>
          <w:rFonts w:ascii="仿宋" w:eastAsia="仿宋" w:hAnsi="仿宋" w:cs="宋体"/>
          <w:kern w:val="0"/>
          <w:sz w:val="24"/>
          <w:szCs w:val="24"/>
        </w:rPr>
        <w:t>T+1</w:t>
      </w:r>
      <w:r>
        <w:rPr>
          <w:rFonts w:ascii="仿宋" w:eastAsia="仿宋" w:hAnsi="仿宋" w:cs="宋体" w:hint="eastAsia"/>
          <w:kern w:val="0"/>
          <w:sz w:val="24"/>
          <w:szCs w:val="24"/>
        </w:rPr>
        <w:t>日内公告。遇特殊情况，经</w:t>
      </w:r>
      <w:r w:rsidRPr="001C5AD2">
        <w:rPr>
          <w:rFonts w:ascii="仿宋" w:eastAsia="仿宋" w:hAnsi="仿宋" w:cs="宋体" w:hint="eastAsia"/>
          <w:kern w:val="0"/>
          <w:sz w:val="24"/>
          <w:szCs w:val="24"/>
        </w:rPr>
        <w:t>履行适当程序</w:t>
      </w:r>
      <w:r>
        <w:rPr>
          <w:rFonts w:ascii="仿宋" w:eastAsia="仿宋" w:hAnsi="仿宋" w:cs="宋体" w:hint="eastAsia"/>
          <w:kern w:val="0"/>
          <w:sz w:val="24"/>
          <w:szCs w:val="24"/>
        </w:rPr>
        <w:t>，可以适当延迟计算或公告。</w:t>
      </w:r>
      <w:bookmarkEnd w:id="8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申购份额的计算及余额的处理方式：本基金申购份额的计算详见招募说明书。本基金的申购费率由基金管理人决定，并在招募说明书及基金产品资料概要中列示。申购的有效份额为净申购金额除以当日基金份额净值，有效份额单位为份，上述计算结果均按四舍五入方法，保留到小数点后2位，由此产生的收益或损失由基金财产享有或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赎回金额的计算及处理方式：本基金赎回金额的计算详见招募说明书。本基金的赎回费率由基金管理人决定，并在招募说明书及基金产品资料概要中列示。赎回金额为按实际确认的有效赎回份额乘以当日基金份额净值并扣除相应的费用，赎回金额单位为元。上述计算结果均按四舍五入方法，保留到小数点后2位，由此产生的收益或损失由基金财产享有或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 xml:space="preserve">4、本基金的申购费用由投资人承担，不列入基金财产，主要用于本基金的市场推广、销售、登记等各项费用。 </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kern w:val="0"/>
          <w:sz w:val="24"/>
          <w:szCs w:val="24"/>
        </w:rPr>
        <w:t>赎回费用由赎回基金份额的基金份额持有人承担，</w:t>
      </w:r>
      <w:r>
        <w:rPr>
          <w:rFonts w:ascii="仿宋" w:eastAsia="仿宋" w:hAnsi="仿宋" w:cs="宋体" w:hint="eastAsia"/>
          <w:kern w:val="0"/>
          <w:sz w:val="24"/>
          <w:szCs w:val="24"/>
        </w:rPr>
        <w:t>在基金份额持有人赎回基金份额时收取，赎回费用归入基金财产的比例依照相关法律法规设定，具体见招募说明书的规定</w:t>
      </w:r>
      <w:r>
        <w:rPr>
          <w:rFonts w:ascii="仿宋" w:eastAsia="仿宋" w:hAnsi="仿宋" w:cs="宋体"/>
          <w:kern w:val="0"/>
          <w:sz w:val="24"/>
          <w:szCs w:val="24"/>
        </w:rPr>
        <w:t>，</w:t>
      </w:r>
      <w:r>
        <w:rPr>
          <w:rFonts w:ascii="仿宋" w:eastAsia="仿宋" w:hAnsi="仿宋" w:cs="宋体" w:hint="eastAsia"/>
          <w:kern w:val="0"/>
          <w:sz w:val="24"/>
          <w:szCs w:val="24"/>
        </w:rPr>
        <w:t>未归入</w:t>
      </w:r>
      <w:r w:rsidRPr="001771E5">
        <w:rPr>
          <w:rFonts w:ascii="仿宋" w:eastAsia="仿宋" w:hAnsi="仿宋" w:cs="宋体" w:hint="eastAsia"/>
          <w:kern w:val="0"/>
          <w:sz w:val="24"/>
          <w:szCs w:val="24"/>
        </w:rPr>
        <w:t>基金财产的</w:t>
      </w:r>
      <w:r>
        <w:rPr>
          <w:rFonts w:ascii="仿宋" w:eastAsia="仿宋" w:hAnsi="仿宋" w:cs="宋体" w:hint="eastAsia"/>
          <w:kern w:val="0"/>
          <w:sz w:val="24"/>
          <w:szCs w:val="24"/>
        </w:rPr>
        <w:t>部分</w:t>
      </w:r>
      <w:r>
        <w:rPr>
          <w:rFonts w:ascii="仿宋" w:eastAsia="仿宋" w:hAnsi="仿宋" w:cs="宋体"/>
          <w:kern w:val="0"/>
          <w:sz w:val="24"/>
          <w:szCs w:val="24"/>
        </w:rPr>
        <w:t>用于支付登记费和其他必要的手续费。</w:t>
      </w:r>
      <w:r w:rsidRPr="00154B87">
        <w:rPr>
          <w:rFonts w:ascii="仿宋" w:eastAsia="仿宋" w:hAnsi="仿宋" w:cs="宋体" w:hint="eastAsia"/>
          <w:kern w:val="0"/>
          <w:sz w:val="24"/>
          <w:szCs w:val="24"/>
        </w:rPr>
        <w:t>其中，对持续持有期少于7日的投资者收取不低于1.5%的赎回费，并全额计入基金财产。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w:t>
      </w:r>
      <w:r>
        <w:rPr>
          <w:rFonts w:ascii="仿宋" w:eastAsia="仿宋" w:hAnsi="仿宋" w:cs="宋体"/>
          <w:kern w:val="0"/>
          <w:sz w:val="24"/>
          <w:szCs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7、当本基金发生大额申购或赎回情形时，基金管理人可采用摆动定价机制，以确保基金估值的公平性，</w:t>
      </w:r>
      <w:r w:rsidRPr="00915B9B">
        <w:rPr>
          <w:rFonts w:ascii="仿宋" w:eastAsia="仿宋" w:hAnsi="仿宋" w:cs="宋体" w:hint="eastAsia"/>
          <w:kern w:val="0"/>
          <w:sz w:val="24"/>
          <w:szCs w:val="24"/>
        </w:rPr>
        <w:t>并履行相关信息披露义务。</w:t>
      </w:r>
      <w:r>
        <w:rPr>
          <w:rFonts w:ascii="仿宋" w:eastAsia="仿宋" w:hAnsi="仿宋" w:cs="宋体" w:hint="eastAsia"/>
          <w:kern w:val="0"/>
          <w:sz w:val="24"/>
          <w:szCs w:val="24"/>
        </w:rPr>
        <w:t>摆动定价机制的具体处理原则与操作规范</w:t>
      </w:r>
      <w:r w:rsidRPr="00F41C8F">
        <w:rPr>
          <w:rFonts w:ascii="仿宋" w:eastAsia="仿宋" w:hAnsi="仿宋" w:cs="宋体" w:hint="eastAsia"/>
          <w:kern w:val="0"/>
          <w:sz w:val="24"/>
          <w:szCs w:val="24"/>
        </w:rPr>
        <w:t>遵循相关</w:t>
      </w:r>
      <w:r>
        <w:rPr>
          <w:rFonts w:ascii="仿宋" w:eastAsia="仿宋" w:hAnsi="仿宋" w:cs="宋体" w:hint="eastAsia"/>
          <w:kern w:val="0"/>
          <w:sz w:val="24"/>
          <w:szCs w:val="24"/>
        </w:rPr>
        <w:t>法律法规</w:t>
      </w:r>
      <w:r w:rsidRPr="00F41C8F">
        <w:rPr>
          <w:rFonts w:ascii="仿宋" w:eastAsia="仿宋" w:hAnsi="仿宋" w:cs="宋体" w:hint="eastAsia"/>
          <w:kern w:val="0"/>
          <w:sz w:val="24"/>
          <w:szCs w:val="24"/>
        </w:rPr>
        <w:t>以及监管部门、</w:t>
      </w:r>
      <w:r>
        <w:rPr>
          <w:rFonts w:ascii="仿宋" w:eastAsia="仿宋" w:hAnsi="仿宋" w:cs="宋体" w:hint="eastAsia"/>
          <w:kern w:val="0"/>
          <w:sz w:val="24"/>
          <w:szCs w:val="24"/>
        </w:rPr>
        <w:t>自律组织的规定，具体见基金管理人届时发布的相关公告。</w:t>
      </w:r>
    </w:p>
    <w:p w:rsidR="00E45E2B" w:rsidRDefault="00E45E2B" w:rsidP="00E45E2B">
      <w:pPr>
        <w:shd w:val="clear" w:color="auto" w:fill="FFFFFF"/>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8、基金管理人</w:t>
      </w:r>
      <w:r w:rsidRPr="00DC2360">
        <w:rPr>
          <w:rFonts w:ascii="仿宋" w:eastAsia="仿宋" w:hAnsi="仿宋" w:cs="宋体" w:hint="eastAsia"/>
          <w:kern w:val="0"/>
          <w:sz w:val="24"/>
          <w:szCs w:val="24"/>
        </w:rPr>
        <w:t>及本基金销售机构</w:t>
      </w:r>
      <w:r>
        <w:rPr>
          <w:rFonts w:ascii="仿宋" w:eastAsia="仿宋" w:hAnsi="仿宋" w:cs="宋体" w:hint="eastAsia"/>
          <w:kern w:val="0"/>
          <w:sz w:val="24"/>
          <w:szCs w:val="24"/>
        </w:rPr>
        <w:t>可以在不违反法律法规规定及基金合同约定</w:t>
      </w:r>
      <w:r w:rsidRPr="00F41C8F">
        <w:rPr>
          <w:rFonts w:ascii="仿宋" w:eastAsia="仿宋" w:hAnsi="仿宋" w:cs="宋体" w:hint="eastAsia"/>
          <w:kern w:val="0"/>
          <w:sz w:val="24"/>
          <w:szCs w:val="24"/>
        </w:rPr>
        <w:t>且对基金份额持有人利益无实质性不利影响</w:t>
      </w:r>
      <w:r>
        <w:rPr>
          <w:rFonts w:ascii="仿宋" w:eastAsia="仿宋" w:hAnsi="仿宋" w:cs="宋体" w:hint="eastAsia"/>
          <w:kern w:val="0"/>
          <w:sz w:val="24"/>
          <w:szCs w:val="24"/>
        </w:rPr>
        <w:t>的情形下根据市场情况制定基金促销计划，针对投资人定期或不定期地开展基金促销活动。在基金促销活动期间，按相关监管部门要求履行必要手续后</w:t>
      </w:r>
      <w:r w:rsidRPr="00F41C8F">
        <w:rPr>
          <w:rFonts w:ascii="仿宋" w:eastAsia="仿宋" w:hAnsi="仿宋" w:cs="宋体" w:hint="eastAsia"/>
          <w:kern w:val="0"/>
          <w:sz w:val="24"/>
          <w:szCs w:val="24"/>
        </w:rPr>
        <w:t>（如需）</w:t>
      </w:r>
      <w:r>
        <w:rPr>
          <w:rFonts w:ascii="仿宋" w:eastAsia="仿宋" w:hAnsi="仿宋" w:cs="宋体" w:hint="eastAsia"/>
          <w:kern w:val="0"/>
          <w:sz w:val="24"/>
          <w:szCs w:val="24"/>
        </w:rPr>
        <w:t>，基金管理人</w:t>
      </w:r>
      <w:r w:rsidRPr="00F41C8F">
        <w:rPr>
          <w:rFonts w:ascii="仿宋" w:eastAsia="仿宋" w:hAnsi="仿宋" w:cs="宋体" w:hint="eastAsia"/>
          <w:kern w:val="0"/>
          <w:sz w:val="24"/>
          <w:szCs w:val="24"/>
        </w:rPr>
        <w:t>及</w:t>
      </w:r>
      <w:r>
        <w:rPr>
          <w:rFonts w:ascii="仿宋" w:eastAsia="仿宋" w:hAnsi="仿宋" w:cs="宋体" w:hint="eastAsia"/>
          <w:kern w:val="0"/>
          <w:sz w:val="24"/>
          <w:szCs w:val="24"/>
        </w:rPr>
        <w:t>本基金</w:t>
      </w:r>
      <w:r w:rsidRPr="00F41C8F">
        <w:rPr>
          <w:rFonts w:ascii="仿宋" w:eastAsia="仿宋" w:hAnsi="仿宋" w:cs="宋体" w:hint="eastAsia"/>
          <w:kern w:val="0"/>
          <w:sz w:val="24"/>
          <w:szCs w:val="24"/>
        </w:rPr>
        <w:t>销售机构</w:t>
      </w:r>
      <w:r>
        <w:rPr>
          <w:rFonts w:ascii="仿宋" w:eastAsia="仿宋" w:hAnsi="仿宋" w:cs="宋体" w:hint="eastAsia"/>
          <w:kern w:val="0"/>
          <w:sz w:val="24"/>
          <w:szCs w:val="24"/>
        </w:rPr>
        <w:t>可以适当</w:t>
      </w:r>
      <w:r w:rsidRPr="00F41C8F">
        <w:rPr>
          <w:rFonts w:ascii="仿宋" w:eastAsia="仿宋" w:hAnsi="仿宋" w:cs="宋体" w:hint="eastAsia"/>
          <w:kern w:val="0"/>
          <w:sz w:val="24"/>
          <w:szCs w:val="24"/>
        </w:rPr>
        <w:t>开展本基金</w:t>
      </w:r>
      <w:r w:rsidRPr="0076625F">
        <w:rPr>
          <w:rFonts w:ascii="仿宋" w:eastAsia="仿宋" w:hAnsi="仿宋" w:cs="宋体" w:hint="eastAsia"/>
          <w:kern w:val="0"/>
          <w:sz w:val="24"/>
          <w:szCs w:val="24"/>
        </w:rPr>
        <w:t>销售费率</w:t>
      </w:r>
      <w:r w:rsidRPr="00F41C8F">
        <w:rPr>
          <w:rFonts w:ascii="仿宋" w:eastAsia="仿宋" w:hAnsi="仿宋" w:cs="宋体" w:hint="eastAsia"/>
          <w:kern w:val="0"/>
          <w:sz w:val="24"/>
          <w:szCs w:val="24"/>
        </w:rPr>
        <w:t>的优惠活动</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八、拒绝或暂停申购的情形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B2515A">
        <w:rPr>
          <w:rFonts w:ascii="仿宋" w:eastAsia="仿宋" w:hAnsi="仿宋" w:cs="宋体" w:hint="eastAsia"/>
          <w:kern w:val="0"/>
          <w:sz w:val="24"/>
          <w:szCs w:val="24"/>
        </w:rPr>
        <w:t>发生下列情况时，基金管理人可拒绝或暂停接受投资人的申购申请</w:t>
      </w:r>
      <w:r>
        <w:rPr>
          <w:rFonts w:ascii="仿宋" w:eastAsia="仿宋" w:hAnsi="仿宋" w:cs="宋体" w:hint="eastAsia"/>
          <w:kern w:val="0"/>
          <w:sz w:val="24"/>
          <w:szCs w:val="24"/>
        </w:rPr>
        <w:t>：</w:t>
      </w:r>
    </w:p>
    <w:p w:rsidR="00E45E2B" w:rsidRDefault="00E45E2B" w:rsidP="00E45E2B">
      <w:pPr>
        <w:pStyle w:val="-11"/>
        <w:autoSpaceDE w:val="0"/>
        <w:autoSpaceDN w:val="0"/>
        <w:adjustRightInd w:val="0"/>
        <w:spacing w:line="360" w:lineRule="auto"/>
        <w:ind w:left="42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1、因不可抗力导致基金无法正常运作；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2、发生基金合同规定的暂停基金资产估值情况时</w:t>
      </w:r>
      <w:r w:rsidRPr="00B2515A">
        <w:rPr>
          <w:rFonts w:ascii="仿宋" w:eastAsia="仿宋" w:hAnsi="仿宋" w:cs="宋体" w:hint="eastAsia"/>
          <w:kern w:val="0"/>
          <w:sz w:val="24"/>
          <w:szCs w:val="24"/>
        </w:rPr>
        <w:t>，基金管理人可暂停或拒绝接受投资人的申购申请</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3、证券、期货交易场所在交易时间非正常停市，导致</w:t>
      </w:r>
      <w:r w:rsidRPr="00B2515A">
        <w:rPr>
          <w:rFonts w:ascii="仿宋" w:eastAsia="仿宋" w:hAnsi="仿宋" w:cs="宋体" w:hint="eastAsia"/>
          <w:kern w:val="0"/>
          <w:sz w:val="24"/>
          <w:szCs w:val="24"/>
        </w:rPr>
        <w:t>基金管理人无法计算</w:t>
      </w:r>
      <w:r>
        <w:rPr>
          <w:rFonts w:ascii="仿宋" w:eastAsia="仿宋" w:hAnsi="仿宋" w:cs="宋体" w:hint="eastAsia"/>
          <w:kern w:val="0"/>
          <w:sz w:val="24"/>
          <w:szCs w:val="24"/>
        </w:rPr>
        <w:t>当日基金资产净值；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89" w:name="_Hlt70481650"/>
      <w:bookmarkEnd w:id="89"/>
      <w:r>
        <w:rPr>
          <w:rFonts w:ascii="仿宋" w:eastAsia="仿宋" w:hAnsi="仿宋" w:cs="宋体" w:hint="eastAsia"/>
          <w:kern w:val="0"/>
          <w:sz w:val="24"/>
          <w:szCs w:val="24"/>
        </w:rPr>
        <w:t>4、接受某笔或某些申购申请可能会影响或损害现有基金份额持有人利益时；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5、基金资产规模过大，使基金管理人无法找到合适的投资品种，或其他可能对基金业绩产生负面影响，或发生其他损害现有基金份额持有人的利益的情形；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w:t>
      </w:r>
      <w:r w:rsidRPr="009E3520">
        <w:rPr>
          <w:rFonts w:ascii="仿宋" w:eastAsia="仿宋" w:hAnsi="仿宋" w:cs="宋体" w:hint="eastAsia"/>
          <w:kern w:val="0"/>
          <w:sz w:val="24"/>
          <w:szCs w:val="24"/>
        </w:rPr>
        <w:t>当前一估值日基金资产净值50%以上的资产出现无可参考的活跃市场价格且采用估值技术仍导致公允价值存在重大不确定性时，经与基金托管人协商确认后，基金管理人应当暂停接受基金申购申请</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、基金管理人、基金托管人、基金销售机构或登记机构因技术故障或异常情况导致基金销售系统或基金登记系统或基金会计系统无法正常运行；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、基金管理人接受某笔或者某些申购申请有可能导致单一投资者持有基金份额的比例达到或者超过50%，或者变相规避50%集中度的情形时，基金管理人有权对该等申购申请进行部分确认或拒绝接受该等申购申请；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hint="eastAsia"/>
          <w:kern w:val="0"/>
          <w:sz w:val="24"/>
          <w:szCs w:val="24"/>
        </w:rPr>
        <w:t>、</w:t>
      </w:r>
      <w:r w:rsidRPr="00BC6724">
        <w:rPr>
          <w:rFonts w:ascii="仿宋" w:eastAsia="仿宋" w:hAnsi="仿宋" w:cs="宋体" w:hint="eastAsia"/>
          <w:kern w:val="0"/>
          <w:sz w:val="24"/>
          <w:szCs w:val="24"/>
        </w:rPr>
        <w:t>基金管理人接受某笔或者某些申购申请有可能导致超过基金管理人设定的基金总规模、单日净申购比例上限、单一投资人单日</w:t>
      </w:r>
      <w:r>
        <w:rPr>
          <w:rFonts w:ascii="仿宋" w:eastAsia="仿宋" w:hAnsi="仿宋" w:cs="宋体" w:hint="eastAsia"/>
          <w:kern w:val="0"/>
          <w:sz w:val="24"/>
          <w:szCs w:val="24"/>
        </w:rPr>
        <w:t>或单笔</w:t>
      </w:r>
      <w:r w:rsidRPr="00BC6724">
        <w:rPr>
          <w:rFonts w:ascii="仿宋" w:eastAsia="仿宋" w:hAnsi="仿宋" w:cs="宋体" w:hint="eastAsia"/>
          <w:kern w:val="0"/>
          <w:sz w:val="24"/>
          <w:szCs w:val="24"/>
        </w:rPr>
        <w:t>申购金额上限，基金管理人有权对该等申购申请进行部分确认或拒绝接受该等申购申请</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w:t>
      </w:r>
      <w:r w:rsidRPr="00BC6724">
        <w:rPr>
          <w:rFonts w:ascii="仿宋" w:eastAsia="仿宋" w:hAnsi="仿宋" w:cs="宋体" w:hint="eastAsia"/>
          <w:kern w:val="0"/>
          <w:sz w:val="24"/>
          <w:szCs w:val="24"/>
        </w:rPr>
        <w:t>基金参与港股通交易且港股通交易每日额度不足，或者发生证券交易服务公司等机构认定的交易异常情况并决定暂停提供部分或者全部港股通服务，或者发生其他影响通过内地与香港股票市场交易互联互通机制进行正常交易的情形</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hint="eastAsia"/>
          <w:kern w:val="0"/>
          <w:sz w:val="24"/>
          <w:szCs w:val="24"/>
        </w:rPr>
        <w:t>、法律法规规定或中国证监会认定的其他可暂停申购的情形。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发生上述第1、2、3、5、6、</w:t>
      </w:r>
      <w:r>
        <w:rPr>
          <w:rFonts w:ascii="仿宋" w:eastAsia="仿宋" w:hAnsi="仿宋" w:cs="宋体"/>
          <w:kern w:val="0"/>
          <w:sz w:val="24"/>
          <w:szCs w:val="24"/>
        </w:rPr>
        <w:t>7</w:t>
      </w: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项暂停申购情形之一且基金管理人决定暂停接受投资人申购申请时，基金管理人应当根据有关规定在规定媒介上刊登暂停申购公告。</w:t>
      </w:r>
      <w:r>
        <w:rPr>
          <w:rFonts w:ascii="仿宋" w:eastAsia="仿宋" w:hAnsi="仿宋" w:cs="宋体"/>
          <w:kern w:val="0"/>
          <w:sz w:val="24"/>
          <w:szCs w:val="24"/>
        </w:rPr>
        <w:t>如果投资人的申购申请被全部或部分拒绝的，被拒绝的申购款项将退还给投资人。</w:t>
      </w:r>
      <w:r>
        <w:rPr>
          <w:rFonts w:ascii="仿宋" w:eastAsia="仿宋" w:hAnsi="仿宋" w:cs="宋体" w:hint="eastAsia"/>
          <w:kern w:val="0"/>
          <w:sz w:val="24"/>
          <w:szCs w:val="24"/>
        </w:rPr>
        <w:t>在暂停申购的情况消除时，基金管理人应及时恢复申购业务的办理。</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九、暂停赎回或者延缓支付赎回款项的情形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C823B7">
        <w:rPr>
          <w:rFonts w:ascii="仿宋" w:eastAsia="仿宋" w:hAnsi="仿宋" w:cs="宋体" w:hint="eastAsia"/>
          <w:kern w:val="0"/>
          <w:sz w:val="24"/>
          <w:szCs w:val="24"/>
        </w:rPr>
        <w:t>发生下列</w:t>
      </w:r>
      <w:r>
        <w:rPr>
          <w:rFonts w:ascii="仿宋" w:eastAsia="仿宋" w:hAnsi="仿宋" w:cs="宋体" w:hint="eastAsia"/>
          <w:kern w:val="0"/>
          <w:sz w:val="24"/>
          <w:szCs w:val="24"/>
        </w:rPr>
        <w:t>情形时，基金管理人可以暂停接受投资人的赎回申请或延缓支付赎回款项：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1、因不可抗力导致基金管理人不能支付赎回款项；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2、发生基金合同规定的暂停基金资产估值情况时</w:t>
      </w:r>
      <w:r w:rsidRPr="004824CD">
        <w:rPr>
          <w:rFonts w:ascii="仿宋" w:eastAsia="仿宋" w:hAnsi="仿宋" w:cs="宋体" w:hint="eastAsia"/>
          <w:kern w:val="0"/>
          <w:sz w:val="24"/>
          <w:szCs w:val="24"/>
        </w:rPr>
        <w:t>，基金管理人可暂停接受投资人的赎回申请或延缓支付赎回款项</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3、证券、期货交易场所交易时间非正常停市，导致基金管理人无法计算当日基金资产</w:t>
      </w:r>
      <w:bookmarkStart w:id="90" w:name="_Hlt152500890"/>
      <w:r>
        <w:rPr>
          <w:rFonts w:ascii="仿宋" w:eastAsia="仿宋" w:hAnsi="仿宋" w:cs="宋体" w:hint="eastAsia"/>
          <w:kern w:val="0"/>
          <w:sz w:val="24"/>
          <w:szCs w:val="24"/>
        </w:rPr>
        <w:t>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4824CD">
        <w:rPr>
          <w:rFonts w:ascii="仿宋" w:eastAsia="仿宋" w:hAnsi="仿宋" w:cs="宋体" w:hint="eastAsia"/>
          <w:kern w:val="0"/>
          <w:sz w:val="24"/>
          <w:szCs w:val="24"/>
        </w:rPr>
        <w:t>连续两个或两个以上开放日发生巨额赎回</w:t>
      </w:r>
      <w:r>
        <w:rPr>
          <w:rFonts w:ascii="仿宋" w:eastAsia="仿宋" w:hAnsi="仿宋" w:cs="宋体" w:hint="eastAsia"/>
          <w:kern w:val="0"/>
          <w:sz w:val="24"/>
          <w:szCs w:val="24"/>
        </w:rPr>
        <w:t>；</w:t>
      </w:r>
    </w:p>
    <w:bookmarkEnd w:id="90"/>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、发生继续接受赎回申请将损害现有基金份额持有人利益的情形时，基金管理人可暂停接受基金份额持有人的赎回申请；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当前一估值日基金资产净值50%以上的资产出现无可参考的活跃市场价格且采用估值技术仍导致公允价值存在重大不确定性时，经与基金托管人协商确认后，基金管理人应延缓支付赎回款项或暂停接受基金赎回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、法律法规规定或中国证监会认定的其他情形。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824CD">
        <w:rPr>
          <w:rFonts w:ascii="仿宋" w:eastAsia="仿宋" w:hAnsi="仿宋" w:cs="宋体" w:hint="eastAsia"/>
          <w:kern w:val="0"/>
          <w:sz w:val="24"/>
          <w:szCs w:val="24"/>
        </w:rPr>
        <w:t>发生上述情形之一且基金管理人决定暂停接受赎回申请或延缓支付赎回款项时，基金管理人应在当日报中国证监会备案，并根据有关规定在规定媒介上刊登暂停赎回公告。已确认的赎回申请，基金管理人应足额支付；如暂时不能足额支付，应将可支付部分按单个账户申请量占申请总量的比例分配给赎回申请人，未支付部分可延缓支付。若出现上述第4项所述情形，按基金合同的相关条款处理。基金份额持有人在申请赎回时可事先选择将当日可能未获受理部分予以撤销。在暂停赎回的情况消除时，基金管理人应及时恢复赎回业务的办理，并依照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十、巨额赎回的情形及处理方式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、巨额赎回的认定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若本基金单个开放日内的基金份额净赎回申请（赎回申请份额总数加上基金转换中转出申请份额总数后扣除申购申请份额总数及基金转换中转入申请份额总数后的余额）超过上一工作日基金总份额的</w:t>
      </w:r>
      <w:r>
        <w:rPr>
          <w:rFonts w:ascii="仿宋" w:eastAsia="仿宋" w:hAnsi="仿宋" w:cs="宋体"/>
          <w:kern w:val="0"/>
          <w:sz w:val="24"/>
          <w:szCs w:val="24"/>
        </w:rPr>
        <w:t>1</w:t>
      </w:r>
      <w:r>
        <w:rPr>
          <w:rFonts w:ascii="仿宋" w:eastAsia="仿宋" w:hAnsi="仿宋" w:cs="宋体" w:hint="eastAsia"/>
          <w:kern w:val="0"/>
          <w:sz w:val="24"/>
          <w:szCs w:val="24"/>
        </w:rPr>
        <w:t>0</w:t>
      </w:r>
      <w:r>
        <w:rPr>
          <w:rFonts w:ascii="仿宋" w:eastAsia="仿宋" w:hAnsi="仿宋" w:cs="宋体"/>
          <w:kern w:val="0"/>
          <w:sz w:val="24"/>
          <w:szCs w:val="24"/>
        </w:rPr>
        <w:t>%</w:t>
      </w:r>
      <w:r>
        <w:rPr>
          <w:rFonts w:ascii="仿宋" w:eastAsia="仿宋" w:hAnsi="仿宋" w:cs="宋体" w:hint="eastAsia"/>
          <w:kern w:val="0"/>
          <w:sz w:val="24"/>
          <w:szCs w:val="24"/>
        </w:rPr>
        <w:t>时，即认为是发生了巨额赎回。</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、巨额赎回的处理方式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当基金出现巨额赎回时，基金管理人可以根据基金当时的资产组合状况决定全额赎回</w:t>
      </w:r>
      <w:r w:rsidRPr="002F6CB3">
        <w:rPr>
          <w:rFonts w:ascii="仿宋" w:eastAsia="仿宋" w:hAnsi="仿宋" w:cs="宋体" w:hint="eastAsia"/>
          <w:kern w:val="0"/>
          <w:sz w:val="24"/>
          <w:szCs w:val="24"/>
        </w:rPr>
        <w:t>、延缓支付赎回款项</w:t>
      </w:r>
      <w:r>
        <w:rPr>
          <w:rFonts w:ascii="仿宋" w:eastAsia="仿宋" w:hAnsi="仿宋" w:cs="宋体" w:hint="eastAsia"/>
          <w:kern w:val="0"/>
          <w:sz w:val="24"/>
          <w:szCs w:val="24"/>
        </w:rPr>
        <w:t>、部分延期赎回或暂停赎回。</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）全额赎回：当基金管理人认为有能力支付投资人的全部赎回申请时，按正常赎回程序执行。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91" w:name="OLE_LINK19"/>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rFonts w:ascii="仿宋" w:eastAsia="仿宋" w:hAnsi="仿宋" w:cs="宋体"/>
          <w:kern w:val="0"/>
          <w:sz w:val="24"/>
          <w:szCs w:val="24"/>
        </w:rPr>
        <w:t>1</w:t>
      </w:r>
      <w:r>
        <w:rPr>
          <w:rFonts w:ascii="仿宋" w:eastAsia="仿宋" w:hAnsi="仿宋" w:cs="宋体" w:hint="eastAsia"/>
          <w:kern w:val="0"/>
          <w:sz w:val="24"/>
          <w:szCs w:val="24"/>
        </w:rPr>
        <w:t>0%的前提下，可对其余赎回申请延期办理。对于当日的赎回申请，应当按单个账户赎回申请量占赎回申请总量的比例，确定当日受理的赎回份额；对于未能赎回部分，投资人在提交赎回申请时可以选择延期赎回或取消赎回，</w:t>
      </w:r>
      <w:r w:rsidRPr="009878CA">
        <w:rPr>
          <w:rFonts w:ascii="仿宋" w:eastAsia="仿宋" w:hAnsi="仿宋" w:cs="宋体" w:hint="eastAsia"/>
          <w:kern w:val="0"/>
          <w:sz w:val="24"/>
          <w:szCs w:val="24"/>
        </w:rPr>
        <w:t>如投资人在提交赎回申请时未作明确选择，默认采用延期赎回或取消赎回以各销售机构的具体规定为准。</w:t>
      </w:r>
      <w:r>
        <w:rPr>
          <w:rFonts w:ascii="仿宋" w:eastAsia="仿宋" w:hAnsi="仿宋" w:cs="宋体" w:hint="eastAsia"/>
          <w:kern w:val="0"/>
          <w:sz w:val="24"/>
          <w:szCs w:val="24"/>
        </w:rPr>
        <w:t>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92" w:name="OLE_LINK20"/>
      <w:bookmarkEnd w:id="91"/>
      <w:r>
        <w:rPr>
          <w:rFonts w:ascii="仿宋" w:eastAsia="仿宋" w:hAnsi="仿宋" w:cs="宋体" w:hint="eastAsia"/>
          <w:bCs/>
          <w:kern w:val="0"/>
          <w:sz w:val="24"/>
          <w:szCs w:val="24"/>
        </w:rPr>
        <w:t>（</w:t>
      </w:r>
      <w:r>
        <w:rPr>
          <w:rFonts w:ascii="仿宋" w:eastAsia="仿宋" w:hAnsi="仿宋" w:cs="宋体"/>
          <w:bCs/>
          <w:kern w:val="0"/>
          <w:sz w:val="24"/>
          <w:szCs w:val="24"/>
        </w:rPr>
        <w:t>3</w:t>
      </w:r>
      <w:r>
        <w:rPr>
          <w:rFonts w:ascii="仿宋" w:eastAsia="仿宋" w:hAnsi="仿宋" w:cs="宋体" w:hint="eastAsia"/>
          <w:bCs/>
          <w:kern w:val="0"/>
          <w:sz w:val="24"/>
          <w:szCs w:val="24"/>
        </w:rPr>
        <w:t>）</w:t>
      </w:r>
      <w:r w:rsidRPr="00544C43">
        <w:rPr>
          <w:rFonts w:ascii="仿宋" w:eastAsia="仿宋" w:hAnsi="仿宋" w:cs="宋体" w:hint="eastAsia"/>
          <w:bCs/>
          <w:kern w:val="0"/>
          <w:sz w:val="24"/>
          <w:szCs w:val="24"/>
        </w:rPr>
        <w:t>发生巨额赎回，且单个基金份额持有人赎回申请超过上一工作日基金总份额30%的情形下，对单个基金份额持有人超过上一工作日基金总份额30%的赎回申请，基金管理人可以延期办理赎回。对</w:t>
      </w:r>
      <w:r>
        <w:rPr>
          <w:rFonts w:ascii="仿宋" w:eastAsia="仿宋" w:hAnsi="仿宋" w:cs="宋体" w:hint="eastAsia"/>
          <w:bCs/>
          <w:kern w:val="0"/>
          <w:sz w:val="24"/>
          <w:szCs w:val="24"/>
        </w:rPr>
        <w:t>该</w:t>
      </w:r>
      <w:r w:rsidRPr="00544C43">
        <w:rPr>
          <w:rFonts w:ascii="仿宋" w:eastAsia="仿宋" w:hAnsi="仿宋" w:cs="宋体" w:hint="eastAsia"/>
          <w:bCs/>
          <w:kern w:val="0"/>
          <w:sz w:val="24"/>
          <w:szCs w:val="24"/>
        </w:rPr>
        <w:t>单个基金份额持有人30%以内（含30%）的赎回申请按普通基金份额持有人（即其他赎回申请未超过上一工作日基金总份额30%的基金份额持有人）赎回程序（包括巨额赎回）办理。对于未能赎回部分，该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ascii="仿宋" w:eastAsia="仿宋" w:hAnsi="仿宋" w:cs="宋体" w:hint="eastAsia"/>
          <w:bCs/>
          <w:kern w:val="0"/>
          <w:sz w:val="24"/>
          <w:szCs w:val="24"/>
        </w:rPr>
        <w:t>基金份额净值为基础计算赎回金额，以此类推，直到全部赎回为止</w:t>
      </w:r>
      <w:bookmarkEnd w:id="92"/>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44C43">
        <w:rPr>
          <w:rFonts w:ascii="仿宋" w:eastAsia="仿宋" w:hAnsi="仿宋" w:cs="宋体" w:hint="eastAsia"/>
          <w:kern w:val="0"/>
          <w:sz w:val="24"/>
          <w:szCs w:val="24"/>
        </w:rPr>
        <w:t>基金管理人在履行适当程序后，有权根据当时市场环境调整前述比例及处理规则，并在规定媒介上进行公告。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544C43">
        <w:rPr>
          <w:rFonts w:ascii="仿宋" w:eastAsia="仿宋" w:hAnsi="仿宋" w:cs="宋体" w:hint="eastAsia"/>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bCs/>
          <w:kern w:val="0"/>
          <w:sz w:val="24"/>
          <w:szCs w:val="24"/>
        </w:rPr>
        <w:t>3</w:t>
      </w:r>
      <w:r>
        <w:rPr>
          <w:rFonts w:ascii="仿宋" w:eastAsia="仿宋" w:hAnsi="仿宋" w:cs="宋体" w:hint="eastAsia"/>
          <w:kern w:val="0"/>
          <w:sz w:val="24"/>
          <w:szCs w:val="24"/>
        </w:rPr>
        <w:t>、巨额赎回的公告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6E31BF">
        <w:rPr>
          <w:rFonts w:ascii="仿宋" w:eastAsia="仿宋" w:hAnsi="仿宋" w:cs="宋体" w:hint="eastAsia"/>
          <w:kern w:val="0"/>
          <w:sz w:val="24"/>
          <w:szCs w:val="24"/>
        </w:rPr>
        <w:t>当发生上述巨额赎回并采取相关措施时，基金管理人应当通过邮寄、传真或者招募说明书规定的其他方式在3个交易日内通知基金份额持有人，说明有关处理方法，并在两日内在规定媒介上刊登公告。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十一、暂停申购或赎回的公告和重新开放申购或赎回的公告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1、发生上述暂停申购或赎回情况的，基金管理人应在规定期限内在规定媒介上刊登暂停公告。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2、基金管理人应于恢复开放申购或赎回日前，在规定媒介上刊登基金恢复开放申购或赎回公告，并公布最近</w:t>
      </w:r>
      <w:r>
        <w:rPr>
          <w:rFonts w:ascii="仿宋" w:eastAsia="仿宋" w:hAnsi="仿宋" w:cs="宋体"/>
          <w:kern w:val="0"/>
          <w:sz w:val="24"/>
          <w:szCs w:val="24"/>
        </w:rPr>
        <w:t>1</w:t>
      </w:r>
      <w:r>
        <w:rPr>
          <w:rFonts w:ascii="仿宋" w:eastAsia="仿宋" w:hAnsi="仿宋" w:cs="宋体" w:hint="eastAsia"/>
          <w:kern w:val="0"/>
          <w:sz w:val="24"/>
          <w:szCs w:val="24"/>
        </w:rPr>
        <w:t>个工作日的基金份额净值。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十二、基金的转换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十三、基金份额的转让</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在法律法规允许且条件具备的情况下，基金管理人可受理基金份额持有人通过中国证监会认可的交易场所或者交易方式进行份额转让的申请并由基金登记机构办理基金份额的过户登记。基金管理人拟受理基金份额转让业务的，将提前公告，基金份额持有人应根据基金管理人公告的业务规则办理基金份额转让业务。</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十四、基金的非交易过户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基金的非交易过户是指基金登记机构受理</w:t>
      </w:r>
      <w:r w:rsidRPr="00AA47BA">
        <w:rPr>
          <w:rFonts w:ascii="仿宋" w:eastAsia="仿宋" w:hAnsi="仿宋" w:cs="宋体" w:hint="eastAsia"/>
          <w:kern w:val="0"/>
          <w:sz w:val="24"/>
          <w:szCs w:val="24"/>
        </w:rPr>
        <w:t>继承、离婚、捐赠、法人资格丧失</w:t>
      </w:r>
      <w:r>
        <w:rPr>
          <w:rFonts w:ascii="仿宋" w:eastAsia="仿宋" w:hAnsi="仿宋" w:cs="宋体" w:hint="eastAsia"/>
          <w:kern w:val="0"/>
          <w:sz w:val="24"/>
          <w:szCs w:val="24"/>
        </w:rPr>
        <w:t>和司法强制执行等情形而产生的非交易过户以及登记机构认可、符合法律法规的其它非交易过户。无论在上述何种情况下，接受划转的主体必须是依法可以持有本基金基金份额的投资人。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继承是指基金份额持有人死亡，其持有的基金份额由其合法的继承人继承；捐赠是指基金份额持有人将其合法持有的基金份额捐赠给福利性质的基金会或社会团体；</w:t>
      </w:r>
      <w:r w:rsidRPr="000E6BA4">
        <w:rPr>
          <w:rFonts w:ascii="仿宋" w:eastAsia="仿宋" w:hAnsi="仿宋" w:cs="宋体" w:hint="eastAsia"/>
          <w:kern w:val="0"/>
          <w:sz w:val="24"/>
          <w:szCs w:val="24"/>
        </w:rPr>
        <w:t>法人资格丧失</w:t>
      </w:r>
      <w:r>
        <w:rPr>
          <w:rFonts w:ascii="仿宋" w:eastAsia="仿宋" w:hAnsi="仿宋" w:cs="宋体" w:hint="eastAsia"/>
          <w:kern w:val="0"/>
          <w:sz w:val="24"/>
          <w:szCs w:val="24"/>
        </w:rPr>
        <w:t>是</w:t>
      </w:r>
      <w:r w:rsidRPr="000E6BA4">
        <w:rPr>
          <w:rFonts w:ascii="仿宋" w:eastAsia="仿宋" w:hAnsi="仿宋" w:cs="宋体" w:hint="eastAsia"/>
          <w:kern w:val="0"/>
          <w:sz w:val="24"/>
          <w:szCs w:val="24"/>
        </w:rPr>
        <w:t>指法人股东因解散、破产、合并、分立、歇业、注销等原因，在法人资格丧失后将其持有的基金份额划转给其他自然人或机构；</w:t>
      </w:r>
      <w:r>
        <w:rPr>
          <w:rFonts w:ascii="仿宋" w:eastAsia="仿宋" w:hAnsi="仿宋" w:cs="宋体" w:hint="eastAsia"/>
          <w:kern w:val="0"/>
          <w:sz w:val="24"/>
          <w:szCs w:val="24"/>
        </w:rPr>
        <w:t>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十五、基金的转托管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0E6BA4">
        <w:rPr>
          <w:rFonts w:ascii="仿宋" w:eastAsia="仿宋" w:hAnsi="仿宋" w:cs="宋体" w:hint="eastAsia"/>
          <w:kern w:val="0"/>
          <w:sz w:val="24"/>
          <w:szCs w:val="24"/>
        </w:rPr>
        <w:t>基金份额持有人可办理已持有基金份额在不同销售机构之间的转托管，基金销售机构可以按照规定的标准收取转托管费。</w:t>
      </w:r>
    </w:p>
    <w:p w:rsidR="00E45E2B" w:rsidRPr="00C95A02"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0E6BA4">
        <w:rPr>
          <w:rFonts w:ascii="仿宋" w:eastAsia="仿宋" w:hAnsi="仿宋" w:cs="宋体" w:hint="eastAsia"/>
          <w:b/>
          <w:kern w:val="0"/>
          <w:sz w:val="24"/>
          <w:szCs w:val="24"/>
        </w:rPr>
        <w:t>十</w:t>
      </w:r>
      <w:r>
        <w:rPr>
          <w:rFonts w:ascii="仿宋" w:eastAsia="仿宋" w:hAnsi="仿宋" w:cs="宋体" w:hint="eastAsia"/>
          <w:b/>
          <w:kern w:val="0"/>
          <w:sz w:val="24"/>
          <w:szCs w:val="24"/>
        </w:rPr>
        <w:t>六</w:t>
      </w:r>
      <w:r w:rsidRPr="00C95A02">
        <w:rPr>
          <w:rFonts w:ascii="仿宋" w:eastAsia="仿宋" w:hAnsi="仿宋" w:cs="宋体" w:hint="eastAsia"/>
          <w:b/>
          <w:kern w:val="0"/>
          <w:sz w:val="24"/>
          <w:szCs w:val="24"/>
        </w:rPr>
        <w:t>、定期定额投资计划</w:t>
      </w:r>
    </w:p>
    <w:p w:rsidR="00E45E2B" w:rsidRDefault="00E45E2B" w:rsidP="00E45E2B">
      <w:pPr>
        <w:autoSpaceDE w:val="0"/>
        <w:autoSpaceDN w:val="0"/>
        <w:adjustRightInd w:val="0"/>
        <w:spacing w:line="360" w:lineRule="auto"/>
        <w:ind w:firstLineChars="200" w:firstLine="480"/>
        <w:jc w:val="left"/>
        <w:rPr>
          <w:rFonts w:ascii="仿宋" w:eastAsia="仿宋" w:hAnsi="仿宋" w:cs="宋体"/>
          <w:kern w:val="0"/>
          <w:sz w:val="24"/>
          <w:szCs w:val="24"/>
        </w:rPr>
      </w:pPr>
      <w:r w:rsidRPr="000E6BA4">
        <w:rPr>
          <w:rFonts w:ascii="仿宋" w:eastAsia="仿宋" w:hAnsi="仿宋" w:cs="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45E2B" w:rsidRDefault="00E45E2B" w:rsidP="00E45E2B">
      <w:pPr>
        <w:autoSpaceDE w:val="0"/>
        <w:autoSpaceDN w:val="0"/>
        <w:adjustRightInd w:val="0"/>
        <w:spacing w:line="360" w:lineRule="auto"/>
        <w:jc w:val="left"/>
        <w:rPr>
          <w:rFonts w:ascii="仿宋" w:eastAsia="仿宋" w:hAnsi="仿宋" w:cs="宋体"/>
          <w:b/>
          <w:bCs/>
          <w:kern w:val="0"/>
          <w:sz w:val="24"/>
          <w:szCs w:val="24"/>
        </w:rPr>
      </w:pPr>
      <w:r>
        <w:rPr>
          <w:rFonts w:ascii="仿宋" w:eastAsia="仿宋" w:hAnsi="仿宋" w:cs="宋体" w:hint="eastAsia"/>
          <w:b/>
          <w:bCs/>
          <w:kern w:val="0"/>
          <w:sz w:val="24"/>
          <w:szCs w:val="24"/>
        </w:rPr>
        <w:t xml:space="preserve">   十七、基金份额的冻结与解冻</w:t>
      </w:r>
    </w:p>
    <w:p w:rsidR="00E45E2B" w:rsidRPr="0022008A" w:rsidRDefault="00E45E2B" w:rsidP="00E45E2B">
      <w:pPr>
        <w:autoSpaceDE w:val="0"/>
        <w:autoSpaceDN w:val="0"/>
        <w:adjustRightInd w:val="0"/>
        <w:spacing w:line="360" w:lineRule="auto"/>
        <w:ind w:firstLineChars="200" w:firstLine="480"/>
        <w:jc w:val="left"/>
        <w:rPr>
          <w:rFonts w:ascii="仿宋" w:eastAsia="仿宋" w:hAnsi="仿宋" w:cs="宋体"/>
          <w:kern w:val="0"/>
          <w:sz w:val="24"/>
          <w:szCs w:val="24"/>
        </w:rPr>
      </w:pPr>
      <w:r w:rsidRPr="0022008A">
        <w:rPr>
          <w:rFonts w:ascii="仿宋" w:eastAsia="仿宋" w:hAnsi="仿宋" w:cs="宋体" w:hint="eastAsia"/>
          <w:kern w:val="0"/>
          <w:sz w:val="24"/>
          <w:szCs w:val="24"/>
        </w:rPr>
        <w:t>基金登记机构只受理国家有权机关依法要求的基金份额的冻结与解冻，以及登记机构认可、符合法律法规的其他情况下的冻结与解冻。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008A">
        <w:rPr>
          <w:rFonts w:ascii="仿宋" w:eastAsia="仿宋" w:hAnsi="仿宋" w:cs="宋体" w:hint="eastAsia"/>
          <w:kern w:val="0"/>
          <w:sz w:val="24"/>
          <w:szCs w:val="24"/>
        </w:rPr>
        <w:t>基金份额被冻结的，被冻结部分份额仍然参与收益分配，被冻结部分产生的权益一并冻结。法律法规或监管机构另有规定的除外。</w:t>
      </w:r>
    </w:p>
    <w:p w:rsidR="00E45E2B" w:rsidRPr="00C95A02"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93" w:name="_Toc459291245"/>
      <w:r w:rsidRPr="00C95A02">
        <w:rPr>
          <w:rFonts w:ascii="仿宋" w:eastAsia="仿宋" w:hAnsi="仿宋" w:cs="宋体" w:hint="eastAsia"/>
          <w:b/>
          <w:kern w:val="0"/>
          <w:sz w:val="24"/>
          <w:szCs w:val="24"/>
        </w:rPr>
        <w:t>十八、实施侧袋机制期间本基金的申购与赎回</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008A">
        <w:rPr>
          <w:rFonts w:ascii="仿宋" w:eastAsia="仿宋" w:hAnsi="仿宋" w:cs="宋体" w:hint="eastAsia"/>
          <w:kern w:val="0"/>
          <w:sz w:val="24"/>
          <w:szCs w:val="24"/>
        </w:rPr>
        <w:t>本基金实施侧袋机制的，本基金的申购和赎回安排详见招募说明书或相关公告。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bookmarkStart w:id="94" w:name="_Hlt55355235"/>
      <w:bookmarkStart w:id="95" w:name="_Toc523711668"/>
      <w:bookmarkStart w:id="96" w:name="_Toc57530239"/>
      <w:bookmarkStart w:id="97" w:name="_Toc79392580"/>
      <w:bookmarkStart w:id="98" w:name="_Toc15118234"/>
      <w:bookmarkEnd w:id="94"/>
      <w:r>
        <w:rPr>
          <w:rFonts w:ascii="仿宋" w:eastAsia="仿宋" w:hAnsi="仿宋" w:cs="宋体"/>
          <w:b/>
          <w:bCs/>
          <w:kern w:val="0"/>
          <w:sz w:val="30"/>
          <w:szCs w:val="30"/>
        </w:rPr>
        <w:br w:type="page"/>
      </w:r>
    </w:p>
    <w:p w:rsidR="00E45E2B" w:rsidRPr="004F6C89" w:rsidRDefault="00E45E2B" w:rsidP="004F6C89">
      <w:pPr>
        <w:pStyle w:val="1"/>
        <w:spacing w:line="360" w:lineRule="auto"/>
        <w:jc w:val="center"/>
        <w:rPr>
          <w:rFonts w:eastAsia="仿宋"/>
          <w:sz w:val="30"/>
          <w:szCs w:val="30"/>
          <w:lang w:val="zh-CN"/>
        </w:rPr>
      </w:pPr>
      <w:bookmarkStart w:id="99" w:name="_Toc377998622"/>
      <w:bookmarkStart w:id="100" w:name="_Toc169163867"/>
      <w:r w:rsidRPr="004F6C89">
        <w:rPr>
          <w:rFonts w:eastAsia="仿宋" w:hint="eastAsia"/>
          <w:sz w:val="30"/>
          <w:szCs w:val="30"/>
          <w:lang w:val="zh-CN"/>
        </w:rPr>
        <w:t>第七部分</w:t>
      </w:r>
      <w:r w:rsidRPr="004F6C89">
        <w:rPr>
          <w:rFonts w:eastAsia="仿宋" w:hint="eastAsia"/>
          <w:sz w:val="30"/>
          <w:szCs w:val="30"/>
          <w:lang w:val="zh-CN"/>
        </w:rPr>
        <w:t xml:space="preserve">    </w:t>
      </w:r>
      <w:r w:rsidRPr="004F6C89">
        <w:rPr>
          <w:rFonts w:eastAsia="仿宋" w:hint="eastAsia"/>
          <w:sz w:val="30"/>
          <w:szCs w:val="30"/>
          <w:lang w:val="zh-CN"/>
        </w:rPr>
        <w:t>基金合同当事人及权利义务</w:t>
      </w:r>
      <w:bookmarkEnd w:id="93"/>
      <w:bookmarkEnd w:id="99"/>
      <w:bookmarkEnd w:id="100"/>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w:t>
      </w:r>
      <w:bookmarkEnd w:id="95"/>
      <w:r>
        <w:rPr>
          <w:rFonts w:ascii="仿宋" w:eastAsia="仿宋" w:hAnsi="仿宋" w:cs="宋体" w:hint="eastAsia"/>
          <w:b/>
          <w:bCs/>
          <w:kern w:val="0"/>
          <w:sz w:val="24"/>
          <w:szCs w:val="24"/>
        </w:rPr>
        <w:t>管理人</w:t>
      </w:r>
      <w:bookmarkEnd w:id="96"/>
      <w:bookmarkEnd w:id="97"/>
      <w:bookmarkEnd w:id="98"/>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01" w:name="_Toc15118235"/>
      <w:r>
        <w:rPr>
          <w:rFonts w:ascii="仿宋" w:eastAsia="仿宋" w:hAnsi="仿宋" w:cs="宋体" w:hint="eastAsia"/>
          <w:b/>
          <w:bCs/>
          <w:kern w:val="0"/>
          <w:sz w:val="24"/>
          <w:szCs w:val="24"/>
        </w:rPr>
        <w:t>（一）基金管理人简况</w:t>
      </w:r>
      <w:bookmarkEnd w:id="101"/>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2" w:name="_Toc15118236"/>
      <w:bookmarkStart w:id="103" w:name="_Toc15118237"/>
      <w:r>
        <w:rPr>
          <w:rFonts w:ascii="仿宋" w:eastAsia="仿宋" w:hAnsi="仿宋" w:cs="宋体" w:hint="eastAsia"/>
          <w:kern w:val="0"/>
          <w:sz w:val="24"/>
          <w:szCs w:val="24"/>
        </w:rPr>
        <w:t>名称：</w:t>
      </w:r>
      <w:bookmarkEnd w:id="102"/>
      <w:r>
        <w:rPr>
          <w:rFonts w:ascii="仿宋" w:eastAsia="仿宋" w:hAnsi="仿宋" w:cs="宋体" w:hint="eastAsia"/>
          <w:kern w:val="0"/>
          <w:sz w:val="24"/>
          <w:szCs w:val="24"/>
        </w:rPr>
        <w:t>上海东方证券资产管理有限公司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住所：上海市黄浦区中山南路109号7层-11层</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法定代表人：杨斌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设立日期：</w:t>
      </w:r>
      <w:r>
        <w:rPr>
          <w:rFonts w:ascii="仿宋" w:eastAsia="仿宋" w:hAnsi="仿宋" w:cs="宋体"/>
          <w:kern w:val="0"/>
          <w:sz w:val="24"/>
          <w:szCs w:val="24"/>
        </w:rPr>
        <w:t>2010</w:t>
      </w:r>
      <w:r>
        <w:rPr>
          <w:rFonts w:ascii="仿宋" w:eastAsia="仿宋" w:hAnsi="仿宋" w:cs="宋体" w:hint="eastAsia"/>
          <w:kern w:val="0"/>
          <w:sz w:val="24"/>
          <w:szCs w:val="24"/>
        </w:rPr>
        <w:t>年</w:t>
      </w:r>
      <w:r>
        <w:rPr>
          <w:rFonts w:ascii="仿宋" w:eastAsia="仿宋" w:hAnsi="仿宋" w:cs="宋体"/>
          <w:kern w:val="0"/>
          <w:sz w:val="24"/>
          <w:szCs w:val="24"/>
        </w:rPr>
        <w:t>7</w:t>
      </w:r>
      <w:r>
        <w:rPr>
          <w:rFonts w:ascii="仿宋" w:eastAsia="仿宋" w:hAnsi="仿宋" w:cs="宋体" w:hint="eastAsia"/>
          <w:kern w:val="0"/>
          <w:sz w:val="24"/>
          <w:szCs w:val="24"/>
        </w:rPr>
        <w:t>月</w:t>
      </w:r>
      <w:r>
        <w:rPr>
          <w:rFonts w:ascii="仿宋" w:eastAsia="仿宋" w:hAnsi="仿宋" w:cs="宋体"/>
          <w:kern w:val="0"/>
          <w:sz w:val="24"/>
          <w:szCs w:val="24"/>
        </w:rPr>
        <w:t>28</w:t>
      </w:r>
      <w:r>
        <w:rPr>
          <w:rFonts w:ascii="仿宋" w:eastAsia="仿宋" w:hAnsi="仿宋" w:cs="宋体" w:hint="eastAsia"/>
          <w:kern w:val="0"/>
          <w:sz w:val="24"/>
          <w:szCs w:val="24"/>
        </w:rPr>
        <w:t>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批准设立机关及批准设立文号：中国证监会证监许可</w:t>
      </w:r>
      <w:r>
        <w:rPr>
          <w:rFonts w:ascii="仿宋" w:eastAsia="仿宋" w:hAnsi="仿宋" w:cs="宋体"/>
          <w:kern w:val="0"/>
          <w:sz w:val="24"/>
          <w:szCs w:val="24"/>
        </w:rPr>
        <w:t>[2010]518</w:t>
      </w:r>
      <w:r>
        <w:rPr>
          <w:rFonts w:ascii="仿宋" w:eastAsia="仿宋" w:hAnsi="仿宋" w:cs="宋体" w:hint="eastAsia"/>
          <w:kern w:val="0"/>
          <w:sz w:val="24"/>
          <w:szCs w:val="24"/>
        </w:rPr>
        <w:t>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开展公开募集证券投资基金管理业务批准文号：证监许可</w:t>
      </w:r>
      <w:r>
        <w:rPr>
          <w:rFonts w:ascii="仿宋" w:eastAsia="仿宋" w:hAnsi="仿宋" w:cs="宋体"/>
          <w:kern w:val="0"/>
          <w:sz w:val="24"/>
          <w:szCs w:val="24"/>
        </w:rPr>
        <w:t>[2013]</w:t>
      </w:r>
      <w:r>
        <w:rPr>
          <w:rFonts w:ascii="仿宋" w:eastAsia="仿宋" w:hAnsi="仿宋" w:cs="宋体" w:hint="eastAsia"/>
          <w:kern w:val="0"/>
          <w:sz w:val="24"/>
          <w:szCs w:val="24"/>
        </w:rPr>
        <w:t>1131号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组织形式：有限责任公司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注册资本：</w:t>
      </w:r>
      <w:r>
        <w:rPr>
          <w:rFonts w:ascii="仿宋" w:eastAsia="仿宋" w:hAnsi="仿宋" w:cs="宋体"/>
          <w:kern w:val="0"/>
          <w:sz w:val="24"/>
          <w:szCs w:val="24"/>
        </w:rPr>
        <w:t>3</w:t>
      </w:r>
      <w:r>
        <w:rPr>
          <w:rFonts w:ascii="仿宋" w:eastAsia="仿宋" w:hAnsi="仿宋" w:cs="宋体" w:hint="eastAsia"/>
          <w:kern w:val="0"/>
          <w:sz w:val="24"/>
          <w:szCs w:val="24"/>
        </w:rPr>
        <w:t>亿元人民币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存续期限：持续经营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联系电话：（</w:t>
      </w:r>
      <w:r>
        <w:rPr>
          <w:rFonts w:ascii="仿宋" w:eastAsia="仿宋" w:hAnsi="仿宋" w:cs="宋体"/>
          <w:kern w:val="0"/>
          <w:sz w:val="24"/>
          <w:szCs w:val="24"/>
        </w:rPr>
        <w:t>021</w:t>
      </w:r>
      <w:r>
        <w:rPr>
          <w:rFonts w:ascii="仿宋" w:eastAsia="仿宋" w:hAnsi="仿宋" w:cs="宋体" w:hint="eastAsia"/>
          <w:kern w:val="0"/>
          <w:sz w:val="24"/>
          <w:szCs w:val="24"/>
        </w:rPr>
        <w:t>）53952888</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color w:val="000000"/>
          <w:kern w:val="0"/>
          <w:sz w:val="24"/>
          <w:szCs w:val="24"/>
        </w:rPr>
        <w:t>联系人：彭轶君</w:t>
      </w:r>
    </w:p>
    <w:p w:rsidR="00E45E2B" w:rsidRDefault="00E45E2B" w:rsidP="00E45E2B">
      <w:pPr>
        <w:autoSpaceDE w:val="0"/>
        <w:autoSpaceDN w:val="0"/>
        <w:adjustRightInd w:val="0"/>
        <w:spacing w:line="360" w:lineRule="auto"/>
        <w:ind w:leftChars="202" w:left="424"/>
        <w:jc w:val="left"/>
        <w:rPr>
          <w:rFonts w:ascii="仿宋" w:eastAsia="仿宋" w:hAnsi="仿宋" w:cs="宋体"/>
          <w:b/>
          <w:bCs/>
          <w:kern w:val="0"/>
          <w:sz w:val="24"/>
          <w:szCs w:val="24"/>
        </w:rPr>
      </w:pPr>
      <w:r>
        <w:rPr>
          <w:rFonts w:ascii="仿宋" w:eastAsia="仿宋" w:hAnsi="仿宋" w:cs="宋体" w:hint="eastAsia"/>
          <w:b/>
          <w:bCs/>
          <w:kern w:val="0"/>
          <w:sz w:val="24"/>
          <w:szCs w:val="24"/>
        </w:rPr>
        <w:t>（二）基金管理人的权利与义务</w:t>
      </w:r>
      <w:bookmarkEnd w:id="10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、根据《基金法》、《运作办法》及其他有关规定，基金管理人的权利包括但不限于：</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）依法募集资金；</w:t>
      </w:r>
    </w:p>
    <w:p w:rsidR="00E45E2B" w:rsidRDefault="00E45E2B" w:rsidP="00E45E2B">
      <w:pPr>
        <w:autoSpaceDE w:val="0"/>
        <w:autoSpaceDN w:val="0"/>
        <w:adjustRightInd w:val="0"/>
        <w:spacing w:line="360" w:lineRule="auto"/>
        <w:ind w:leftChars="1" w:left="2" w:firstLine="418"/>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）自《基金合同》生效之日起，根据法律法规和《基金合同》独立运用并管理基金财产；</w:t>
      </w:r>
    </w:p>
    <w:p w:rsidR="00E45E2B" w:rsidRDefault="00E45E2B" w:rsidP="00E45E2B">
      <w:pPr>
        <w:autoSpaceDE w:val="0"/>
        <w:autoSpaceDN w:val="0"/>
        <w:adjustRightInd w:val="0"/>
        <w:spacing w:line="360" w:lineRule="auto"/>
        <w:ind w:leftChars="1" w:left="2" w:firstLine="418"/>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）依照《基金合同》收取基金管理费以及法律法规规定或中国证监会批准的其他费用；</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）销售基金份额；</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w:t>
      </w:r>
      <w:bookmarkStart w:id="104" w:name="_Hlt88896155"/>
      <w:r>
        <w:rPr>
          <w:rFonts w:ascii="仿宋" w:eastAsia="仿宋" w:hAnsi="仿宋" w:cs="宋体" w:hint="eastAsia"/>
          <w:kern w:val="0"/>
          <w:sz w:val="24"/>
          <w:szCs w:val="24"/>
        </w:rPr>
        <w:t>按照规定召集</w:t>
      </w:r>
      <w:bookmarkEnd w:id="104"/>
      <w:r>
        <w:rPr>
          <w:rFonts w:ascii="仿宋" w:eastAsia="仿宋" w:hAnsi="仿宋" w:cs="宋体" w:hint="eastAsia"/>
          <w:kern w:val="0"/>
          <w:sz w:val="24"/>
          <w:szCs w:val="24"/>
        </w:rPr>
        <w:t>基金份额持有人大会；</w:t>
      </w:r>
    </w:p>
    <w:p w:rsidR="00E45E2B" w:rsidRDefault="00E45E2B" w:rsidP="00E45E2B">
      <w:pPr>
        <w:autoSpaceDE w:val="0"/>
        <w:autoSpaceDN w:val="0"/>
        <w:adjustRightInd w:val="0"/>
        <w:spacing w:line="360" w:lineRule="auto"/>
        <w:ind w:leftChars="1" w:left="2" w:firstLine="418"/>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）在基金托管人更换时，提名新的基金托管人；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）选择、委托、更换基金销售机构，对基金销售机构的相关行为进行监督和处理；</w:t>
      </w:r>
    </w:p>
    <w:p w:rsidR="00E45E2B" w:rsidRDefault="00E45E2B" w:rsidP="00E45E2B">
      <w:pPr>
        <w:autoSpaceDE w:val="0"/>
        <w:autoSpaceDN w:val="0"/>
        <w:adjustRightInd w:val="0"/>
        <w:spacing w:line="360" w:lineRule="auto"/>
        <w:ind w:firstLineChars="176" w:firstLine="422"/>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）担任或委托其他符合条件的机构担任基金登记机构办理基金登记业务并获得《基金合同》规定的费用；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）依据《基金合同》及有关法律规定决定基金收益的分配方案；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）在《基金合同》约定的范围内，拒绝或暂停受理申购与赎回申请；</w:t>
      </w:r>
    </w:p>
    <w:p w:rsidR="00E45E2B" w:rsidRDefault="00E45E2B" w:rsidP="00E45E2B">
      <w:pPr>
        <w:autoSpaceDE w:val="0"/>
        <w:autoSpaceDN w:val="0"/>
        <w:adjustRightInd w:val="0"/>
        <w:spacing w:line="360" w:lineRule="auto"/>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）依照法律法规为基金的利益对被投资公司行使股东权利，为基金的利益行使因基金财产投资于证券所产生的权利；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3）在法律法规允许的前提下，为基金的利益依法为基金进行融资；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4）以基金管理人的名义，代表基金份额持有人的利益行使诉讼权利或者实施其他法律行为；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5）选择、更换律师事务所、会计师事务所、证券、期货经纪商或其他为基金提供服务的外部机构；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（16）在符合有关法律、法规的前提下，制订和调整有关基金申购、赎回、转换等的业务规则；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7）法律法规</w:t>
      </w:r>
      <w:r w:rsidRPr="00C95A02">
        <w:rPr>
          <w:rFonts w:ascii="仿宋" w:eastAsia="仿宋" w:hAnsi="仿宋" w:cs="宋体" w:hint="eastAsia"/>
          <w:kern w:val="0"/>
          <w:sz w:val="24"/>
          <w:szCs w:val="24"/>
        </w:rPr>
        <w:t>及中国证监会规定的</w:t>
      </w:r>
      <w:r>
        <w:rPr>
          <w:rFonts w:ascii="仿宋" w:eastAsia="仿宋" w:hAnsi="仿宋" w:cs="宋体" w:hint="eastAsia"/>
          <w:kern w:val="0"/>
          <w:sz w:val="24"/>
          <w:szCs w:val="24"/>
        </w:rPr>
        <w:t>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5" w:name="OLE_LINK3"/>
      <w:r>
        <w:rPr>
          <w:rFonts w:ascii="仿宋" w:eastAsia="仿宋" w:hAnsi="仿宋" w:cs="宋体"/>
          <w:kern w:val="0"/>
          <w:sz w:val="24"/>
          <w:szCs w:val="24"/>
        </w:rPr>
        <w:t>2</w:t>
      </w:r>
      <w:r>
        <w:rPr>
          <w:rFonts w:ascii="仿宋" w:eastAsia="仿宋" w:hAnsi="仿宋" w:cs="宋体" w:hint="eastAsia"/>
          <w:kern w:val="0"/>
          <w:sz w:val="24"/>
          <w:szCs w:val="24"/>
        </w:rPr>
        <w:t>、根据《基金法》、《运作办法》及其他有关规定，基金管理人的义务包括但不限于</w:t>
      </w:r>
      <w:bookmarkEnd w:id="105"/>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6" w:name="_Toc523711669"/>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）依法募集资金，办理或者委托经中国证监会认定的其他机构代为办理基金份额的申购、赎回和登记事宜；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）办理基金备案手续；</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）自《基金合同》生效之日起</w:t>
      </w:r>
      <w:r>
        <w:rPr>
          <w:rFonts w:ascii="仿宋" w:eastAsia="仿宋" w:hAnsi="仿宋" w:cs="宋体"/>
          <w:kern w:val="0"/>
          <w:sz w:val="24"/>
          <w:szCs w:val="24"/>
        </w:rPr>
        <w:t>,</w:t>
      </w:r>
      <w:r>
        <w:rPr>
          <w:rFonts w:ascii="仿宋" w:eastAsia="仿宋" w:hAnsi="仿宋" w:cs="宋体" w:hint="eastAsia"/>
          <w:kern w:val="0"/>
          <w:sz w:val="24"/>
          <w:szCs w:val="24"/>
        </w:rPr>
        <w:t>以诚实信用、谨慎勤勉的原则管理和运用基金财产；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）配备足够的具有专业资格的人员进行基金投资分析、决策，以专业化的经营方式管理和运作基金财产；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）建立健全内部风险控制、监察与稽核、财务管理及人事管理等制度，保证所管理的基金财产和基金管理人的财产相互独立，对所管理的不同基金分别管理，分别记账，进行证券投资；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）除依据《基金法》、《基金合同》及其他有关规定外</w:t>
      </w:r>
      <w:r>
        <w:rPr>
          <w:rFonts w:ascii="仿宋" w:eastAsia="仿宋" w:hAnsi="仿宋" w:cs="宋体"/>
          <w:kern w:val="0"/>
          <w:sz w:val="24"/>
          <w:szCs w:val="24"/>
        </w:rPr>
        <w:t>,</w:t>
      </w:r>
      <w:r>
        <w:rPr>
          <w:rFonts w:ascii="仿宋" w:eastAsia="仿宋" w:hAnsi="仿宋" w:cs="宋体" w:hint="eastAsia"/>
          <w:kern w:val="0"/>
          <w:sz w:val="24"/>
          <w:szCs w:val="24"/>
        </w:rPr>
        <w:t>不得利用基金财产为自己及任何第三人谋取利益，不得委托第三人运作基金财产；</w:t>
      </w:r>
      <w:bookmarkStart w:id="107" w:name="_Hlt88897298"/>
      <w:bookmarkEnd w:id="10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）依法接受基金托管人的监督；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）采取适当合理的措施使计算基金份额申购、赎回和注销价格的方法符合《基金合同》等法律文件的规定，按有关规定计算并公告基金净值信息，确定基金份额申购、赎回的价格；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）进行基金会计核算并编制基金财务会计报告；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8" w:name="OLE_LINK4"/>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）编制</w:t>
      </w:r>
      <w:bookmarkStart w:id="109" w:name="OLE_LINK5"/>
      <w:r>
        <w:rPr>
          <w:rFonts w:ascii="仿宋" w:eastAsia="仿宋" w:hAnsi="仿宋" w:cs="宋体" w:hint="eastAsia"/>
          <w:kern w:val="0"/>
          <w:sz w:val="24"/>
          <w:szCs w:val="24"/>
        </w:rPr>
        <w:t>季度报告、中期报告和年度报告</w:t>
      </w:r>
      <w:bookmarkEnd w:id="108"/>
      <w:bookmarkEnd w:id="109"/>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）严格按照《基金法》、《基金合同》及其他有关规定，履行信息披露及报告义务；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）保守基金商业秘密，不泄露基金投资计划、投资意向等。除《基金法》、《基金合同》及其他有关规定另有规定外，在基金信息公开披露前应予保密，不向他人泄露，</w:t>
      </w:r>
      <w:r w:rsidRPr="00106993">
        <w:rPr>
          <w:rFonts w:ascii="仿宋" w:eastAsia="仿宋" w:hAnsi="仿宋" w:cs="宋体" w:hint="eastAsia"/>
          <w:kern w:val="0"/>
          <w:sz w:val="24"/>
          <w:szCs w:val="24"/>
        </w:rPr>
        <w:t>向监管机构、司法机关等有权机关及审计、法律等外部专业顾问提供的情况除外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13</w:t>
      </w:r>
      <w:r>
        <w:rPr>
          <w:rFonts w:ascii="仿宋" w:eastAsia="仿宋" w:hAnsi="仿宋" w:cs="宋体" w:hint="eastAsia"/>
          <w:kern w:val="0"/>
          <w:sz w:val="24"/>
          <w:szCs w:val="24"/>
        </w:rPr>
        <w:t>）按《基金合同》的约定确定基金收益分配方案，及时向基金份额持有人分配基金收益；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14</w:t>
      </w:r>
      <w:r>
        <w:rPr>
          <w:rFonts w:ascii="仿宋" w:eastAsia="仿宋" w:hAnsi="仿宋" w:cs="宋体" w:hint="eastAsia"/>
          <w:kern w:val="0"/>
          <w:sz w:val="24"/>
          <w:szCs w:val="24"/>
        </w:rPr>
        <w:t>）按规定受理申购与赎回申请，及时、足额支付赎回款项；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15</w:t>
      </w:r>
      <w:r>
        <w:rPr>
          <w:rFonts w:ascii="仿宋" w:eastAsia="仿宋" w:hAnsi="仿宋" w:cs="宋体" w:hint="eastAsia"/>
          <w:kern w:val="0"/>
          <w:sz w:val="24"/>
          <w:szCs w:val="24"/>
        </w:rPr>
        <w:t>）依据《基金法》、《基金合同》及其他有关规定召集基金份额持有人大会或配合基金托管人、基金份额持有人依法召集基金份额持有人大会；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10" w:name="OLE_LINK26"/>
      <w:r>
        <w:rPr>
          <w:rFonts w:ascii="仿宋" w:eastAsia="仿宋" w:hAnsi="仿宋" w:cs="宋体" w:hint="eastAsia"/>
          <w:kern w:val="0"/>
          <w:sz w:val="24"/>
          <w:szCs w:val="24"/>
        </w:rPr>
        <w:t>（</w:t>
      </w:r>
      <w:r>
        <w:rPr>
          <w:rFonts w:ascii="仿宋" w:eastAsia="仿宋" w:hAnsi="仿宋" w:cs="宋体"/>
          <w:kern w:val="0"/>
          <w:sz w:val="24"/>
          <w:szCs w:val="24"/>
        </w:rPr>
        <w:t>16</w:t>
      </w:r>
      <w:r>
        <w:rPr>
          <w:rFonts w:ascii="仿宋" w:eastAsia="仿宋" w:hAnsi="仿宋" w:cs="宋体" w:hint="eastAsia"/>
          <w:kern w:val="0"/>
          <w:sz w:val="24"/>
          <w:szCs w:val="24"/>
        </w:rPr>
        <w:t>）按规定保存基金财产管理业务活动的会计账册、报表、记录和其他相关资料</w:t>
      </w:r>
      <w:r w:rsidRPr="00106993">
        <w:rPr>
          <w:rFonts w:ascii="仿宋" w:eastAsia="仿宋" w:hAnsi="仿宋" w:cs="宋体" w:hint="eastAsia"/>
          <w:kern w:val="0"/>
          <w:sz w:val="24"/>
          <w:szCs w:val="24"/>
        </w:rPr>
        <w:t>不少于法定最低期限</w:t>
      </w:r>
      <w:r>
        <w:rPr>
          <w:rFonts w:ascii="仿宋" w:eastAsia="仿宋" w:hAnsi="仿宋" w:cs="宋体" w:hint="eastAsia"/>
          <w:kern w:val="0"/>
          <w:sz w:val="24"/>
          <w:szCs w:val="24"/>
        </w:rPr>
        <w:t>；</w:t>
      </w:r>
      <w:bookmarkEnd w:id="110"/>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17</w:t>
      </w:r>
      <w:r>
        <w:rPr>
          <w:rFonts w:ascii="仿宋" w:eastAsia="仿宋" w:hAnsi="仿宋" w:cs="宋体" w:hint="eastAsia"/>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18</w:t>
      </w:r>
      <w:r>
        <w:rPr>
          <w:rFonts w:ascii="仿宋" w:eastAsia="仿宋" w:hAnsi="仿宋" w:cs="宋体" w:hint="eastAsia"/>
          <w:kern w:val="0"/>
          <w:sz w:val="24"/>
          <w:szCs w:val="24"/>
        </w:rPr>
        <w:t>）组织并参加基金财产清算小组，参与基金财产的保管、清理、估价、变现和分配；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19</w:t>
      </w:r>
      <w:r>
        <w:rPr>
          <w:rFonts w:ascii="仿宋" w:eastAsia="仿宋" w:hAnsi="仿宋" w:cs="宋体" w:hint="eastAsia"/>
          <w:kern w:val="0"/>
          <w:sz w:val="24"/>
          <w:szCs w:val="24"/>
        </w:rPr>
        <w:t>）面临解散、依法被撤销或者被依法宣告破产时，及时报告中国证监会并通知基金托管人；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20</w:t>
      </w:r>
      <w:r>
        <w:rPr>
          <w:rFonts w:ascii="仿宋" w:eastAsia="仿宋" w:hAnsi="仿宋" w:cs="宋体" w:hint="eastAsia"/>
          <w:kern w:val="0"/>
          <w:sz w:val="24"/>
          <w:szCs w:val="24"/>
        </w:rPr>
        <w:t>）因违反《基金合同》导致基金财产的损失或损害基金份额持有人合法权益时，应当承担赔偿责任，其赔偿责任不因其退任而免除；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21</w:t>
      </w:r>
      <w:r>
        <w:rPr>
          <w:rFonts w:ascii="仿宋" w:eastAsia="仿宋" w:hAnsi="仿宋" w:cs="宋体" w:hint="eastAsia"/>
          <w:kern w:val="0"/>
          <w:sz w:val="24"/>
          <w:szCs w:val="24"/>
        </w:rPr>
        <w:t>）监督基金托管人按法律法规和《基金合同》规定履行自己的义务，基金托管人违反《基金合同》造成基金财产损失时，基金管理人应为基金份额持有人利益向基金托管人追偿；</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22</w:t>
      </w:r>
      <w:r>
        <w:rPr>
          <w:rFonts w:ascii="仿宋" w:eastAsia="仿宋" w:hAnsi="仿宋" w:cs="宋体" w:hint="eastAsia"/>
          <w:kern w:val="0"/>
          <w:sz w:val="24"/>
          <w:szCs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23</w:t>
      </w:r>
      <w:r>
        <w:rPr>
          <w:rFonts w:ascii="仿宋" w:eastAsia="仿宋" w:hAnsi="仿宋" w:cs="宋体" w:hint="eastAsia"/>
          <w:kern w:val="0"/>
          <w:sz w:val="24"/>
          <w:szCs w:val="24"/>
        </w:rPr>
        <w:t>）以基金管理人名义，代表基金份额持有人利益行使诉讼权利或实施其他法律行为；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24</w:t>
      </w:r>
      <w:r>
        <w:rPr>
          <w:rFonts w:ascii="仿宋" w:eastAsia="仿宋" w:hAnsi="仿宋" w:cs="宋体" w:hint="eastAsia"/>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25</w:t>
      </w:r>
      <w:r>
        <w:rPr>
          <w:rFonts w:ascii="仿宋" w:eastAsia="仿宋" w:hAnsi="仿宋" w:cs="宋体" w:hint="eastAsia"/>
          <w:kern w:val="0"/>
          <w:sz w:val="24"/>
          <w:szCs w:val="24"/>
        </w:rPr>
        <w:t>）建立并保存基金份额持有人名册；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26</w:t>
      </w:r>
      <w:r>
        <w:rPr>
          <w:rFonts w:ascii="仿宋" w:eastAsia="仿宋" w:hAnsi="仿宋" w:cs="宋体" w:hint="eastAsia"/>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1" w:name="_Toc15118238"/>
      <w:bookmarkStart w:id="112" w:name="_Toc79392581"/>
      <w:bookmarkStart w:id="113" w:name="_Toc57530240"/>
      <w:r>
        <w:rPr>
          <w:rFonts w:ascii="仿宋" w:eastAsia="仿宋" w:hAnsi="仿宋" w:cs="宋体" w:hint="eastAsia"/>
          <w:b/>
          <w:bCs/>
          <w:kern w:val="0"/>
          <w:sz w:val="24"/>
          <w:szCs w:val="24"/>
        </w:rPr>
        <w:t>二、基金托管人</w:t>
      </w:r>
      <w:bookmarkEnd w:id="106"/>
      <w:bookmarkEnd w:id="111"/>
      <w:bookmarkEnd w:id="112"/>
      <w:bookmarkEnd w:id="113"/>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4" w:name="_Toc15118239"/>
      <w:r>
        <w:rPr>
          <w:rFonts w:ascii="仿宋" w:eastAsia="仿宋" w:hAnsi="仿宋" w:cs="宋体" w:hint="eastAsia"/>
          <w:b/>
          <w:bCs/>
          <w:kern w:val="0"/>
          <w:sz w:val="24"/>
          <w:szCs w:val="24"/>
        </w:rPr>
        <w:t>（一）基金托管人简况</w:t>
      </w:r>
      <w:bookmarkEnd w:id="114"/>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名称：招商银行股份有限公司</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设立日期：1987年4月8日</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注册地址：深圳市深南大道7088号招商银行大厦</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注册资本：</w:t>
      </w:r>
      <w:r>
        <w:rPr>
          <w:rFonts w:ascii="仿宋" w:eastAsia="仿宋" w:hAnsi="仿宋" w:cs="宋体" w:hint="eastAsia"/>
          <w:kern w:val="0"/>
          <w:sz w:val="24"/>
          <w:szCs w:val="24"/>
        </w:rPr>
        <w:t>人民币</w:t>
      </w:r>
      <w:r w:rsidRPr="007D2725">
        <w:rPr>
          <w:rFonts w:ascii="仿宋" w:eastAsia="仿宋" w:hAnsi="仿宋" w:cs="宋体" w:hint="eastAsia"/>
          <w:kern w:val="0"/>
          <w:sz w:val="24"/>
          <w:szCs w:val="24"/>
        </w:rPr>
        <w:t>252.20亿元</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法定代表人：缪建民</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0D58E7">
        <w:rPr>
          <w:rFonts w:ascii="仿宋" w:eastAsia="仿宋" w:hAnsi="仿宋" w:cs="宋体" w:hint="eastAsia"/>
          <w:kern w:val="0"/>
          <w:sz w:val="24"/>
          <w:szCs w:val="24"/>
        </w:rPr>
        <w:t>批准设立机关和批准设立文号：中国人民银行银复字（1986）175号文、银复（1987）86号文</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w:t>
      </w:r>
      <w:r w:rsidRPr="007D2725">
        <w:rPr>
          <w:rFonts w:ascii="仿宋" w:eastAsia="仿宋" w:hAnsi="仿宋" w:cs="宋体" w:hint="eastAsia"/>
          <w:kern w:val="0"/>
          <w:sz w:val="24"/>
          <w:szCs w:val="24"/>
        </w:rPr>
        <w:t>托管业务批准文号：证监基金字[2002]83号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E5746">
        <w:rPr>
          <w:rFonts w:ascii="仿宋" w:eastAsia="仿宋" w:hAnsi="仿宋" w:cs="宋体" w:hint="eastAsia"/>
          <w:kern w:val="0"/>
          <w:sz w:val="24"/>
          <w:szCs w:val="24"/>
        </w:rPr>
        <w:t>组织形式：股份有限公司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E5746">
        <w:rPr>
          <w:rFonts w:ascii="仿宋" w:eastAsia="仿宋" w:hAnsi="仿宋" w:cs="宋体" w:hint="eastAsia"/>
          <w:kern w:val="0"/>
          <w:sz w:val="24"/>
          <w:szCs w:val="24"/>
        </w:rPr>
        <w:t>存续期间：持续经营</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5" w:name="_Toc15118240"/>
      <w:r>
        <w:rPr>
          <w:rFonts w:ascii="仿宋" w:eastAsia="仿宋" w:hAnsi="仿宋" w:cs="宋体" w:hint="eastAsia"/>
          <w:b/>
          <w:bCs/>
          <w:kern w:val="0"/>
          <w:sz w:val="24"/>
          <w:szCs w:val="24"/>
        </w:rPr>
        <w:t>（二）基金托管人的权利与义务</w:t>
      </w:r>
      <w:bookmarkEnd w:id="11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、根据《基金法》、《运作办法》及其他有关规定，基金托管人的权利包括但不限于：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）自《基金合同》生效之日起，依法律法规和《基金合同》的规定安全保管基金财产；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）依《基金合同》约定获得基金托管费以及法律法规规定或监管部门批准的其他费用；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w:t>
      </w:r>
      <w:r>
        <w:rPr>
          <w:rFonts w:ascii="仿宋" w:eastAsia="仿宋" w:hAnsi="仿宋" w:cs="宋体"/>
          <w:kern w:val="0"/>
          <w:sz w:val="24"/>
          <w:szCs w:val="24"/>
        </w:rPr>
        <w:t>根据相关市场规则，为</w:t>
      </w:r>
      <w:r>
        <w:rPr>
          <w:rFonts w:ascii="仿宋" w:eastAsia="仿宋" w:hAnsi="仿宋" w:cs="宋体" w:hint="eastAsia"/>
          <w:kern w:val="0"/>
          <w:sz w:val="24"/>
          <w:szCs w:val="24"/>
        </w:rPr>
        <w:t>基金开设资金账户、证券账户、期货结算账户等投资所需账户，</w:t>
      </w:r>
      <w:r>
        <w:rPr>
          <w:rFonts w:ascii="仿宋" w:eastAsia="仿宋" w:hAnsi="仿宋" w:cs="宋体"/>
          <w:kern w:val="0"/>
          <w:sz w:val="24"/>
          <w:szCs w:val="24"/>
        </w:rPr>
        <w:t>为基金办理</w:t>
      </w:r>
      <w:r>
        <w:rPr>
          <w:rFonts w:ascii="仿宋" w:eastAsia="仿宋" w:hAnsi="仿宋" w:cs="宋体" w:hint="eastAsia"/>
          <w:kern w:val="0"/>
          <w:sz w:val="24"/>
          <w:szCs w:val="24"/>
        </w:rPr>
        <w:t>证券、期货交易资金清算；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（5）以基金的名义在中央国债登记结算有限责任公司和银行间市场清算所股份有限公司开设银行间债券托管账户；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（6）提议召开或召集基金份额持有人大会；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hint="eastAsia"/>
          <w:bCs/>
          <w:sz w:val="24"/>
        </w:rPr>
        <w:t>7</w:t>
      </w:r>
      <w:r>
        <w:rPr>
          <w:rFonts w:ascii="仿宋" w:eastAsia="仿宋" w:hAnsi="仿宋" w:cs="宋体" w:hint="eastAsia"/>
          <w:kern w:val="0"/>
          <w:sz w:val="24"/>
          <w:szCs w:val="24"/>
        </w:rPr>
        <w:t>）在基金管理人更换时，提名新的基金管理人；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hint="eastAsia"/>
          <w:bCs/>
          <w:sz w:val="24"/>
        </w:rPr>
        <w:t>8</w:t>
      </w:r>
      <w:r>
        <w:rPr>
          <w:rFonts w:ascii="仿宋" w:eastAsia="仿宋" w:hAnsi="仿宋" w:cs="宋体" w:hint="eastAsia"/>
          <w:kern w:val="0"/>
          <w:sz w:val="24"/>
          <w:szCs w:val="24"/>
        </w:rPr>
        <w:t>）法律法规</w:t>
      </w:r>
      <w:r w:rsidRPr="005B6007">
        <w:rPr>
          <w:rFonts w:ascii="仿宋" w:eastAsia="仿宋" w:hAnsi="仿宋" w:cs="宋体" w:hint="eastAsia"/>
          <w:kern w:val="0"/>
          <w:sz w:val="24"/>
          <w:szCs w:val="24"/>
        </w:rPr>
        <w:t>及中国证监会规定的和</w:t>
      </w:r>
      <w:r>
        <w:rPr>
          <w:rFonts w:ascii="仿宋" w:eastAsia="仿宋" w:hAnsi="仿宋" w:cs="宋体" w:hint="eastAsia"/>
          <w:kern w:val="0"/>
          <w:sz w:val="24"/>
          <w:szCs w:val="24"/>
        </w:rPr>
        <w:t>《基金合同》约定的其他权利。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、根据《基金法》、《运作办法》及其他有关规定，基金托管人的义务包括但不限于：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）以诚实信用、勤勉尽责的原则持有并安全保管基金财产；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）设立专门的基金托管部门，具有符合要求的营业场所，配备足够的、合格的熟悉基金托管业务的专职人员，负责基金财产托管事宜；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）除依据《基金法》、《基金合同》及其他有关规定外，不得利用基金财产为自己及任何第三人谋取利益，不得委托第三人托管基金财产；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）保管由基金管理人代表基金签订的与基金有关的重大合同及有关凭证；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）按规定开设基金财产的资金账户、证券账户、期货结算账户等投资所需账户，按照《基金合同》的约定，根据基金管理人的投资指令，及时办理清算、交割事宜；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）保守基金商业秘密，除《基金法》、《基金合同》及其他有关规定另有规定外，在基金信息公开披露前予以保密，不得向他人泄露</w:t>
      </w:r>
      <w:r w:rsidRPr="00E71D2B">
        <w:rPr>
          <w:rFonts w:ascii="仿宋" w:eastAsia="仿宋" w:hAnsi="仿宋" w:cs="宋体" w:hint="eastAsia"/>
          <w:kern w:val="0"/>
          <w:sz w:val="24"/>
          <w:szCs w:val="24"/>
        </w:rPr>
        <w:t>，向监管机构、司法机关等有权机关及审计、法律等外部专业顾问提供的情况除外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）复核、审查基金管理人计算的基金资产净值、基金份额净值、基金份额申购、赎回价格；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）办理与基金托管业务活动有关的信息披露事项；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）保存基金托管业务活动的记录、账册、报表和其他相关资料不少于法定最低期限；</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）从基金管理人或其委托的登记机构处接收并保存基金份额持有人名册；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13</w:t>
      </w:r>
      <w:r>
        <w:rPr>
          <w:rFonts w:ascii="仿宋" w:eastAsia="仿宋" w:hAnsi="仿宋" w:cs="宋体" w:hint="eastAsia"/>
          <w:kern w:val="0"/>
          <w:sz w:val="24"/>
          <w:szCs w:val="24"/>
        </w:rPr>
        <w:t>）按规定制作相关账册并与基金管理人核对；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14</w:t>
      </w:r>
      <w:r>
        <w:rPr>
          <w:rFonts w:ascii="仿宋" w:eastAsia="仿宋" w:hAnsi="仿宋" w:cs="宋体" w:hint="eastAsia"/>
          <w:kern w:val="0"/>
          <w:sz w:val="24"/>
          <w:szCs w:val="24"/>
        </w:rPr>
        <w:t>）依据基金管理人的指令或有关规定向基金份额持有人支付基金收益和赎回款项；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15</w:t>
      </w:r>
      <w:r>
        <w:rPr>
          <w:rFonts w:ascii="仿宋" w:eastAsia="仿宋" w:hAnsi="仿宋" w:cs="宋体" w:hint="eastAsia"/>
          <w:kern w:val="0"/>
          <w:sz w:val="24"/>
          <w:szCs w:val="24"/>
        </w:rPr>
        <w:t>）依据《基金法》、《基金合同》及其他有关规定召集基金份额持有人大会或配合基金管理人、基金份额持有人依法召集基金份额持有人大会；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16</w:t>
      </w:r>
      <w:r>
        <w:rPr>
          <w:rFonts w:ascii="仿宋" w:eastAsia="仿宋" w:hAnsi="仿宋" w:cs="宋体" w:hint="eastAsia"/>
          <w:kern w:val="0"/>
          <w:sz w:val="24"/>
          <w:szCs w:val="24"/>
        </w:rPr>
        <w:t>）按照法律法规和《基金合同》的规定监督基金管理人的投资运作；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17</w:t>
      </w:r>
      <w:r>
        <w:rPr>
          <w:rFonts w:ascii="仿宋" w:eastAsia="仿宋" w:hAnsi="仿宋" w:cs="宋体" w:hint="eastAsia"/>
          <w:kern w:val="0"/>
          <w:sz w:val="24"/>
          <w:szCs w:val="24"/>
        </w:rPr>
        <w:t>）参加基金财产清算小组，参与基金财产的保管、清理、估价、变现和分配；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18</w:t>
      </w:r>
      <w:r>
        <w:rPr>
          <w:rFonts w:ascii="仿宋" w:eastAsia="仿宋" w:hAnsi="仿宋" w:cs="宋体" w:hint="eastAsia"/>
          <w:kern w:val="0"/>
          <w:sz w:val="24"/>
          <w:szCs w:val="24"/>
        </w:rPr>
        <w:t>）面临解散、依法被撤销或者被依法宣告破产时，及时报告中国证监会和银行业监督管理机构，并通知基金管理人；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19</w:t>
      </w:r>
      <w:r>
        <w:rPr>
          <w:rFonts w:ascii="仿宋" w:eastAsia="仿宋" w:hAnsi="仿宋" w:cs="宋体" w:hint="eastAsia"/>
          <w:kern w:val="0"/>
          <w:sz w:val="24"/>
          <w:szCs w:val="24"/>
        </w:rPr>
        <w:t>）因违反《基金合同》导致基金财产损失时，应承担赔偿责任，其赔偿责任不因其退任而免除；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20</w:t>
      </w:r>
      <w:r>
        <w:rPr>
          <w:rFonts w:ascii="仿宋" w:eastAsia="仿宋" w:hAnsi="仿宋" w:cs="宋体" w:hint="eastAsia"/>
          <w:kern w:val="0"/>
          <w:sz w:val="24"/>
          <w:szCs w:val="24"/>
        </w:rPr>
        <w:t>）按规定监督基金管理人按法律法规和《基金合同》规定履行自己的义务，基金管理人因违反《基金合同》造成基金财产损失时，应为基金份额持有人利益向基金管理人追偿</w:t>
      </w:r>
      <w:bookmarkStart w:id="116" w:name="_Hlt88825668"/>
      <w:bookmarkEnd w:id="116"/>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21</w:t>
      </w:r>
      <w:r>
        <w:rPr>
          <w:rFonts w:ascii="仿宋" w:eastAsia="仿宋" w:hAnsi="仿宋" w:cs="宋体" w:hint="eastAsia"/>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22</w:t>
      </w:r>
      <w:r>
        <w:rPr>
          <w:rFonts w:ascii="仿宋" w:eastAsia="仿宋" w:hAnsi="仿宋" w:cs="宋体" w:hint="eastAsia"/>
          <w:kern w:val="0"/>
          <w:sz w:val="24"/>
          <w:szCs w:val="24"/>
        </w:rPr>
        <w:t>）</w:t>
      </w:r>
      <w:bookmarkStart w:id="117" w:name="_Toc523711670"/>
      <w:r>
        <w:rPr>
          <w:rFonts w:ascii="仿宋" w:eastAsia="仿宋" w:hAnsi="仿宋" w:cs="宋体" w:hint="eastAsia"/>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8" w:name="_Toc79392582"/>
      <w:bookmarkEnd w:id="117"/>
      <w:r>
        <w:rPr>
          <w:rFonts w:ascii="仿宋" w:eastAsia="仿宋" w:hAnsi="仿宋" w:cs="宋体" w:hint="eastAsia"/>
          <w:b/>
          <w:bCs/>
          <w:kern w:val="0"/>
          <w:sz w:val="24"/>
          <w:szCs w:val="24"/>
        </w:rPr>
        <w:t>三、基金份额持有人</w:t>
      </w:r>
      <w:bookmarkEnd w:id="11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基金投资者持有本基金</w:t>
      </w:r>
      <w:bookmarkStart w:id="119" w:name="_Hlt88899909"/>
      <w:bookmarkEnd w:id="119"/>
      <w:r>
        <w:rPr>
          <w:rFonts w:ascii="仿宋" w:eastAsia="仿宋" w:hAnsi="仿宋" w:cs="宋体" w:hint="eastAsia"/>
          <w:kern w:val="0"/>
          <w:sz w:val="24"/>
          <w:szCs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每份基金份额具有同等的合法权益。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、根据《基金法》、《运作办法》及其他有关规定，基金份额持有人的权利包括但不限于：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）分享基金财产收益；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）参与分配清算后的剩余基金财产；</w:t>
      </w:r>
      <w:bookmarkStart w:id="120" w:name="_Hlt88825574"/>
      <w:bookmarkEnd w:id="120"/>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）依法转让或申请赎回其持有的基金份额；</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）按照规定要求召开基金份额持有人大会或者召集基金份额持有人大会；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）出席或者委派代表出席基金份额持有人大会，对基金份额持有人大会审议事项行使表决权；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）查阅或者复制公开披露的基金信息资料；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）对基金管理人、基金托管人、基金服务机构损害其合法权益的行为依法提起诉讼</w:t>
      </w:r>
      <w:r>
        <w:rPr>
          <w:rFonts w:ascii="仿宋" w:eastAsia="仿宋" w:hAnsi="仿宋" w:cs="宋体"/>
          <w:kern w:val="0"/>
          <w:sz w:val="24"/>
          <w:szCs w:val="24"/>
        </w:rPr>
        <w:t>或仲裁</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、根据《基金法》、《运作办法》及其他有关规定，基金份额持有人的义务包括但不限于：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）认真阅读并遵守《基金合同》、招募说明书等信息披露文件；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）了解所投资基金产品，了解自身风险承受能力，自主判断基金的投资价值，自主做出投资决策，自行承担投资风险；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）关注基金信息披露，及时行使权利和履行义务；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）交纳基金申购款项及法律法规和《基金合同》所规定的费用；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）在其持有的基金份额范围内，承担基金亏损或者《基金合同》终止的有限责任；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）不从事任何有损基金及其他《基金合同》当事人合法权益的活动；</w:t>
      </w:r>
    </w:p>
    <w:p w:rsidR="00E45E2B" w:rsidRPr="00E71D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w:t>
      </w:r>
      <w:r w:rsidRPr="00E71D2B">
        <w:rPr>
          <w:rFonts w:ascii="仿宋" w:eastAsia="仿宋" w:hAnsi="仿宋" w:cs="宋体" w:hint="eastAsia"/>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）返还在基金交易过程中因任何原因获得的不当得利；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）法律法规及中国证监会规定的和《基金合同》约定的其他义务。</w:t>
      </w:r>
    </w:p>
    <w:p w:rsidR="00E45E2B" w:rsidRDefault="00E45E2B" w:rsidP="00E45E2B">
      <w:pPr>
        <w:widowControl/>
        <w:jc w:val="left"/>
        <w:rPr>
          <w:rFonts w:ascii="仿宋" w:eastAsia="仿宋" w:hAnsi="仿宋" w:cs="宋体"/>
          <w:kern w:val="0"/>
          <w:sz w:val="24"/>
          <w:szCs w:val="24"/>
        </w:rPr>
      </w:pPr>
    </w:p>
    <w:p w:rsidR="00E45E2B" w:rsidRDefault="00E45E2B" w:rsidP="004F6C89">
      <w:pPr>
        <w:pStyle w:val="1"/>
        <w:spacing w:line="360" w:lineRule="auto"/>
        <w:jc w:val="center"/>
        <w:rPr>
          <w:kern w:val="0"/>
        </w:rPr>
      </w:pPr>
      <w:r>
        <w:rPr>
          <w:rFonts w:ascii="仿宋" w:hAnsi="仿宋" w:cs="宋体"/>
          <w:kern w:val="0"/>
          <w:sz w:val="24"/>
          <w:szCs w:val="24"/>
        </w:rPr>
        <w:br w:type="page"/>
      </w:r>
      <w:bookmarkStart w:id="121" w:name="_Toc377998623"/>
      <w:bookmarkStart w:id="122" w:name="_Toc459291246"/>
      <w:bookmarkStart w:id="123" w:name="_Toc169163868"/>
      <w:r w:rsidRPr="004F6C89">
        <w:rPr>
          <w:rFonts w:eastAsia="仿宋" w:hint="eastAsia"/>
          <w:sz w:val="30"/>
          <w:szCs w:val="30"/>
          <w:lang w:val="zh-CN"/>
        </w:rPr>
        <w:t>第八部分</w:t>
      </w:r>
      <w:r w:rsidRPr="004F6C89">
        <w:rPr>
          <w:rFonts w:eastAsia="仿宋" w:hint="eastAsia"/>
          <w:sz w:val="30"/>
          <w:szCs w:val="30"/>
          <w:lang w:val="zh-CN"/>
        </w:rPr>
        <w:t xml:space="preserve">    </w:t>
      </w:r>
      <w:r w:rsidRPr="004F6C89">
        <w:rPr>
          <w:rFonts w:eastAsia="仿宋" w:hint="eastAsia"/>
          <w:sz w:val="30"/>
          <w:szCs w:val="30"/>
          <w:lang w:val="zh-CN"/>
        </w:rPr>
        <w:t>基金份额持有人大会</w:t>
      </w:r>
      <w:bookmarkEnd w:id="121"/>
      <w:bookmarkEnd w:id="122"/>
      <w:bookmarkEnd w:id="12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本基金份额持有人大会不设日常机构。</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24" w:name="_Toc15641220"/>
      <w:bookmarkStart w:id="125" w:name="_Toc79392584"/>
      <w:bookmarkStart w:id="126" w:name="_Toc57530243"/>
      <w:r>
        <w:rPr>
          <w:rFonts w:ascii="仿宋" w:eastAsia="仿宋" w:hAnsi="仿宋" w:cs="宋体" w:hint="eastAsia"/>
          <w:b/>
          <w:bCs/>
          <w:kern w:val="0"/>
          <w:sz w:val="24"/>
          <w:szCs w:val="24"/>
        </w:rPr>
        <w:t>一、召开事由</w:t>
      </w:r>
      <w:bookmarkEnd w:id="124"/>
      <w:bookmarkEnd w:id="125"/>
      <w:bookmarkEnd w:id="126"/>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sidRPr="001C3977">
        <w:rPr>
          <w:rFonts w:ascii="仿宋" w:eastAsia="仿宋" w:hAnsi="仿宋" w:cs="宋体" w:hint="eastAsia"/>
          <w:kern w:val="0"/>
          <w:sz w:val="24"/>
          <w:szCs w:val="24"/>
        </w:rPr>
        <w:t>除法律法规、中国证监会另有规定</w:t>
      </w:r>
      <w:r>
        <w:rPr>
          <w:rFonts w:ascii="仿宋" w:eastAsia="仿宋" w:hAnsi="仿宋" w:cs="宋体" w:hint="eastAsia"/>
          <w:kern w:val="0"/>
          <w:sz w:val="24"/>
          <w:szCs w:val="24"/>
        </w:rPr>
        <w:t>或基金合同另有约定</w:t>
      </w:r>
      <w:r w:rsidRPr="001C3977">
        <w:rPr>
          <w:rFonts w:ascii="仿宋" w:eastAsia="仿宋" w:hAnsi="仿宋" w:cs="宋体" w:hint="eastAsia"/>
          <w:kern w:val="0"/>
          <w:sz w:val="24"/>
          <w:szCs w:val="24"/>
        </w:rPr>
        <w:t>外，</w:t>
      </w:r>
      <w:r>
        <w:rPr>
          <w:rFonts w:ascii="仿宋" w:eastAsia="仿宋" w:hAnsi="仿宋" w:cs="宋体" w:hint="eastAsia"/>
          <w:kern w:val="0"/>
          <w:sz w:val="24"/>
          <w:szCs w:val="24"/>
        </w:rPr>
        <w:t>当出现或需要决定下列事由之一的，应当召开基金份额持有人大会：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）终止《基金合同》；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）更换基金管理人；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）更换基金托管人；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）转换基金运作方式</w:t>
      </w:r>
      <w:r>
        <w:rPr>
          <w:rFonts w:ascii="仿宋" w:eastAsia="仿宋" w:hAnsi="仿宋" w:cs="宋体"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w:t>
      </w:r>
      <w:r>
        <w:rPr>
          <w:rFonts w:ascii="仿宋" w:eastAsia="仿宋" w:hAnsi="仿宋" w:cs="宋体" w:hint="eastAsia"/>
          <w:bCs/>
          <w:color w:val="000000"/>
          <w:kern w:val="0"/>
          <w:sz w:val="24"/>
          <w:szCs w:val="24"/>
        </w:rPr>
        <w:t>调整基金管理人、基金托管人的报酬标准；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）变更基金类别；</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）本基金与其他基金的合并；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）变更基金投资目标、范围或策略；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）变更基金份额持有人大会程序；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）基金管理人或基金托管人要求召开基金份额持有人大会；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）单独或合计持有本基金总份额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％）基金份额的基金份额持有人（以基金管理人收到提议当日的基金份额计算，下同）就同一事项书面要求召开基金份额持有人大会；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）对基金合同当事人权利和义务产生重大影响的其他事项；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13</w:t>
      </w:r>
      <w:r>
        <w:rPr>
          <w:rFonts w:ascii="仿宋" w:eastAsia="仿宋" w:hAnsi="仿宋" w:cs="宋体" w:hint="eastAsia"/>
          <w:kern w:val="0"/>
          <w:sz w:val="24"/>
          <w:szCs w:val="24"/>
        </w:rPr>
        <w:t>）法律法规、《基金合同》或中国证监会规定的其他应当召开基金份额持有人大会的事项。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w:t>
      </w:r>
      <w:r w:rsidRPr="008B3F58">
        <w:rPr>
          <w:rFonts w:ascii="仿宋" w:eastAsia="仿宋" w:hAnsi="仿宋" w:cs="宋体" w:hint="eastAsia"/>
          <w:kern w:val="0"/>
          <w:sz w:val="24"/>
          <w:szCs w:val="24"/>
        </w:rPr>
        <w:t>在法律法规规定和《基金合同》约定的范围内且对基金份额持有人利益无实质性不利影响的</w:t>
      </w:r>
      <w:r>
        <w:rPr>
          <w:rFonts w:ascii="仿宋" w:eastAsia="仿宋" w:hAnsi="仿宋" w:cs="宋体" w:hint="eastAsia"/>
          <w:kern w:val="0"/>
          <w:sz w:val="24"/>
          <w:szCs w:val="24"/>
        </w:rPr>
        <w:t>前提下，以下情况可由基金管理人和基金托管人协商一致</w:t>
      </w:r>
      <w:r w:rsidRPr="00397C20">
        <w:rPr>
          <w:rFonts w:ascii="仿宋" w:eastAsia="仿宋" w:hAnsi="仿宋" w:cs="宋体" w:hint="eastAsia"/>
          <w:kern w:val="0"/>
          <w:sz w:val="24"/>
          <w:szCs w:val="24"/>
        </w:rPr>
        <w:t>并履行适当程序</w:t>
      </w:r>
      <w:r>
        <w:rPr>
          <w:rFonts w:ascii="仿宋" w:eastAsia="仿宋" w:hAnsi="仿宋" w:cs="宋体" w:hint="eastAsia"/>
          <w:kern w:val="0"/>
          <w:sz w:val="24"/>
          <w:szCs w:val="24"/>
        </w:rPr>
        <w:t>后修改，不需召开基金份额持有人大会：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）法律法规要求增加的基金费用的收取</w:t>
      </w:r>
      <w:r w:rsidRPr="001C3977">
        <w:rPr>
          <w:rFonts w:ascii="仿宋" w:eastAsia="仿宋" w:hAnsi="仿宋" w:cs="宋体" w:hint="eastAsia"/>
          <w:kern w:val="0"/>
          <w:sz w:val="24"/>
          <w:szCs w:val="24"/>
        </w:rPr>
        <w:t>和其他应由基金承担的费用</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27" w:name="OLE_LINK21"/>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）调整本基金的申购费率或变更收费方式；</w:t>
      </w:r>
    </w:p>
    <w:bookmarkEnd w:id="127"/>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）因相应的法律法规发生变动而应当对《基金合同》进行修改；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）对《基金合同》的修改对基金份额持有人利益无实质性不利影响或修改不涉及《基金合同》当事人权利义务关系发生重大变化；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w:t>
      </w:r>
      <w:r w:rsidRPr="008B3F58">
        <w:rPr>
          <w:rFonts w:ascii="仿宋" w:eastAsia="仿宋" w:hAnsi="仿宋" w:cs="宋体" w:hint="eastAsia"/>
          <w:kern w:val="0"/>
          <w:sz w:val="24"/>
          <w:szCs w:val="24"/>
        </w:rPr>
        <w:t>增加新的基金份额类别或调整基金份额分类规则；</w:t>
      </w:r>
    </w:p>
    <w:p w:rsidR="00E45E2B" w:rsidRDefault="00E45E2B" w:rsidP="00E45E2B">
      <w:pPr>
        <w:autoSpaceDE w:val="0"/>
        <w:autoSpaceDN w:val="0"/>
        <w:adjustRightInd w:val="0"/>
        <w:spacing w:line="360" w:lineRule="auto"/>
        <w:ind w:firstLine="420"/>
        <w:jc w:val="left"/>
        <w:rPr>
          <w:rFonts w:ascii="仿宋" w:eastAsia="仿宋" w:hAnsi="仿宋"/>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）按照法律法规和《基金合同》规定不需召开基金份额持有人大会的其他情形。</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28" w:name="_Toc57530244"/>
      <w:bookmarkStart w:id="129" w:name="_Toc15641221"/>
      <w:bookmarkStart w:id="130" w:name="_Toc79392585"/>
      <w:r>
        <w:rPr>
          <w:rFonts w:ascii="仿宋" w:eastAsia="仿宋" w:hAnsi="仿宋" w:cs="宋体" w:hint="eastAsia"/>
          <w:b/>
          <w:bCs/>
          <w:kern w:val="0"/>
          <w:sz w:val="24"/>
          <w:szCs w:val="24"/>
        </w:rPr>
        <w:t>二、会议召集人及召集方式</w:t>
      </w:r>
      <w:bookmarkEnd w:id="128"/>
      <w:bookmarkEnd w:id="129"/>
      <w:bookmarkEnd w:id="130"/>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31" w:name="_Toc15641222"/>
      <w:bookmarkStart w:id="132" w:name="_Toc57530245"/>
      <w:r>
        <w:rPr>
          <w:rFonts w:ascii="仿宋" w:eastAsia="仿宋" w:hAnsi="仿宋" w:cs="宋体"/>
          <w:kern w:val="0"/>
          <w:sz w:val="24"/>
          <w:szCs w:val="24"/>
        </w:rPr>
        <w:t>1</w:t>
      </w:r>
      <w:r>
        <w:rPr>
          <w:rFonts w:ascii="仿宋" w:eastAsia="仿宋" w:hAnsi="仿宋" w:cs="宋体" w:hint="eastAsia"/>
          <w:kern w:val="0"/>
          <w:sz w:val="24"/>
          <w:szCs w:val="24"/>
        </w:rPr>
        <w:t>、除法律法规规定或《基金合同》另有约定外，基金份额持有人大会由基金管理人召集。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、基金管理人未按规定召集或不能召集时，由基金托管人召集。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、基金托管人认为有必要召开基金份额持有人大会的，应当向基金管理人提出书面提议。基金管理人应当自收到书面提议之日起</w:t>
      </w:r>
      <w:r>
        <w:rPr>
          <w:rFonts w:ascii="仿宋" w:eastAsia="仿宋" w:hAnsi="仿宋" w:cs="宋体"/>
          <w:kern w:val="0"/>
          <w:sz w:val="24"/>
          <w:szCs w:val="24"/>
        </w:rPr>
        <w:t>10</w:t>
      </w:r>
      <w:r>
        <w:rPr>
          <w:rFonts w:ascii="仿宋" w:eastAsia="仿宋" w:hAnsi="仿宋" w:cs="宋体" w:hint="eastAsia"/>
          <w:kern w:val="0"/>
          <w:sz w:val="24"/>
          <w:szCs w:val="24"/>
        </w:rPr>
        <w:t>日内决定是否召集，并书面告知基金托管人。基金管理人决定召集的，应当自出具书面决定之日起</w:t>
      </w:r>
      <w:r>
        <w:rPr>
          <w:rFonts w:ascii="仿宋" w:eastAsia="仿宋" w:hAnsi="仿宋" w:cs="宋体"/>
          <w:kern w:val="0"/>
          <w:sz w:val="24"/>
          <w:szCs w:val="24"/>
        </w:rPr>
        <w:t xml:space="preserve">60 </w:t>
      </w:r>
      <w:r>
        <w:rPr>
          <w:rFonts w:ascii="仿宋" w:eastAsia="仿宋" w:hAnsi="仿宋" w:cs="宋体" w:hint="eastAsia"/>
          <w:kern w:val="0"/>
          <w:sz w:val="24"/>
          <w:szCs w:val="24"/>
        </w:rPr>
        <w:t>日内召开；基金管理人决定不召集，基金托管人仍认为有必要召开的，应当由基金托管人自行召集，并自出具书面决定之日起六十日内召开并告知基金管理人，基金管理人应当配合。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）的基金份额持有人就同一事项书面要求召开基金份额持有人大会，应当向基金管理人提出书面提议。基金管理人应当自收到书面提议之日起</w:t>
      </w:r>
      <w:r>
        <w:rPr>
          <w:rFonts w:ascii="仿宋" w:eastAsia="仿宋" w:hAnsi="仿宋" w:cs="宋体"/>
          <w:kern w:val="0"/>
          <w:sz w:val="24"/>
          <w:szCs w:val="24"/>
        </w:rPr>
        <w:t>10</w:t>
      </w:r>
      <w:r>
        <w:rPr>
          <w:rFonts w:ascii="仿宋" w:eastAsia="仿宋" w:hAnsi="仿宋" w:cs="宋体" w:hint="eastAsia"/>
          <w:kern w:val="0"/>
          <w:sz w:val="24"/>
          <w:szCs w:val="24"/>
        </w:rPr>
        <w:t>日内决定是否召集，并书面告知提出提议的基金份额持有人代表和基金托管人。基金管理人决定召集的，应当自出具书面决定之日起</w:t>
      </w:r>
      <w:r>
        <w:rPr>
          <w:rFonts w:ascii="仿宋" w:eastAsia="仿宋" w:hAnsi="仿宋" w:cs="宋体"/>
          <w:kern w:val="0"/>
          <w:sz w:val="24"/>
          <w:szCs w:val="24"/>
        </w:rPr>
        <w:t>60</w:t>
      </w:r>
      <w:r>
        <w:rPr>
          <w:rFonts w:ascii="仿宋" w:eastAsia="仿宋" w:hAnsi="仿宋" w:cs="宋体" w:hint="eastAsia"/>
          <w:kern w:val="0"/>
          <w:sz w:val="24"/>
          <w:szCs w:val="24"/>
        </w:rPr>
        <w:t>日内召开；基金管理人决定不召集，代表基金份额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）的基金份额持有人仍认为有必要召开的，应当向基金托管人提出书面提议。基金托管人应当自收到书面提议之日起</w:t>
      </w:r>
      <w:r>
        <w:rPr>
          <w:rFonts w:ascii="仿宋" w:eastAsia="仿宋" w:hAnsi="仿宋" w:cs="宋体"/>
          <w:kern w:val="0"/>
          <w:sz w:val="24"/>
          <w:szCs w:val="24"/>
        </w:rPr>
        <w:t>10</w:t>
      </w:r>
      <w:r>
        <w:rPr>
          <w:rFonts w:ascii="仿宋" w:eastAsia="仿宋" w:hAnsi="仿宋" w:cs="宋体" w:hint="eastAsia"/>
          <w:kern w:val="0"/>
          <w:sz w:val="24"/>
          <w:szCs w:val="24"/>
        </w:rPr>
        <w:t>日内决定是否召集，并书面告知提出提议的基金份额持有人代表和基金管理人；基金托管人决定召集的，应当自出具书面决定之日起</w:t>
      </w:r>
      <w:r>
        <w:rPr>
          <w:rFonts w:ascii="仿宋" w:eastAsia="仿宋" w:hAnsi="仿宋" w:cs="宋体"/>
          <w:kern w:val="0"/>
          <w:sz w:val="24"/>
          <w:szCs w:val="24"/>
        </w:rPr>
        <w:t>60</w:t>
      </w:r>
      <w:r>
        <w:rPr>
          <w:rFonts w:ascii="仿宋" w:eastAsia="仿宋" w:hAnsi="仿宋" w:cs="宋体" w:hint="eastAsia"/>
          <w:kern w:val="0"/>
          <w:sz w:val="24"/>
          <w:szCs w:val="24"/>
        </w:rPr>
        <w:t>日内召开并告知基金管理人，基金管理人应当配合。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）的基金份额持有人就同一事项要求召开基金份额持有人大会，而基金管理人、基金托管人都不召集的，单独或合计代表基金份额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）的基金份额持有人有权自行召集，并至少提前</w:t>
      </w:r>
      <w:r>
        <w:rPr>
          <w:rFonts w:ascii="仿宋" w:eastAsia="仿宋" w:hAnsi="仿宋" w:cs="宋体"/>
          <w:kern w:val="0"/>
          <w:sz w:val="24"/>
          <w:szCs w:val="24"/>
        </w:rPr>
        <w:t>30</w:t>
      </w:r>
      <w:r>
        <w:rPr>
          <w:rFonts w:ascii="仿宋" w:eastAsia="仿宋" w:hAnsi="仿宋" w:cs="宋体" w:hint="eastAsia"/>
          <w:kern w:val="0"/>
          <w:sz w:val="24"/>
          <w:szCs w:val="24"/>
        </w:rPr>
        <w:t>日报中国证监会备案。基金份额持有人依法自行召集基金份额持有人大会的，基金管理人、基金托管人应当配合，不得阻碍、干扰。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、基金份额持有人会议的召集人负责选择确定开会时间、地点、方式和权益登记日。</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3" w:name="_Toc79392586"/>
      <w:r>
        <w:rPr>
          <w:rFonts w:ascii="仿宋" w:eastAsia="仿宋" w:hAnsi="仿宋" w:cs="宋体" w:hint="eastAsia"/>
          <w:b/>
          <w:bCs/>
          <w:kern w:val="0"/>
          <w:sz w:val="24"/>
          <w:szCs w:val="24"/>
        </w:rPr>
        <w:t>三、召开基金份额持有人大会的通知时间、通知内容、通知方式</w:t>
      </w:r>
      <w:bookmarkEnd w:id="131"/>
      <w:bookmarkEnd w:id="132"/>
      <w:bookmarkEnd w:id="13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、召开基金份额持有人大会，召集人应于会议召开前3</w:t>
      </w:r>
      <w:r>
        <w:rPr>
          <w:rFonts w:ascii="仿宋" w:eastAsia="仿宋" w:hAnsi="仿宋" w:cs="宋体"/>
          <w:kern w:val="0"/>
          <w:sz w:val="24"/>
          <w:szCs w:val="24"/>
        </w:rPr>
        <w:t>0</w:t>
      </w:r>
      <w:r>
        <w:rPr>
          <w:rFonts w:ascii="仿宋" w:eastAsia="仿宋" w:hAnsi="仿宋" w:cs="宋体" w:hint="eastAsia"/>
          <w:kern w:val="0"/>
          <w:sz w:val="24"/>
          <w:szCs w:val="24"/>
        </w:rPr>
        <w:t>日，在规定媒介公告。基金份额持有人大会通知应至少载明以下内容：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）会议召开的时间、地点、方式和会议形式；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）会议拟审议的事项、议事程序和表决方式；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）有权出席基金份额持有人大会的基金份额持有人的权益登记日；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）授权委托证明的内容要求（包括但不限于代理人身份，代理权限和代理有效期限等）、送达时间和地点；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）会务常设联系人姓名及联系电话；</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）出席会议者必须准备的文件和必须履行的手续；</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）召集人需要通知的其他事项。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采取通讯开会方式并进行表决的情况下，由会议召集人决定并在会议通知中说明本次基金份额持有人大会所采取的具体通讯方式及投票方式、委托的公证机关及其联系方式和联系人、表决意见提交的截止时间和收取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4" w:name="_Toc79392587"/>
      <w:bookmarkStart w:id="135" w:name="_Toc57530246"/>
      <w:bookmarkStart w:id="136" w:name="_Toc15641223"/>
      <w:r>
        <w:rPr>
          <w:rFonts w:ascii="仿宋" w:eastAsia="仿宋" w:hAnsi="仿宋" w:cs="宋体" w:hint="eastAsia"/>
          <w:b/>
          <w:bCs/>
          <w:kern w:val="0"/>
          <w:sz w:val="24"/>
          <w:szCs w:val="24"/>
        </w:rPr>
        <w:t>四、基金份额持有人出席会议的方式</w:t>
      </w:r>
      <w:bookmarkEnd w:id="134"/>
      <w:bookmarkEnd w:id="135"/>
      <w:bookmarkEnd w:id="136"/>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基金份额持有人大会可通过现场开会方式、通讯开会方式或法律法规、监管机构允许的其他方式召开，会议的召开方式由会议召集人确定。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w:t>
      </w:r>
      <w:r w:rsidRPr="00665CE1">
        <w:rPr>
          <w:rFonts w:ascii="仿宋" w:eastAsia="仿宋" w:hAnsi="仿宋" w:cs="宋体" w:hint="eastAsia"/>
          <w:kern w:val="0"/>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、通讯开会。通讯开会系指基金份额持有人将其对表决事项的投票以</w:t>
      </w:r>
      <w:r w:rsidRPr="008238A7">
        <w:rPr>
          <w:rFonts w:ascii="仿宋" w:eastAsia="仿宋" w:hAnsi="仿宋" w:cs="宋体" w:hint="eastAsia"/>
          <w:kern w:val="0"/>
          <w:sz w:val="24"/>
          <w:szCs w:val="24"/>
        </w:rPr>
        <w:t>书面形式或</w:t>
      </w:r>
      <w:r w:rsidRPr="00ED6494">
        <w:rPr>
          <w:rFonts w:ascii="仿宋" w:eastAsia="仿宋" w:hAnsi="仿宋" w:cs="宋体" w:hint="eastAsia"/>
          <w:kern w:val="0"/>
          <w:sz w:val="24"/>
          <w:szCs w:val="24"/>
        </w:rPr>
        <w:t>大会公告载明</w:t>
      </w:r>
      <w:r>
        <w:rPr>
          <w:rFonts w:ascii="仿宋" w:eastAsia="仿宋" w:hAnsi="仿宋" w:cs="宋体" w:hint="eastAsia"/>
          <w:kern w:val="0"/>
          <w:sz w:val="24"/>
          <w:szCs w:val="24"/>
        </w:rPr>
        <w:t>的其他方式在表决截止日以前送达至召集人指定的地址或系统。</w:t>
      </w:r>
      <w:r w:rsidRPr="008238A7">
        <w:rPr>
          <w:rFonts w:ascii="仿宋" w:eastAsia="仿宋" w:hAnsi="仿宋" w:cs="宋体" w:hint="eastAsia"/>
          <w:kern w:val="0"/>
          <w:sz w:val="24"/>
          <w:szCs w:val="24"/>
        </w:rPr>
        <w:t>通讯开会应以书面方式或</w:t>
      </w:r>
      <w:r w:rsidRPr="00ED6494">
        <w:rPr>
          <w:rFonts w:ascii="仿宋" w:eastAsia="仿宋" w:hAnsi="仿宋" w:cs="宋体" w:hint="eastAsia"/>
          <w:kern w:val="0"/>
          <w:sz w:val="24"/>
          <w:szCs w:val="24"/>
        </w:rPr>
        <w:t>大会公告载明</w:t>
      </w:r>
      <w:r w:rsidRPr="008238A7">
        <w:rPr>
          <w:rFonts w:ascii="仿宋" w:eastAsia="仿宋" w:hAnsi="仿宋" w:cs="宋体" w:hint="eastAsia"/>
          <w:kern w:val="0"/>
          <w:sz w:val="24"/>
          <w:szCs w:val="24"/>
        </w:rPr>
        <w:t>的其他方式进行表决</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在同时符合以下条件时，通讯开会的方式视为有效：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）会议召集人按《基金合同》约定公布会议通知后，在</w:t>
      </w:r>
      <w:r w:rsidRPr="008238A7">
        <w:rPr>
          <w:rFonts w:ascii="仿宋" w:eastAsia="仿宋" w:hAnsi="仿宋" w:cs="宋体" w:hint="eastAsia"/>
          <w:kern w:val="0"/>
          <w:sz w:val="24"/>
          <w:szCs w:val="24"/>
        </w:rPr>
        <w:t>2个工作日内连续</w:t>
      </w:r>
      <w:r>
        <w:rPr>
          <w:rFonts w:ascii="仿宋" w:eastAsia="仿宋" w:hAnsi="仿宋" w:cs="宋体" w:hint="eastAsia"/>
          <w:kern w:val="0"/>
          <w:sz w:val="24"/>
          <w:szCs w:val="24"/>
        </w:rPr>
        <w:t>公布相关提示性公告；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）本人直接出具表决意见或授权他人代表出具表决意见的，基金份额持有人所持有的基金份额不小于在权益登记日基金总份额的</w:t>
      </w:r>
      <w:r w:rsidRPr="008238A7">
        <w:rPr>
          <w:rFonts w:ascii="仿宋" w:eastAsia="仿宋" w:hAnsi="仿宋" w:cs="宋体" w:hint="eastAsia"/>
          <w:kern w:val="0"/>
          <w:sz w:val="24"/>
          <w:szCs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）上述第（</w:t>
      </w:r>
      <w:r>
        <w:rPr>
          <w:rFonts w:ascii="仿宋" w:eastAsia="仿宋" w:hAnsi="仿宋" w:cs="宋体"/>
          <w:kern w:val="0"/>
          <w:sz w:val="24"/>
          <w:szCs w:val="24"/>
        </w:rPr>
        <w:t>3</w:t>
      </w:r>
      <w:r>
        <w:rPr>
          <w:rFonts w:ascii="仿宋" w:eastAsia="仿宋" w:hAnsi="仿宋" w:cs="宋体" w:hint="eastAsia"/>
          <w:kern w:val="0"/>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w:t>
      </w:r>
      <w:r w:rsidRPr="008238A7">
        <w:rPr>
          <w:rFonts w:ascii="仿宋" w:eastAsia="仿宋" w:hAnsi="仿宋" w:cs="宋体" w:hint="eastAsia"/>
          <w:kern w:val="0"/>
          <w:sz w:val="24"/>
          <w:szCs w:val="24"/>
        </w:rPr>
        <w:t>委托证明需</w:t>
      </w:r>
      <w:r>
        <w:rPr>
          <w:rFonts w:ascii="仿宋" w:eastAsia="仿宋" w:hAnsi="仿宋" w:cs="宋体" w:hint="eastAsia"/>
          <w:kern w:val="0"/>
          <w:sz w:val="24"/>
          <w:szCs w:val="24"/>
        </w:rPr>
        <w:t>符合法律法规、《基金合同》和会议通知的规定</w:t>
      </w:r>
      <w:r w:rsidRPr="00BF1B33">
        <w:rPr>
          <w:rFonts w:ascii="仿宋" w:eastAsia="仿宋" w:hAnsi="仿宋" w:cs="宋体" w:hint="eastAsia"/>
          <w:kern w:val="0"/>
          <w:sz w:val="24"/>
          <w:szCs w:val="24"/>
        </w:rPr>
        <w:t>，并与基金登记机构记录相符</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7" w:name="_Toc79392588"/>
      <w:bookmarkStart w:id="138" w:name="_Toc15641224"/>
      <w:bookmarkStart w:id="139" w:name="_Toc57530247"/>
      <w:r>
        <w:rPr>
          <w:rFonts w:ascii="仿宋" w:eastAsia="仿宋" w:hAnsi="仿宋" w:cs="宋体" w:hint="eastAsia"/>
          <w:b/>
          <w:bCs/>
          <w:kern w:val="0"/>
          <w:sz w:val="24"/>
          <w:szCs w:val="24"/>
        </w:rPr>
        <w:t>五、议事内容与程序</w:t>
      </w:r>
      <w:bookmarkEnd w:id="137"/>
      <w:bookmarkEnd w:id="138"/>
      <w:bookmarkEnd w:id="13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、议事内容及提案权</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基金份额持有人大会的召集人发出召集会议的通知后，对原有提案的修改应当在基金份额持有人大会召开前及时公告。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基金份额持有人大会不得对未事先公告的议事内容进行表决。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、议事程序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仿宋" w:eastAsia="仿宋" w:hAnsi="仿宋" w:cs="宋体"/>
          <w:kern w:val="0"/>
          <w:sz w:val="24"/>
          <w:szCs w:val="24"/>
        </w:rPr>
        <w:t>二分之一</w:t>
      </w:r>
      <w:r>
        <w:rPr>
          <w:rFonts w:ascii="仿宋" w:eastAsia="仿宋" w:hAnsi="仿宋" w:cs="宋体" w:hint="eastAsia"/>
          <w:kern w:val="0"/>
          <w:sz w:val="24"/>
          <w:szCs w:val="24"/>
        </w:rPr>
        <w:t>以上（含</w:t>
      </w:r>
      <w:r>
        <w:rPr>
          <w:rFonts w:ascii="仿宋" w:eastAsia="仿宋" w:hAnsi="仿宋" w:cs="宋体"/>
          <w:kern w:val="0"/>
          <w:sz w:val="24"/>
          <w:szCs w:val="24"/>
        </w:rPr>
        <w:t>二分之一</w:t>
      </w:r>
      <w:r>
        <w:rPr>
          <w:rFonts w:ascii="仿宋" w:eastAsia="仿宋" w:hAnsi="仿宋" w:cs="宋体" w:hint="eastAsia"/>
          <w:kern w:val="0"/>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在通讯开会的情况下，首先由召集人提前</w:t>
      </w:r>
      <w:r>
        <w:rPr>
          <w:rFonts w:ascii="仿宋" w:eastAsia="仿宋" w:hAnsi="仿宋" w:cs="宋体"/>
          <w:kern w:val="0"/>
          <w:sz w:val="24"/>
          <w:szCs w:val="24"/>
        </w:rPr>
        <w:t>30</w:t>
      </w:r>
      <w:r>
        <w:rPr>
          <w:rFonts w:ascii="仿宋" w:eastAsia="仿宋" w:hAnsi="仿宋" w:cs="宋体" w:hint="eastAsia"/>
          <w:kern w:val="0"/>
          <w:sz w:val="24"/>
          <w:szCs w:val="24"/>
        </w:rPr>
        <w:t>日公布提案，在所通知的表决截止日期后</w:t>
      </w:r>
      <w:r>
        <w:rPr>
          <w:rFonts w:ascii="仿宋" w:eastAsia="仿宋" w:hAnsi="仿宋" w:cs="宋体"/>
          <w:kern w:val="0"/>
          <w:sz w:val="24"/>
          <w:szCs w:val="24"/>
        </w:rPr>
        <w:t>2</w:t>
      </w:r>
      <w:r>
        <w:rPr>
          <w:rFonts w:ascii="仿宋" w:eastAsia="仿宋" w:hAnsi="仿宋" w:cs="宋体" w:hint="eastAsia"/>
          <w:kern w:val="0"/>
          <w:sz w:val="24"/>
          <w:szCs w:val="24"/>
        </w:rPr>
        <w:t>个工作日内在公证机关监督下由召集人统计全部有效表决，在公证机关监督下形成决议。</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40" w:name="_Toc57530248"/>
      <w:bookmarkStart w:id="141" w:name="_Toc79392589"/>
      <w:bookmarkStart w:id="142" w:name="_Toc15641225"/>
      <w:r>
        <w:rPr>
          <w:rFonts w:ascii="仿宋" w:eastAsia="仿宋" w:hAnsi="仿宋" w:cs="宋体" w:hint="eastAsia"/>
          <w:b/>
          <w:bCs/>
          <w:kern w:val="0"/>
          <w:sz w:val="24"/>
          <w:szCs w:val="24"/>
        </w:rPr>
        <w:t>六、表决</w:t>
      </w:r>
      <w:bookmarkEnd w:id="140"/>
      <w:bookmarkEnd w:id="141"/>
      <w:bookmarkEnd w:id="14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基金份额持有人所持每份基金份额有一票表决权。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基金份额持有人大会决议分为一般决议和特别决议：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、一般决议，一般决议须经参加大会的基金份额持有人或其代理人所持表决权的二分之一以上（含二分之一）通过方为有效；除下列第</w:t>
      </w:r>
      <w:r>
        <w:rPr>
          <w:rFonts w:ascii="仿宋" w:eastAsia="仿宋" w:hAnsi="仿宋" w:cs="宋体"/>
          <w:kern w:val="0"/>
          <w:sz w:val="24"/>
          <w:szCs w:val="24"/>
        </w:rPr>
        <w:t>2</w:t>
      </w:r>
      <w:r>
        <w:rPr>
          <w:rFonts w:ascii="仿宋" w:eastAsia="仿宋" w:hAnsi="仿宋" w:cs="宋体" w:hint="eastAsia"/>
          <w:kern w:val="0"/>
          <w:sz w:val="24"/>
          <w:szCs w:val="24"/>
        </w:rPr>
        <w:t>项所规定的须以特别决议通过事项以外的其他事项均以一般决议的方式通过。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、特别决议，特别决议应当经参加大会的基金份额持有人或其代理人所持表决权的三分之二以上（含三分之二）通过方可做出。</w:t>
      </w:r>
      <w:r w:rsidRPr="00397C20">
        <w:rPr>
          <w:rFonts w:ascii="仿宋" w:eastAsia="仿宋" w:hAnsi="仿宋" w:cs="宋体" w:hint="eastAsia"/>
          <w:kern w:val="0"/>
          <w:sz w:val="24"/>
          <w:szCs w:val="24"/>
        </w:rPr>
        <w:t>除法律法规另有规定或基金合同另有约定外，</w:t>
      </w:r>
      <w:r>
        <w:rPr>
          <w:rFonts w:ascii="仿宋" w:eastAsia="仿宋" w:hAnsi="仿宋" w:cs="宋体" w:hint="eastAsia"/>
          <w:kern w:val="0"/>
          <w:sz w:val="24"/>
          <w:szCs w:val="24"/>
        </w:rPr>
        <w:t>转换基金运作方式、更换基金管理人或者基金托管人、终止《基金合同》、</w:t>
      </w:r>
      <w:r w:rsidRPr="00D0678D">
        <w:rPr>
          <w:rFonts w:ascii="仿宋" w:eastAsia="仿宋" w:hAnsi="仿宋" w:cs="宋体" w:hint="eastAsia"/>
          <w:kern w:val="0"/>
          <w:sz w:val="24"/>
          <w:szCs w:val="24"/>
        </w:rPr>
        <w:t>本基金</w:t>
      </w:r>
      <w:r>
        <w:rPr>
          <w:rFonts w:ascii="仿宋" w:eastAsia="仿宋" w:hAnsi="仿宋" w:cs="宋体" w:hint="eastAsia"/>
          <w:kern w:val="0"/>
          <w:sz w:val="24"/>
          <w:szCs w:val="24"/>
        </w:rPr>
        <w:t>与其他基金合并以特别决议通过方为有效。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基金份额持有人大会采取记名方式进行投票表决。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基金份额持有人大会的各项提案或同一项提案内并列的各项议题应当分开审议、逐项表决。</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43" w:name="_Toc15641226"/>
      <w:bookmarkStart w:id="144" w:name="_Toc57530249"/>
      <w:bookmarkStart w:id="145" w:name="_Toc79392590"/>
      <w:r>
        <w:rPr>
          <w:rFonts w:ascii="仿宋" w:eastAsia="仿宋" w:hAnsi="仿宋" w:cs="宋体" w:hint="eastAsia"/>
          <w:b/>
          <w:bCs/>
          <w:kern w:val="0"/>
          <w:sz w:val="24"/>
          <w:szCs w:val="24"/>
        </w:rPr>
        <w:t>七、计票</w:t>
      </w:r>
      <w:bookmarkEnd w:id="143"/>
      <w:bookmarkEnd w:id="144"/>
      <w:bookmarkEnd w:id="14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）监票人应当在基金份额持有人表决后立即进行清点并由大会主持人当场公布计票结果。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）计票过程应由公证机关予以公证</w:t>
      </w:r>
      <w:r>
        <w:rPr>
          <w:rFonts w:ascii="仿宋" w:eastAsia="仿宋" w:hAnsi="仿宋" w:cs="宋体"/>
          <w:kern w:val="0"/>
          <w:sz w:val="24"/>
          <w:szCs w:val="24"/>
        </w:rPr>
        <w:t>,</w:t>
      </w:r>
      <w:r>
        <w:rPr>
          <w:rFonts w:ascii="仿宋" w:eastAsia="仿宋" w:hAnsi="仿宋" w:cs="宋体" w:hint="eastAsia"/>
          <w:kern w:val="0"/>
          <w:sz w:val="24"/>
          <w:szCs w:val="24"/>
        </w:rPr>
        <w:t>基金管理人或基金托管人拒不出席大会的，不影响计票的效力。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6" w:name="_Toc15641227"/>
      <w:bookmarkStart w:id="147" w:name="_Toc79392591"/>
      <w:bookmarkStart w:id="148" w:name="_Toc57530250"/>
      <w:r>
        <w:rPr>
          <w:rFonts w:ascii="仿宋" w:eastAsia="仿宋" w:hAnsi="仿宋" w:cs="宋体" w:hint="eastAsia"/>
          <w:kern w:val="0"/>
          <w:sz w:val="24"/>
          <w:szCs w:val="24"/>
        </w:rPr>
        <w:t>。基金管理人或基金托管人拒派代表对表决意见的计票进行监督的，不影响计票和表决结果。</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八、生效与公告</w:t>
      </w:r>
      <w:bookmarkEnd w:id="146"/>
      <w:bookmarkEnd w:id="147"/>
      <w:bookmarkEnd w:id="14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基金份额持有人大会的决议，召集人应当自通过之日起</w:t>
      </w:r>
      <w:r>
        <w:rPr>
          <w:rFonts w:ascii="仿宋" w:eastAsia="仿宋" w:hAnsi="仿宋" w:cs="宋体"/>
          <w:kern w:val="0"/>
          <w:sz w:val="24"/>
          <w:szCs w:val="24"/>
        </w:rPr>
        <w:t>5</w:t>
      </w:r>
      <w:r>
        <w:rPr>
          <w:rFonts w:ascii="仿宋" w:eastAsia="仿宋" w:hAnsi="仿宋" w:cs="宋体" w:hint="eastAsia"/>
          <w:kern w:val="0"/>
          <w:sz w:val="24"/>
          <w:szCs w:val="24"/>
        </w:rPr>
        <w:t>日内报中国证监会备案。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基金份额持有人大会的决议事项自表决通过之日起生效。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49" w:name="OLE_LINK6"/>
      <w:r>
        <w:rPr>
          <w:rFonts w:ascii="仿宋" w:eastAsia="仿宋" w:hAnsi="仿宋" w:cs="宋体" w:hint="eastAsia"/>
          <w:kern w:val="0"/>
          <w:sz w:val="24"/>
          <w:szCs w:val="24"/>
        </w:rPr>
        <w:t>基金份额持有人大会决议自生效之日起</w:t>
      </w:r>
      <w:r>
        <w:rPr>
          <w:rFonts w:ascii="仿宋" w:eastAsia="仿宋" w:hAnsi="仿宋" w:cs="宋体"/>
          <w:kern w:val="0"/>
          <w:sz w:val="24"/>
          <w:szCs w:val="24"/>
        </w:rPr>
        <w:t>2</w:t>
      </w:r>
      <w:r>
        <w:rPr>
          <w:rFonts w:ascii="仿宋" w:eastAsia="仿宋" w:hAnsi="仿宋" w:cs="宋体" w:hint="eastAsia"/>
          <w:kern w:val="0"/>
          <w:sz w:val="24"/>
          <w:szCs w:val="24"/>
        </w:rPr>
        <w:t>日内在规定媒介上公告。</w:t>
      </w:r>
      <w:bookmarkStart w:id="150" w:name="_Hlt88820702"/>
      <w:bookmarkEnd w:id="150"/>
      <w:r>
        <w:rPr>
          <w:rFonts w:ascii="仿宋" w:eastAsia="仿宋" w:hAnsi="仿宋" w:cs="宋体" w:hint="eastAsia"/>
          <w:kern w:val="0"/>
          <w:sz w:val="24"/>
          <w:szCs w:val="24"/>
        </w:rPr>
        <w:t>如果采用通讯方式进行表决，在公告基金份额持有人大会决议时，必须将公证书全文、公证机构、公证员姓名等一同公告</w:t>
      </w:r>
      <w:bookmarkEnd w:id="149"/>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九、实施侧袋机制期间基金份额持有人大会的特殊约定</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1、基金份额持有人行使提议权、召集权、提名权所需单独或合计代表相关基金份额10%以上（含10%）；</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2、现场开会的到会者在权益登记日代表的基金份额不少于本基金在权益登记日相关基金份额的二分之一（含二分之一）；</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3、通讯开会的直接出具表决意见或授权他人代表出具表决意见的基金份额持有人所持有的基金份额不小于在权益登记日相关基金份额的二分之一（含二分之一）；</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5、现场开会由出席大会的基金份额持有人和代理人所持表决权的50%以上（含50%）选举产生一名基金份额持有人作为该次基金份额持有人大会的主持人；</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6、一般决议须经参加大会的基金份额持有人或其代理人所持表决权的二分之一以上（含二分之一）通过；</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7、特别决议应当经参加大会的基金份额持有人或其代理人所持表决权的三分之二以上（含三分之二）通过。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同一主侧袋账户内的每份基金份额具有平等的表决权。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51" w:name="_Toc15118245"/>
      <w:bookmarkStart w:id="152" w:name="_Toc57530252"/>
      <w:bookmarkStart w:id="153" w:name="_Toc79392593"/>
      <w:r>
        <w:rPr>
          <w:rFonts w:ascii="仿宋" w:eastAsia="仿宋" w:hAnsi="仿宋" w:cs="宋体" w:hint="eastAsia"/>
          <w:kern w:val="0"/>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w:t>
      </w:r>
      <w:r w:rsidRPr="0072430B">
        <w:rPr>
          <w:rFonts w:ascii="仿宋" w:eastAsia="仿宋" w:hAnsi="仿宋" w:cs="宋体" w:hint="eastAsia"/>
          <w:kern w:val="0"/>
          <w:sz w:val="24"/>
          <w:szCs w:val="24"/>
        </w:rPr>
        <w:t>与基金托管人协商一致并</w:t>
      </w:r>
      <w:r>
        <w:rPr>
          <w:rFonts w:ascii="仿宋" w:eastAsia="仿宋" w:hAnsi="仿宋" w:cs="宋体" w:hint="eastAsia"/>
          <w:kern w:val="0"/>
          <w:sz w:val="24"/>
          <w:szCs w:val="24"/>
        </w:rPr>
        <w:t>提前公告后，可直接对本部分内容进行修改和调整，无需召开基金份额持有人大会审议。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154" w:name="_Toc377998624"/>
      <w:bookmarkStart w:id="155" w:name="_Toc459291247"/>
      <w:bookmarkStart w:id="156" w:name="_Toc169163869"/>
      <w:r w:rsidRPr="004F6C89">
        <w:rPr>
          <w:rFonts w:eastAsia="仿宋" w:hint="eastAsia"/>
          <w:sz w:val="30"/>
          <w:szCs w:val="30"/>
          <w:lang w:val="zh-CN"/>
        </w:rPr>
        <w:t>第九部分</w:t>
      </w:r>
      <w:r w:rsidRPr="004F6C89">
        <w:rPr>
          <w:rFonts w:eastAsia="仿宋" w:hint="eastAsia"/>
          <w:sz w:val="30"/>
          <w:szCs w:val="30"/>
          <w:lang w:val="zh-CN"/>
        </w:rPr>
        <w:t xml:space="preserve">    </w:t>
      </w:r>
      <w:r w:rsidRPr="004F6C89">
        <w:rPr>
          <w:rFonts w:eastAsia="仿宋" w:hint="eastAsia"/>
          <w:sz w:val="30"/>
          <w:szCs w:val="30"/>
          <w:lang w:val="zh-CN"/>
        </w:rPr>
        <w:t>基金管理人、基金托管人的更换条件和程序</w:t>
      </w:r>
      <w:bookmarkEnd w:id="154"/>
      <w:bookmarkEnd w:id="155"/>
      <w:bookmarkEnd w:id="156"/>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一、基金管理人和基金托管人职责终止的情形</w:t>
      </w:r>
      <w:bookmarkEnd w:id="151"/>
      <w:bookmarkEnd w:id="152"/>
      <w:bookmarkEnd w:id="153"/>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57" w:name="_Toc22005971"/>
      <w:r>
        <w:rPr>
          <w:rFonts w:ascii="仿宋" w:eastAsia="仿宋" w:hAnsi="仿宋" w:cs="宋体" w:hint="eastAsia"/>
          <w:b/>
          <w:bCs/>
          <w:kern w:val="0"/>
          <w:sz w:val="24"/>
          <w:szCs w:val="24"/>
        </w:rPr>
        <w:t>（一）基金管理人职责终止的情形</w:t>
      </w:r>
      <w:bookmarkEnd w:id="15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有下列情形之一的，基金管理人职责终止：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、被依法取消基金管理资格；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、被基金份额持有人大会解任；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、依法解散、被依法撤销或被依法宣告破产；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、法律法规及中国证监会规定的和《基金合同》约定的其他情形。</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58" w:name="_Toc22005972"/>
      <w:r>
        <w:rPr>
          <w:rFonts w:ascii="仿宋" w:eastAsia="仿宋" w:hAnsi="仿宋" w:cs="宋体" w:hint="eastAsia"/>
          <w:b/>
          <w:bCs/>
          <w:kern w:val="0"/>
          <w:sz w:val="24"/>
          <w:szCs w:val="24"/>
        </w:rPr>
        <w:t>（二）基金托管人职责终止的情形</w:t>
      </w:r>
      <w:bookmarkEnd w:id="15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有下列情形之一的，基金托管人职责终止：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、被依法取消基金托管资格；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、被基金份额持有人大会解任；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、依法解散、被依法撤销或被依法宣告破产；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、法律法规及中国证监会规定的和《基金合同》约定的其他情形。</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59" w:name="_Toc57530253"/>
      <w:bookmarkStart w:id="160" w:name="_Toc79392594"/>
      <w:bookmarkStart w:id="161" w:name="_Toc15118246"/>
      <w:r>
        <w:rPr>
          <w:rFonts w:ascii="仿宋" w:eastAsia="仿宋" w:hAnsi="仿宋" w:cs="宋体" w:hint="eastAsia"/>
          <w:b/>
          <w:bCs/>
          <w:kern w:val="0"/>
          <w:sz w:val="24"/>
          <w:szCs w:val="24"/>
        </w:rPr>
        <w:t>二、基金管理人和基金托管人的更换程序</w:t>
      </w:r>
      <w:bookmarkEnd w:id="159"/>
      <w:bookmarkEnd w:id="160"/>
      <w:bookmarkEnd w:id="161"/>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62" w:name="_Toc22005974"/>
      <w:r>
        <w:rPr>
          <w:rFonts w:ascii="仿宋" w:eastAsia="仿宋" w:hAnsi="仿宋" w:cs="宋体" w:hint="eastAsia"/>
          <w:b/>
          <w:bCs/>
          <w:kern w:val="0"/>
          <w:sz w:val="24"/>
          <w:szCs w:val="24"/>
        </w:rPr>
        <w:t>（一）基金管理人的更换程序</w:t>
      </w:r>
      <w:bookmarkEnd w:id="16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、提名：新任基金管理人由基金托管人或由单独或合计持有</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）基金份额的基金份额持有人提名；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、决议：基金份额持有人大会在基金管理人职责终止后</w:t>
      </w:r>
      <w:r>
        <w:rPr>
          <w:rFonts w:ascii="仿宋" w:eastAsia="仿宋" w:hAnsi="仿宋" w:cs="宋体"/>
          <w:kern w:val="0"/>
          <w:sz w:val="24"/>
          <w:szCs w:val="24"/>
        </w:rPr>
        <w:t>6</w:t>
      </w:r>
      <w:r>
        <w:rPr>
          <w:rFonts w:ascii="仿宋" w:eastAsia="仿宋" w:hAnsi="仿宋" w:cs="宋体" w:hint="eastAsia"/>
          <w:kern w:val="0"/>
          <w:sz w:val="24"/>
          <w:szCs w:val="24"/>
        </w:rPr>
        <w:t>个月内对被提名的基金管理人形成决议，该决议需经参加大会的基金份额持有人所持表决权的</w:t>
      </w:r>
      <w:r>
        <w:rPr>
          <w:rFonts w:ascii="仿宋" w:eastAsia="仿宋" w:hAnsi="仿宋" w:cs="宋体"/>
          <w:kern w:val="0"/>
          <w:sz w:val="24"/>
          <w:szCs w:val="24"/>
        </w:rPr>
        <w:t>2/3</w:t>
      </w:r>
      <w:r>
        <w:rPr>
          <w:rFonts w:ascii="仿宋" w:eastAsia="仿宋" w:hAnsi="仿宋" w:cs="宋体" w:hint="eastAsia"/>
          <w:kern w:val="0"/>
          <w:sz w:val="24"/>
          <w:szCs w:val="24"/>
        </w:rPr>
        <w:t>以上（含</w:t>
      </w:r>
      <w:r>
        <w:rPr>
          <w:rFonts w:ascii="仿宋" w:eastAsia="仿宋" w:hAnsi="仿宋" w:cs="宋体"/>
          <w:kern w:val="0"/>
          <w:sz w:val="24"/>
          <w:szCs w:val="24"/>
        </w:rPr>
        <w:t>2/3</w:t>
      </w:r>
      <w:r>
        <w:rPr>
          <w:rFonts w:ascii="仿宋" w:eastAsia="仿宋" w:hAnsi="仿宋" w:cs="宋体" w:hint="eastAsia"/>
          <w:kern w:val="0"/>
          <w:sz w:val="24"/>
          <w:szCs w:val="24"/>
        </w:rPr>
        <w:t>）表决通过</w:t>
      </w:r>
      <w:r w:rsidRPr="00CA79D6">
        <w:rPr>
          <w:rFonts w:ascii="仿宋" w:eastAsia="仿宋" w:hAnsi="仿宋" w:cs="宋体" w:hint="eastAsia"/>
          <w:kern w:val="0"/>
          <w:sz w:val="24"/>
          <w:szCs w:val="24"/>
        </w:rPr>
        <w:t>，决议自表决通过之日起生效</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、临时基金管理人：新任基金管理人产生之前，由中国证监会指定临时基金管理人；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、备案：基金份额持有人大会更换基金管理人的决议须报中国证监会备案；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、公告：基金管理人更换后，由基金托管人在更换基金管理人的基金份额持有人大会决议生效后</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、审计：基金管理人职责终止的，应当按照法律法规规定聘请符合法律法规规定的会计师事务所对基金财产进行审计，并将审计结果予以公告，同时报中国证监会备案；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、基金名称变更：基金管理人更换后，如果原任或新任基金管理人要求，应按其要求替换或删除基金名称中与原基金管理人有关的名称字样。</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63" w:name="_Toc22005975"/>
      <w:r>
        <w:rPr>
          <w:rFonts w:ascii="仿宋" w:eastAsia="仿宋" w:hAnsi="仿宋" w:cs="宋体" w:hint="eastAsia"/>
          <w:b/>
          <w:bCs/>
          <w:kern w:val="0"/>
          <w:sz w:val="24"/>
          <w:szCs w:val="24"/>
        </w:rPr>
        <w:t>（二）基金托管人的更换程序</w:t>
      </w:r>
      <w:bookmarkEnd w:id="16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、提名：新任基金托管人由基金管理人或由单独或合计持有</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）基金份额的基金份额持有人提名；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、决议：基金份额持有人大会在基金托管人职责终止后</w:t>
      </w:r>
      <w:r>
        <w:rPr>
          <w:rFonts w:ascii="仿宋" w:eastAsia="仿宋" w:hAnsi="仿宋" w:cs="宋体"/>
          <w:kern w:val="0"/>
          <w:sz w:val="24"/>
          <w:szCs w:val="24"/>
        </w:rPr>
        <w:t>6</w:t>
      </w:r>
      <w:r>
        <w:rPr>
          <w:rFonts w:ascii="仿宋" w:eastAsia="仿宋" w:hAnsi="仿宋" w:cs="宋体" w:hint="eastAsia"/>
          <w:kern w:val="0"/>
          <w:sz w:val="24"/>
          <w:szCs w:val="24"/>
        </w:rPr>
        <w:t>个月内对被提名的基金托管人形成决议，该决议需经参加大会的基金份额持有人所持表决权的</w:t>
      </w:r>
      <w:r>
        <w:rPr>
          <w:rFonts w:ascii="仿宋" w:eastAsia="仿宋" w:hAnsi="仿宋" w:cs="宋体"/>
          <w:kern w:val="0"/>
          <w:sz w:val="24"/>
          <w:szCs w:val="24"/>
        </w:rPr>
        <w:t xml:space="preserve">2/3 </w:t>
      </w:r>
      <w:r>
        <w:rPr>
          <w:rFonts w:ascii="仿宋" w:eastAsia="仿宋" w:hAnsi="仿宋" w:cs="宋体" w:hint="eastAsia"/>
          <w:kern w:val="0"/>
          <w:sz w:val="24"/>
          <w:szCs w:val="24"/>
        </w:rPr>
        <w:t>以上（含</w:t>
      </w:r>
      <w:r>
        <w:rPr>
          <w:rFonts w:ascii="仿宋" w:eastAsia="仿宋" w:hAnsi="仿宋" w:cs="宋体"/>
          <w:kern w:val="0"/>
          <w:sz w:val="24"/>
          <w:szCs w:val="24"/>
        </w:rPr>
        <w:t>2/3</w:t>
      </w:r>
      <w:r>
        <w:rPr>
          <w:rFonts w:ascii="仿宋" w:eastAsia="仿宋" w:hAnsi="仿宋" w:cs="宋体" w:hint="eastAsia"/>
          <w:kern w:val="0"/>
          <w:sz w:val="24"/>
          <w:szCs w:val="24"/>
        </w:rPr>
        <w:t>）表决通过</w:t>
      </w:r>
      <w:r w:rsidRPr="004C1A06">
        <w:rPr>
          <w:rFonts w:ascii="仿宋" w:eastAsia="仿宋" w:hAnsi="仿宋" w:cs="宋体" w:hint="eastAsia"/>
          <w:kern w:val="0"/>
          <w:sz w:val="24"/>
          <w:szCs w:val="24"/>
        </w:rPr>
        <w:t>，决议自表决通过之日起生效</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、临时基金托管人：新任基金托管人产生之前，由中国证监会指定临时基金托管人；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、备案：基金份额持有人大会更换基金托管人的决议须报中国证监会备案；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、公告：基金托管人更换后，由基金管理人在更换基金托管人的基金份额持有人大会决议生效后</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、审计：基金托管人职责终止的，应当按照法律法规规定聘请</w:t>
      </w:r>
      <w:r w:rsidRPr="0047161F">
        <w:rPr>
          <w:rFonts w:ascii="仿宋" w:eastAsia="仿宋" w:hAnsi="仿宋" w:cs="宋体" w:hint="eastAsia"/>
          <w:kern w:val="0"/>
          <w:sz w:val="24"/>
          <w:szCs w:val="24"/>
        </w:rPr>
        <w:t>符合法律法规规定的</w:t>
      </w:r>
      <w:r>
        <w:rPr>
          <w:rFonts w:ascii="仿宋" w:eastAsia="仿宋" w:hAnsi="仿宋" w:cs="宋体" w:hint="eastAsia"/>
          <w:kern w:val="0"/>
          <w:sz w:val="24"/>
          <w:szCs w:val="24"/>
        </w:rPr>
        <w:t>会计师事务所对基金财产进行审计，并将审计结果予以公告，同时报中国证监会备案。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64" w:name="_Toc1357"/>
      <w:r>
        <w:rPr>
          <w:rFonts w:ascii="仿宋" w:eastAsia="仿宋" w:hAnsi="仿宋" w:cs="宋体" w:hint="eastAsia"/>
          <w:b/>
          <w:bCs/>
          <w:kern w:val="0"/>
          <w:sz w:val="24"/>
          <w:szCs w:val="24"/>
        </w:rPr>
        <w:t>（三）基金管理人与基金托管人同时更换的条件和程序</w:t>
      </w:r>
      <w:bookmarkEnd w:id="164"/>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、提名：如果基金管理人和基金托管人同时更换，由单独或合计持有基金总份额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）的基金份额持有人提名新的基金管理人和基金托管人；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、基金管理人和基金托管人的更换分别按上述程序进行；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、公告：新任基金管理人和新任基金托管人应在更换基金管理人和基金托管人的基金份额持有人大会决议生效后2日内在规定媒介上联合公告。</w:t>
      </w:r>
    </w:p>
    <w:p w:rsidR="00E45E2B" w:rsidRDefault="00E45E2B" w:rsidP="00E45E2B">
      <w:pPr>
        <w:spacing w:line="360" w:lineRule="auto"/>
        <w:ind w:firstLineChars="200" w:firstLine="480"/>
        <w:rPr>
          <w:rFonts w:ascii="仿宋" w:eastAsia="仿宋" w:hAnsi="仿宋"/>
          <w:bCs/>
          <w:color w:val="000000"/>
          <w:sz w:val="24"/>
        </w:rPr>
      </w:pPr>
      <w:r>
        <w:rPr>
          <w:rFonts w:ascii="仿宋" w:eastAsia="仿宋" w:hAnsi="仿宋" w:hint="eastAsia"/>
          <w:color w:val="000000"/>
          <w:sz w:val="24"/>
          <w:szCs w:val="24"/>
        </w:rPr>
        <w:t>三、</w:t>
      </w:r>
      <w:r>
        <w:rPr>
          <w:rFonts w:ascii="仿宋" w:eastAsia="仿宋" w:hAnsi="仿宋" w:hint="eastAsia"/>
          <w:bCs/>
          <w:color w:val="000000"/>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E45E2B" w:rsidRDefault="00E45E2B" w:rsidP="00E45E2B">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四、</w:t>
      </w:r>
      <w:r w:rsidRPr="00E94984">
        <w:rPr>
          <w:rFonts w:ascii="仿宋" w:eastAsia="仿宋" w:hAnsi="仿宋" w:hint="eastAsia"/>
          <w:color w:val="000000"/>
          <w:sz w:val="24"/>
          <w:szCs w:val="24"/>
        </w:rPr>
        <w:t>新任基金管理人/临时</w:t>
      </w:r>
      <w:r>
        <w:rPr>
          <w:rFonts w:ascii="仿宋" w:eastAsia="仿宋" w:hAnsi="仿宋" w:hint="eastAsia"/>
          <w:color w:val="000000"/>
          <w:sz w:val="24"/>
          <w:szCs w:val="24"/>
        </w:rPr>
        <w:t>基金管理人</w:t>
      </w:r>
      <w:r w:rsidRPr="000865F7">
        <w:rPr>
          <w:rFonts w:ascii="仿宋" w:eastAsia="仿宋" w:hAnsi="仿宋" w:hint="eastAsia"/>
          <w:color w:val="000000"/>
          <w:sz w:val="24"/>
          <w:szCs w:val="24"/>
        </w:rPr>
        <w:t>接收基金管理业务</w:t>
      </w:r>
      <w:r>
        <w:rPr>
          <w:rFonts w:ascii="仿宋" w:eastAsia="仿宋" w:hAnsi="仿宋" w:hint="eastAsia"/>
          <w:color w:val="000000"/>
          <w:sz w:val="24"/>
          <w:szCs w:val="24"/>
        </w:rPr>
        <w:t>或</w:t>
      </w:r>
      <w:r w:rsidRPr="00E94984">
        <w:rPr>
          <w:rFonts w:ascii="仿宋" w:eastAsia="仿宋" w:hAnsi="仿宋" w:hint="eastAsia"/>
          <w:color w:val="000000"/>
          <w:sz w:val="24"/>
          <w:szCs w:val="24"/>
        </w:rPr>
        <w:t>新任基金托管人/临时</w:t>
      </w:r>
      <w:r>
        <w:rPr>
          <w:rFonts w:ascii="仿宋" w:eastAsia="仿宋" w:hAnsi="仿宋" w:hint="eastAsia"/>
          <w:color w:val="000000"/>
          <w:sz w:val="24"/>
          <w:szCs w:val="24"/>
        </w:rPr>
        <w:t>基金托管人接收基金财产和基金托管业务前，原基金管理人或原基金托管人应继续履行相关职责，并保证不做出对基金份额持有人的利益造成损害的行为。</w:t>
      </w:r>
      <w:r w:rsidRPr="00E94984">
        <w:rPr>
          <w:rFonts w:ascii="仿宋" w:eastAsia="仿宋" w:hAnsi="仿宋" w:hint="eastAsia"/>
          <w:color w:val="000000"/>
          <w:sz w:val="24"/>
          <w:szCs w:val="24"/>
        </w:rPr>
        <w:t>原基金管理人或基金托管人在继续履行相关职责期间，仍有权按照本基金合同的规定收取基金管理费或基金托管费。</w:t>
      </w:r>
    </w:p>
    <w:p w:rsidR="00E45E2B" w:rsidRDefault="00E45E2B" w:rsidP="00E45E2B">
      <w:pPr>
        <w:widowControl/>
        <w:jc w:val="left"/>
        <w:rPr>
          <w:rFonts w:ascii="仿宋" w:eastAsia="仿宋" w:hAnsi="仿宋" w:cs="宋体"/>
          <w:kern w:val="0"/>
          <w:sz w:val="24"/>
          <w:szCs w:val="24"/>
        </w:rPr>
      </w:pPr>
    </w:p>
    <w:p w:rsidR="00E45E2B" w:rsidRDefault="00E45E2B" w:rsidP="004F6C89">
      <w:pPr>
        <w:pStyle w:val="1"/>
        <w:spacing w:line="360" w:lineRule="auto"/>
        <w:jc w:val="center"/>
      </w:pPr>
      <w:r>
        <w:br w:type="page"/>
      </w:r>
      <w:bookmarkStart w:id="165" w:name="_Toc377998625"/>
      <w:bookmarkStart w:id="166" w:name="_Toc459291248"/>
      <w:bookmarkStart w:id="167" w:name="_Toc169163870"/>
      <w:r w:rsidRPr="004F6C89">
        <w:rPr>
          <w:rFonts w:eastAsia="仿宋" w:hint="eastAsia"/>
          <w:sz w:val="30"/>
          <w:szCs w:val="30"/>
          <w:lang w:val="zh-CN"/>
        </w:rPr>
        <w:t>第十部分</w:t>
      </w:r>
      <w:r w:rsidRPr="004F6C89">
        <w:rPr>
          <w:rFonts w:eastAsia="仿宋" w:hint="eastAsia"/>
          <w:sz w:val="30"/>
          <w:szCs w:val="30"/>
          <w:lang w:val="zh-CN"/>
        </w:rPr>
        <w:t xml:space="preserve">    </w:t>
      </w:r>
      <w:r w:rsidRPr="004F6C89">
        <w:rPr>
          <w:rFonts w:eastAsia="仿宋" w:hint="eastAsia"/>
          <w:sz w:val="30"/>
          <w:szCs w:val="30"/>
          <w:lang w:val="zh-CN"/>
        </w:rPr>
        <w:t>基金的托管</w:t>
      </w:r>
      <w:bookmarkEnd w:id="165"/>
      <w:bookmarkEnd w:id="166"/>
      <w:bookmarkEnd w:id="16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基金托管人和基金管理人按照《基金法》、《基金合同》及其他有关规定订立托管协议。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r>
        <w:rPr>
          <w:rFonts w:ascii="仿宋" w:eastAsia="仿宋" w:hAnsi="仿宋" w:cs="宋体"/>
          <w:b/>
          <w:bCs/>
          <w:kern w:val="0"/>
          <w:sz w:val="30"/>
          <w:szCs w:val="30"/>
        </w:rPr>
        <w:br w:type="page"/>
      </w:r>
    </w:p>
    <w:p w:rsidR="00E45E2B" w:rsidRPr="004F6C89" w:rsidRDefault="00E45E2B" w:rsidP="004F6C89">
      <w:pPr>
        <w:pStyle w:val="1"/>
        <w:spacing w:line="360" w:lineRule="auto"/>
        <w:jc w:val="center"/>
        <w:rPr>
          <w:rFonts w:eastAsia="仿宋"/>
          <w:sz w:val="30"/>
          <w:szCs w:val="30"/>
          <w:lang w:val="zh-CN"/>
        </w:rPr>
      </w:pPr>
      <w:bookmarkStart w:id="168" w:name="_Toc377998626"/>
      <w:bookmarkStart w:id="169" w:name="_Toc459291249"/>
      <w:bookmarkStart w:id="170" w:name="_Toc169163871"/>
      <w:r w:rsidRPr="004F6C89">
        <w:rPr>
          <w:rFonts w:eastAsia="仿宋" w:hint="eastAsia"/>
          <w:sz w:val="30"/>
          <w:szCs w:val="30"/>
          <w:lang w:val="zh-CN"/>
        </w:rPr>
        <w:t>第十一部分</w:t>
      </w:r>
      <w:r w:rsidRPr="004F6C89">
        <w:rPr>
          <w:rFonts w:eastAsia="仿宋" w:hint="eastAsia"/>
          <w:sz w:val="30"/>
          <w:szCs w:val="30"/>
          <w:lang w:val="zh-CN"/>
        </w:rPr>
        <w:t xml:space="preserve">    </w:t>
      </w:r>
      <w:r w:rsidRPr="004F6C89">
        <w:rPr>
          <w:rFonts w:eastAsia="仿宋" w:hint="eastAsia"/>
          <w:sz w:val="30"/>
          <w:szCs w:val="30"/>
          <w:lang w:val="zh-CN"/>
        </w:rPr>
        <w:t>基金份额的登记</w:t>
      </w:r>
      <w:bookmarkEnd w:id="168"/>
      <w:bookmarkEnd w:id="169"/>
      <w:bookmarkEnd w:id="170"/>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一、基金份额的登记业务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二、基金登记业务办理机构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三、基金登记机构的权利</w:t>
      </w:r>
      <w:bookmarkStart w:id="171" w:name="_Hlt88820748"/>
      <w:bookmarkEnd w:id="171"/>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基金登记机构享有以下权利：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、取得登记费；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、建立和管理投资者基金账户；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、保管基金份额持有人开户资料、交易资料、基金份额持有人名册等；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、在法律法规允许的范围内，对登记业务的办理时间进行调整，并依照有关规定于开始实施前在规定媒介上公告；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四、基金登记机构的义务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基金登记机构承担以下义务：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、配备足够的专业人员办理本基金份额的登记业务；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、严格按照法律法规和《基金合同》规定的条件办理本基金份额的登记业务；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、妥善保存登记数据，并将基金份额持有人名称、身份信息及基金份额明细等数据备份至中国证监会认定的机构。其保存期限自基金账户销户之日起不得少于</w:t>
      </w:r>
      <w:r w:rsidRPr="00F51C0F">
        <w:rPr>
          <w:rFonts w:ascii="仿宋" w:eastAsia="仿宋" w:hAnsi="仿宋" w:cs="宋体" w:hint="eastAsia"/>
          <w:kern w:val="0"/>
          <w:sz w:val="24"/>
          <w:szCs w:val="24"/>
        </w:rPr>
        <w:t>法定最低期限</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Pr>
          <w:rFonts w:ascii="仿宋" w:eastAsia="仿宋" w:hAnsi="仿宋" w:cs="宋体"/>
          <w:kern w:val="0"/>
          <w:sz w:val="24"/>
          <w:szCs w:val="24"/>
        </w:rPr>
        <w:t xml:space="preserve"> </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、按《基金合同》及招募说明书规定为投资者办理非交易过户业务、提供其他必要的服务；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、接受基金管理人的监督；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r>
        <w:rPr>
          <w:rFonts w:ascii="仿宋" w:hAnsi="仿宋" w:cs="宋体"/>
          <w:b w:val="0"/>
          <w:bCs w:val="0"/>
          <w:kern w:val="0"/>
        </w:rPr>
        <w:br w:type="page"/>
      </w:r>
      <w:bookmarkStart w:id="172" w:name="_Toc377998627"/>
      <w:bookmarkStart w:id="173" w:name="_Toc459291250"/>
      <w:bookmarkStart w:id="174" w:name="_Toc169163872"/>
      <w:r w:rsidRPr="004F6C89">
        <w:rPr>
          <w:rFonts w:eastAsia="仿宋" w:hint="eastAsia"/>
          <w:sz w:val="30"/>
          <w:szCs w:val="30"/>
          <w:lang w:val="zh-CN"/>
        </w:rPr>
        <w:t>第十二部分</w:t>
      </w:r>
      <w:r w:rsidRPr="004F6C89">
        <w:rPr>
          <w:rFonts w:eastAsia="仿宋" w:hint="eastAsia"/>
          <w:sz w:val="30"/>
          <w:szCs w:val="30"/>
          <w:lang w:val="zh-CN"/>
        </w:rPr>
        <w:t xml:space="preserve">    </w:t>
      </w:r>
      <w:r w:rsidRPr="004F6C89">
        <w:rPr>
          <w:rFonts w:eastAsia="仿宋" w:hint="eastAsia"/>
          <w:sz w:val="30"/>
          <w:szCs w:val="30"/>
          <w:lang w:val="zh-CN"/>
        </w:rPr>
        <w:t>基金的投资</w:t>
      </w:r>
      <w:bookmarkEnd w:id="172"/>
      <w:bookmarkEnd w:id="173"/>
      <w:bookmarkEnd w:id="174"/>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一、投资目标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rPr>
      </w:pPr>
      <w:r>
        <w:rPr>
          <w:rFonts w:ascii="仿宋" w:eastAsia="仿宋" w:hAnsi="仿宋" w:hint="eastAsia"/>
          <w:color w:val="000000"/>
          <w:sz w:val="24"/>
        </w:rPr>
        <w:t>本基金在严格控制投资组合风险的前提下，追求资产净值的长期稳健增值。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二、投资范围</w:t>
      </w:r>
    </w:p>
    <w:p w:rsidR="00E45E2B" w:rsidRDefault="00E45E2B" w:rsidP="00E45E2B">
      <w:pPr>
        <w:spacing w:line="360" w:lineRule="auto"/>
        <w:ind w:firstLine="426"/>
        <w:rPr>
          <w:rFonts w:ascii="仿宋" w:eastAsia="仿宋" w:hAnsi="仿宋"/>
          <w:color w:val="000000"/>
          <w:sz w:val="24"/>
        </w:rPr>
      </w:pPr>
      <w:r>
        <w:rPr>
          <w:rFonts w:ascii="仿宋" w:eastAsia="仿宋" w:hAnsi="仿宋" w:hint="eastAsia"/>
          <w:color w:val="000000"/>
          <w:sz w:val="24"/>
        </w:rPr>
        <w:t>本基金的投资范围包括国内依法发行上市的股票及存托凭证（含创业板及其他经中国证监会核准或注册上市的股票及存托凭证）、港股通标的股票、债券（包括</w:t>
      </w:r>
      <w:r w:rsidRPr="00E811FD">
        <w:rPr>
          <w:rFonts w:ascii="仿宋" w:eastAsia="仿宋" w:hAnsi="仿宋" w:hint="eastAsia"/>
          <w:color w:val="000000"/>
          <w:sz w:val="24"/>
        </w:rPr>
        <w:t>国内依法发行</w:t>
      </w:r>
      <w:r>
        <w:rPr>
          <w:rFonts w:ascii="仿宋" w:eastAsia="仿宋" w:hAnsi="仿宋" w:hint="eastAsia"/>
          <w:color w:val="000000"/>
          <w:sz w:val="24"/>
        </w:rPr>
        <w:t>的国债、地方政府债、政府支持机构债、金融债、</w:t>
      </w:r>
      <w:r w:rsidRPr="00EE3E37">
        <w:rPr>
          <w:rFonts w:ascii="仿宋" w:eastAsia="仿宋" w:hAnsi="仿宋" w:hint="eastAsia"/>
          <w:color w:val="000000"/>
          <w:sz w:val="24"/>
        </w:rPr>
        <w:t>公开发行的次级债券</w:t>
      </w:r>
      <w:r>
        <w:rPr>
          <w:rFonts w:ascii="仿宋" w:eastAsia="仿宋" w:hAnsi="仿宋" w:hint="eastAsia"/>
          <w:color w:val="000000"/>
          <w:sz w:val="24"/>
        </w:rPr>
        <w:t>、中央银行票据、企业债、公司债、中期票据、短期融资券、超短期融资券、可转换债券、可分离交易可转债、可交换债券）、债券回购、银行存款、同业存单、货币市场工具、资产支持证券、股指期货、国债期货、股票期权</w:t>
      </w:r>
      <w:r w:rsidRPr="000E340F">
        <w:rPr>
          <w:rFonts w:ascii="仿宋" w:eastAsia="仿宋" w:hAnsi="仿宋" w:hint="eastAsia"/>
          <w:color w:val="000000"/>
          <w:sz w:val="24"/>
        </w:rPr>
        <w:t>、信用衍生品</w:t>
      </w:r>
      <w:r>
        <w:rPr>
          <w:rFonts w:ascii="仿宋" w:eastAsia="仿宋" w:hAnsi="仿宋" w:hint="eastAsia"/>
          <w:color w:val="000000"/>
          <w:sz w:val="24"/>
        </w:rPr>
        <w:t>以及经中国证监会允许基金投资的其他金融工具（但须符合中国证监会的相关规定）。</w:t>
      </w:r>
      <w:r w:rsidRPr="00FA68C5">
        <w:rPr>
          <w:rFonts w:ascii="仿宋" w:eastAsia="仿宋" w:hAnsi="仿宋" w:hint="eastAsia"/>
          <w:color w:val="000000"/>
          <w:sz w:val="24"/>
        </w:rPr>
        <w:t>本基金可根据法律法规和基金合同的约定参与融资业务。</w:t>
      </w:r>
    </w:p>
    <w:p w:rsidR="00E45E2B" w:rsidRDefault="00E45E2B" w:rsidP="00E45E2B">
      <w:pPr>
        <w:spacing w:line="360" w:lineRule="auto"/>
        <w:ind w:firstLine="426"/>
        <w:rPr>
          <w:rFonts w:ascii="仿宋" w:eastAsia="仿宋" w:hAnsi="仿宋"/>
          <w:color w:val="000000"/>
          <w:sz w:val="24"/>
        </w:rPr>
      </w:pPr>
      <w:r>
        <w:rPr>
          <w:rFonts w:ascii="仿宋" w:eastAsia="仿宋" w:hAnsi="仿宋" w:hint="eastAsia"/>
          <w:color w:val="000000"/>
          <w:sz w:val="24"/>
        </w:rPr>
        <w:t>如法律法规或监管机构以后允许基金投资其他品种，基金管理人在履行适当程序后，可以将其纳入投资范围。</w:t>
      </w:r>
    </w:p>
    <w:p w:rsidR="00E45E2B" w:rsidRDefault="00E45E2B" w:rsidP="00E45E2B">
      <w:pPr>
        <w:spacing w:line="360" w:lineRule="auto"/>
        <w:ind w:firstLine="426"/>
        <w:rPr>
          <w:rFonts w:ascii="仿宋" w:eastAsia="仿宋" w:hAnsi="仿宋"/>
          <w:color w:val="000000"/>
          <w:sz w:val="24"/>
        </w:rPr>
      </w:pPr>
      <w:r>
        <w:rPr>
          <w:rFonts w:ascii="仿宋" w:eastAsia="仿宋" w:hAnsi="仿宋" w:hint="eastAsia"/>
          <w:color w:val="000000"/>
          <w:sz w:val="24"/>
        </w:rPr>
        <w:t>本基金的投资比例为：</w:t>
      </w:r>
    </w:p>
    <w:p w:rsidR="00E45E2B" w:rsidRPr="00C432A4" w:rsidRDefault="00E45E2B" w:rsidP="00E45E2B">
      <w:pPr>
        <w:spacing w:line="360" w:lineRule="auto"/>
        <w:ind w:firstLine="426"/>
        <w:rPr>
          <w:rFonts w:ascii="仿宋" w:eastAsia="仿宋" w:hAnsi="仿宋"/>
          <w:color w:val="000000"/>
          <w:sz w:val="24"/>
        </w:rPr>
      </w:pPr>
      <w:r w:rsidRPr="00D6151C">
        <w:rPr>
          <w:rFonts w:ascii="仿宋" w:eastAsia="仿宋" w:hAnsi="仿宋" w:hint="eastAsia"/>
          <w:color w:val="000000"/>
          <w:sz w:val="24"/>
        </w:rPr>
        <w:t>本基金投资于股票资产（含存托凭证）的比例为基金资产的60%-95%</w:t>
      </w:r>
      <w:r w:rsidRPr="00C432A4">
        <w:rPr>
          <w:rFonts w:ascii="仿宋" w:eastAsia="仿宋" w:hAnsi="仿宋" w:hint="eastAsia"/>
          <w:color w:val="000000"/>
          <w:sz w:val="24"/>
        </w:rPr>
        <w:t>（其中投资于港股通标的股票的比例占股票资产的0%-50%）。</w:t>
      </w:r>
    </w:p>
    <w:p w:rsidR="00E45E2B" w:rsidRDefault="00E45E2B" w:rsidP="00E45E2B">
      <w:pPr>
        <w:autoSpaceDE w:val="0"/>
        <w:autoSpaceDN w:val="0"/>
        <w:adjustRightInd w:val="0"/>
        <w:spacing w:line="360" w:lineRule="auto"/>
        <w:ind w:firstLine="420"/>
        <w:contextualSpacing/>
        <w:jc w:val="left"/>
        <w:rPr>
          <w:rFonts w:ascii="仿宋" w:eastAsia="仿宋" w:hAnsi="仿宋"/>
          <w:color w:val="000000"/>
          <w:sz w:val="24"/>
        </w:rPr>
      </w:pPr>
      <w:r w:rsidRPr="00C432A4">
        <w:rPr>
          <w:rFonts w:ascii="仿宋" w:eastAsia="仿宋" w:hAnsi="仿宋" w:hint="eastAsia"/>
          <w:color w:val="000000"/>
          <w:sz w:val="24"/>
        </w:rPr>
        <w:t>本基金每个交易日日终在扣除股指期货、国债期货及股票期权合约需缴纳的交易保证金后，保持现金或者到期日在一年以内的政府债券投资比例合计不低于基金资产净值的5%。前述现金不包括结算备付金、存出保证金、应收申购款等。</w:t>
      </w:r>
    </w:p>
    <w:p w:rsidR="00E45E2B" w:rsidRDefault="00E45E2B" w:rsidP="00E45E2B">
      <w:pPr>
        <w:autoSpaceDE w:val="0"/>
        <w:autoSpaceDN w:val="0"/>
        <w:adjustRightInd w:val="0"/>
        <w:spacing w:line="360" w:lineRule="auto"/>
        <w:ind w:firstLine="420"/>
        <w:contextualSpacing/>
        <w:jc w:val="left"/>
        <w:rPr>
          <w:rFonts w:ascii="仿宋" w:eastAsia="仿宋" w:hAnsi="仿宋"/>
          <w:color w:val="000000"/>
          <w:sz w:val="24"/>
        </w:rPr>
      </w:pPr>
      <w:r>
        <w:rPr>
          <w:rFonts w:ascii="仿宋" w:eastAsia="仿宋" w:hAnsi="仿宋" w:hint="eastAsia"/>
          <w:color w:val="000000"/>
          <w:sz w:val="24"/>
        </w:rPr>
        <w:t>如果法律法规或中国证监会变更投资品种的投资比例限制，基金管理人在履行适当程序后，可以调整上述投资品种的投资比例。</w:t>
      </w:r>
    </w:p>
    <w:p w:rsidR="00E45E2B" w:rsidRDefault="00E45E2B" w:rsidP="00E45E2B">
      <w:pPr>
        <w:autoSpaceDE w:val="0"/>
        <w:autoSpaceDN w:val="0"/>
        <w:adjustRightInd w:val="0"/>
        <w:spacing w:line="360" w:lineRule="auto"/>
        <w:ind w:firstLine="420"/>
        <w:contextualSpacing/>
        <w:jc w:val="left"/>
        <w:rPr>
          <w:rFonts w:ascii="仿宋" w:eastAsia="仿宋" w:hAnsi="仿宋" w:cs="宋体"/>
          <w:b/>
          <w:bCs/>
          <w:kern w:val="0"/>
          <w:sz w:val="24"/>
          <w:szCs w:val="24"/>
        </w:rPr>
      </w:pPr>
      <w:r>
        <w:rPr>
          <w:rFonts w:ascii="仿宋" w:eastAsia="仿宋" w:hAnsi="仿宋" w:cs="宋体" w:hint="eastAsia"/>
          <w:b/>
          <w:bCs/>
          <w:kern w:val="0"/>
          <w:sz w:val="24"/>
          <w:szCs w:val="24"/>
        </w:rPr>
        <w:t>三、投资策略</w:t>
      </w:r>
    </w:p>
    <w:p w:rsidR="00E45E2B" w:rsidRDefault="00E45E2B" w:rsidP="00E45E2B">
      <w:pPr>
        <w:autoSpaceDE w:val="0"/>
        <w:autoSpaceDN w:val="0"/>
        <w:adjustRightInd w:val="0"/>
        <w:spacing w:line="360" w:lineRule="auto"/>
        <w:ind w:firstLine="420"/>
        <w:jc w:val="left"/>
        <w:rPr>
          <w:rFonts w:ascii="仿宋" w:eastAsia="仿宋" w:hAnsi="仿宋"/>
          <w:color w:val="000000"/>
          <w:sz w:val="24"/>
        </w:rPr>
      </w:pPr>
      <w:r>
        <w:rPr>
          <w:rFonts w:ascii="仿宋" w:eastAsia="仿宋" w:hAnsi="仿宋" w:hint="eastAsia"/>
          <w:color w:val="000000"/>
          <w:sz w:val="24"/>
        </w:rPr>
        <w:t>（一）资产配置</w:t>
      </w:r>
    </w:p>
    <w:p w:rsidR="00E45E2B" w:rsidRPr="00F00954" w:rsidRDefault="00E45E2B" w:rsidP="00E45E2B">
      <w:pPr>
        <w:autoSpaceDE w:val="0"/>
        <w:autoSpaceDN w:val="0"/>
        <w:adjustRightInd w:val="0"/>
        <w:spacing w:line="360" w:lineRule="auto"/>
        <w:ind w:firstLine="420"/>
        <w:jc w:val="left"/>
        <w:rPr>
          <w:rFonts w:ascii="仿宋" w:eastAsia="仿宋" w:hAnsi="仿宋"/>
          <w:color w:val="000000"/>
          <w:sz w:val="24"/>
        </w:rPr>
      </w:pPr>
      <w:r w:rsidRPr="00F00954">
        <w:rPr>
          <w:rFonts w:ascii="仿宋" w:eastAsia="仿宋" w:hAnsi="仿宋" w:hint="eastAsia"/>
          <w:color w:val="000000"/>
          <w:sz w:val="24"/>
        </w:rPr>
        <w:t>本基金聚焦于与中国经济发展趋势相符的标的资产，立足于长期价值投资的理念，通过定性与定量研究相结合的方法，确定投资组合中权益类资产和其他资产的配置比例。</w:t>
      </w:r>
    </w:p>
    <w:p w:rsidR="00E45E2B" w:rsidRDefault="00E45E2B" w:rsidP="00E45E2B">
      <w:pPr>
        <w:autoSpaceDE w:val="0"/>
        <w:autoSpaceDN w:val="0"/>
        <w:adjustRightInd w:val="0"/>
        <w:spacing w:line="360" w:lineRule="auto"/>
        <w:ind w:firstLine="420"/>
        <w:jc w:val="left"/>
        <w:rPr>
          <w:rFonts w:ascii="仿宋" w:eastAsia="仿宋" w:hAnsi="仿宋"/>
          <w:color w:val="000000"/>
          <w:sz w:val="24"/>
        </w:rPr>
      </w:pPr>
      <w:r w:rsidRPr="00F00954">
        <w:rPr>
          <w:rFonts w:ascii="仿宋" w:eastAsia="仿宋" w:hAnsi="仿宋" w:hint="eastAsia"/>
          <w:color w:val="000000"/>
          <w:sz w:val="24"/>
        </w:rPr>
        <w:t>本基金通过动态跟踪海内外主要经济体的GDP、CPI、利率等宏观经济指标，以及估值水平、盈利预期、流动性、投资人心态等市场指标，预测未来市场变动趋势。本基金通过全面评估上述各种关键指标的变动趋势，对股票、债券等大类资产的风险和收益特征进行预测。根据上述定性和定量指标的分析结果，运用资产配置优化模型，在目标收益条件下，追求风险最小化目标，最终确</w:t>
      </w:r>
      <w:r>
        <w:rPr>
          <w:rFonts w:ascii="仿宋" w:eastAsia="仿宋" w:hAnsi="仿宋" w:hint="eastAsia"/>
          <w:color w:val="000000"/>
          <w:sz w:val="24"/>
        </w:rPr>
        <w:t>定大类资产投资权重，力争实现资产合理配置。</w:t>
      </w:r>
    </w:p>
    <w:p w:rsidR="00E45E2B" w:rsidRPr="00943939" w:rsidRDefault="00E45E2B" w:rsidP="00E45E2B">
      <w:pPr>
        <w:autoSpaceDE w:val="0"/>
        <w:autoSpaceDN w:val="0"/>
        <w:adjustRightIn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（二）</w:t>
      </w:r>
      <w:r w:rsidR="00C84DAB" w:rsidRPr="00C84DAB">
        <w:rPr>
          <w:rFonts w:ascii="仿宋" w:eastAsia="仿宋" w:hAnsi="仿宋" w:hint="eastAsia"/>
          <w:color w:val="000000"/>
          <w:sz w:val="24"/>
        </w:rPr>
        <w:t>股票投资策略</w:t>
      </w:r>
    </w:p>
    <w:p w:rsidR="00A42F40" w:rsidRPr="00A42F40" w:rsidRDefault="00A42F40" w:rsidP="00A42F40">
      <w:pPr>
        <w:autoSpaceDE w:val="0"/>
        <w:autoSpaceDN w:val="0"/>
        <w:adjustRightInd w:val="0"/>
        <w:spacing w:line="360" w:lineRule="auto"/>
        <w:ind w:firstLine="420"/>
        <w:jc w:val="left"/>
        <w:rPr>
          <w:rFonts w:ascii="仿宋" w:eastAsia="仿宋" w:hAnsi="仿宋"/>
          <w:color w:val="000000"/>
          <w:sz w:val="24"/>
        </w:rPr>
      </w:pPr>
      <w:r w:rsidRPr="00A42F40">
        <w:rPr>
          <w:rFonts w:ascii="仿宋" w:eastAsia="仿宋" w:hAnsi="仿宋" w:hint="eastAsia"/>
          <w:color w:val="000000"/>
          <w:sz w:val="24"/>
        </w:rPr>
        <w:t>本基金利用基金管理人投研团队的资源，对企业内在价值进行深入细致的分析，并进一步挖掘出优质的上市公司股票（含存托凭证）进行投资。</w:t>
      </w:r>
    </w:p>
    <w:p w:rsidR="00A42F40" w:rsidRPr="00A42F40" w:rsidRDefault="00A42F40" w:rsidP="00A42F40">
      <w:pPr>
        <w:autoSpaceDE w:val="0"/>
        <w:autoSpaceDN w:val="0"/>
        <w:adjustRightInd w:val="0"/>
        <w:spacing w:line="360" w:lineRule="auto"/>
        <w:ind w:firstLine="420"/>
        <w:jc w:val="left"/>
        <w:rPr>
          <w:rFonts w:ascii="仿宋" w:eastAsia="仿宋" w:hAnsi="仿宋"/>
          <w:color w:val="000000"/>
          <w:sz w:val="24"/>
        </w:rPr>
      </w:pPr>
      <w:r w:rsidRPr="00A42F40">
        <w:rPr>
          <w:rFonts w:ascii="仿宋" w:eastAsia="仿宋" w:hAnsi="仿宋" w:hint="eastAsia"/>
          <w:color w:val="000000"/>
          <w:sz w:val="24"/>
        </w:rPr>
        <w:t>1、个股选择</w:t>
      </w:r>
    </w:p>
    <w:p w:rsidR="00E45E2B" w:rsidRDefault="00A42F40" w:rsidP="00E45E2B">
      <w:pPr>
        <w:autoSpaceDE w:val="0"/>
        <w:autoSpaceDN w:val="0"/>
        <w:adjustRightInd w:val="0"/>
        <w:snapToGrid w:val="0"/>
        <w:spacing w:line="360" w:lineRule="auto"/>
        <w:ind w:firstLine="420"/>
        <w:jc w:val="left"/>
        <w:rPr>
          <w:rFonts w:ascii="仿宋" w:eastAsia="仿宋" w:hAnsi="仿宋"/>
          <w:color w:val="000000"/>
          <w:sz w:val="24"/>
        </w:rPr>
      </w:pPr>
      <w:r w:rsidRPr="00A42F40">
        <w:rPr>
          <w:rFonts w:ascii="仿宋" w:eastAsia="仿宋" w:hAnsi="仿宋" w:hint="eastAsia"/>
          <w:color w:val="000000"/>
          <w:sz w:val="24"/>
        </w:rPr>
        <w:t>基金管理人的股票研究团队将深入调研上市公司、公司竞争对手以及产业链上下游，挑选出优质的上市公司股票进行投资。对于个股是否纳入投资组合，基金管理人会重点关注3个方面：公司素质、公司的成长空间及未来盈利增速、目前个股估值。其中公司素质是基金管理人最看重的因素，包括公司商业模式的独特性、竞争壁垒、行业地位、公司管理层的品格和能力等方面。同时本基金还会密切关注上市公司的可持续经营发展状况，从环境、社会、公司治理三个方面对上市公司进行评估。对于具有优秀基因的上市公司，基金管理人将会纳入本基金投资组合；否则会将其放入股票库并持续跟踪。</w:t>
      </w:r>
    </w:p>
    <w:p w:rsidR="00E45E2B" w:rsidRDefault="00A42F40" w:rsidP="00E45E2B">
      <w:pPr>
        <w:autoSpaceDE w:val="0"/>
        <w:autoSpaceDN w:val="0"/>
        <w:adjustRightInd w:val="0"/>
        <w:snapToGrid w:val="0"/>
        <w:spacing w:line="360" w:lineRule="auto"/>
        <w:ind w:firstLine="420"/>
        <w:jc w:val="left"/>
        <w:rPr>
          <w:rFonts w:ascii="仿宋" w:eastAsia="仿宋" w:hAnsi="仿宋"/>
          <w:color w:val="000000"/>
          <w:sz w:val="24"/>
        </w:rPr>
      </w:pPr>
      <w:r>
        <w:rPr>
          <w:rFonts w:ascii="仿宋" w:eastAsia="仿宋" w:hAnsi="仿宋" w:hint="eastAsia"/>
          <w:color w:val="000000"/>
          <w:sz w:val="24"/>
        </w:rPr>
        <w:t>2、</w:t>
      </w:r>
      <w:r w:rsidR="00E45E2B">
        <w:rPr>
          <w:rFonts w:ascii="仿宋" w:eastAsia="仿宋" w:hAnsi="仿宋" w:hint="eastAsia"/>
          <w:color w:val="000000"/>
          <w:sz w:val="24"/>
        </w:rPr>
        <w:t>港股通标的股票投资策略</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本基金</w:t>
      </w:r>
      <w:r>
        <w:rPr>
          <w:rFonts w:ascii="仿宋" w:eastAsia="仿宋" w:hAnsi="仿宋" w:hint="eastAsia"/>
          <w:color w:val="000000"/>
          <w:sz w:val="24"/>
        </w:rPr>
        <w:t>可</w:t>
      </w:r>
      <w:r w:rsidRPr="00AF6815">
        <w:rPr>
          <w:rFonts w:ascii="仿宋" w:eastAsia="仿宋" w:hAnsi="仿宋" w:hint="eastAsia"/>
          <w:color w:val="000000"/>
          <w:sz w:val="24"/>
        </w:rPr>
        <w:t>通过内地与香港股票市场交易互联互通机制投资于香港股票市场，不使用合格境内机构投资</w:t>
      </w:r>
      <w:r>
        <w:rPr>
          <w:rFonts w:ascii="仿宋" w:eastAsia="仿宋" w:hAnsi="仿宋" w:hint="eastAsia"/>
          <w:color w:val="000000"/>
          <w:sz w:val="24"/>
        </w:rPr>
        <w:t>者</w:t>
      </w:r>
      <w:r w:rsidRPr="00AF6815">
        <w:rPr>
          <w:rFonts w:ascii="仿宋" w:eastAsia="仿宋" w:hAnsi="仿宋" w:hint="eastAsia"/>
          <w:color w:val="000000"/>
          <w:sz w:val="24"/>
        </w:rPr>
        <w:t>(QDII)境外投资额度进行境外投资。本基金将重点关注：</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1）A股稀缺性行业和个股，包括优质中资公司（如国内互联网及软件企业、国内部分消费行业领导品牌等）、A股缺乏投资标的行业（如博彩）；</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2）具有持续领先优势或核心竞争力的企业，这类企业应具有良好成长性或为市场龙头；</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3）符合内地政策和投资逻辑的主题性行业个股；</w:t>
      </w:r>
    </w:p>
    <w:p w:rsidR="00E45E2B"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4）与A股同类公司相比具有估值优势的公司。</w:t>
      </w:r>
    </w:p>
    <w:p w:rsidR="00E45E2B" w:rsidRDefault="00A42F40" w:rsidP="00995D9A">
      <w:pPr>
        <w:autoSpaceDE w:val="0"/>
        <w:autoSpaceDN w:val="0"/>
        <w:adjustRightInd w:val="0"/>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w:t>
      </w:r>
      <w:r w:rsidR="00E45E2B">
        <w:rPr>
          <w:rFonts w:ascii="仿宋" w:eastAsia="仿宋" w:hAnsi="仿宋" w:hint="eastAsia"/>
          <w:color w:val="000000"/>
          <w:sz w:val="24"/>
        </w:rPr>
        <w:t>存托凭证的投资策略</w:t>
      </w:r>
    </w:p>
    <w:p w:rsidR="00E45E2B" w:rsidRPr="00943939"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本基金投资存托凭证的策略依照上述内地上市交易的股票投资策略执行。</w:t>
      </w:r>
    </w:p>
    <w:p w:rsidR="00E45E2B" w:rsidRPr="00943939"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（三）可转换债券、可分离交易可转债和可交换债券的投资策略</w:t>
      </w:r>
    </w:p>
    <w:p w:rsidR="00E45E2B" w:rsidRPr="00943939"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本基金投资可转换债券、可分离交易可转债和可交换债券有两种途径，一级市场申购和二级市场参与。一级市场申购，主要考虑发行条款较好、申购收益较高、公司基本面优秀的个券。二级市场参与可采用多种投资策略，本基金将运用企业基本面分析和理论价值分析策略，精选个券，力争实现较高的投资收益；同时，本基金也可以采用相对价值分析策略，即通过分析不同市场环境下可转换债券、可分离交易可转债和可交换债券股性和债性的相对价值，把握其价值走向，选择相应券种，力争获取较高投资收益。另外，本基金将密切关注可转换债券、可分离交易可转债和可交换债券的套利机会和条款博弈机会。</w:t>
      </w:r>
    </w:p>
    <w:p w:rsidR="00E45E2B" w:rsidRDefault="00E45E2B" w:rsidP="00E45E2B">
      <w:pPr>
        <w:spacing w:line="360" w:lineRule="auto"/>
        <w:ind w:firstLine="405"/>
        <w:contextualSpacing/>
        <w:rPr>
          <w:rFonts w:ascii="仿宋" w:eastAsia="仿宋" w:hAnsi="仿宋"/>
          <w:color w:val="000000"/>
          <w:sz w:val="24"/>
        </w:rPr>
      </w:pPr>
      <w:r>
        <w:rPr>
          <w:rFonts w:ascii="仿宋" w:eastAsia="仿宋" w:hAnsi="仿宋" w:hint="eastAsia"/>
          <w:color w:val="000000"/>
          <w:sz w:val="24"/>
        </w:rPr>
        <w:t>（四）</w:t>
      </w:r>
      <w:r w:rsidRPr="00AC3430">
        <w:rPr>
          <w:rFonts w:ascii="仿宋" w:eastAsia="仿宋" w:hAnsi="仿宋" w:hint="eastAsia"/>
          <w:color w:val="000000"/>
          <w:sz w:val="24"/>
        </w:rPr>
        <w:t>其他固定收益类证券投资策略</w:t>
      </w:r>
    </w:p>
    <w:p w:rsidR="00E45E2B" w:rsidRDefault="00E45E2B" w:rsidP="00E45E2B">
      <w:pPr>
        <w:spacing w:line="360" w:lineRule="auto"/>
        <w:ind w:firstLine="405"/>
        <w:contextualSpacing/>
        <w:rPr>
          <w:rFonts w:ascii="仿宋" w:eastAsia="仿宋" w:hAnsi="仿宋"/>
          <w:color w:val="000000"/>
          <w:sz w:val="24"/>
        </w:rPr>
      </w:pPr>
      <w:r>
        <w:rPr>
          <w:rFonts w:ascii="仿宋" w:eastAsia="仿宋" w:hAnsi="仿宋" w:hint="eastAsia"/>
          <w:color w:val="000000"/>
          <w:sz w:val="24"/>
        </w:rPr>
        <w:t>本基金的固定收益类投资品种主要有国债、企业债等中国证监会认可的、具有良好流动性的金融工具。固定收益投资主要用于提高非股票资产的收益率，基金管理人将坚持价值投资的理念，严格控制风险，追求合理的回报。</w:t>
      </w:r>
    </w:p>
    <w:p w:rsidR="00E45E2B" w:rsidRDefault="00E45E2B" w:rsidP="00E45E2B">
      <w:pPr>
        <w:spacing w:line="360" w:lineRule="auto"/>
        <w:ind w:firstLine="405"/>
        <w:contextualSpacing/>
        <w:rPr>
          <w:rFonts w:ascii="仿宋" w:eastAsia="仿宋" w:hAnsi="仿宋"/>
          <w:color w:val="000000"/>
          <w:sz w:val="24"/>
        </w:rPr>
      </w:pPr>
      <w:r w:rsidRPr="00D018A9">
        <w:rPr>
          <w:rFonts w:ascii="仿宋" w:eastAsia="仿宋" w:hAnsi="仿宋" w:hint="eastAsia"/>
          <w:color w:val="000000"/>
          <w:sz w:val="24"/>
        </w:rPr>
        <w:t>在债券投资方面，基金管理人将</w:t>
      </w:r>
      <w:r>
        <w:rPr>
          <w:rFonts w:ascii="仿宋" w:eastAsia="仿宋" w:hAnsi="仿宋" w:hint="eastAsia"/>
          <w:color w:val="000000"/>
          <w:sz w:val="24"/>
        </w:rPr>
        <w:t>以宏观形势及利率分析为基础，依据国家经济发展规划量化核心基准参照指标和辅助参考指标，结合货币政策、财政政策的实施情况，以及国际金融市场基准利率水平及变化情况，预测未来基准利率水平变化趋势与幅度，进行定量评价。</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Pr>
          <w:rFonts w:ascii="仿宋" w:eastAsia="仿宋" w:hAnsi="仿宋" w:cs="宋体" w:hint="eastAsia"/>
          <w:kern w:val="0"/>
          <w:sz w:val="24"/>
          <w:szCs w:val="24"/>
        </w:rPr>
        <w:t>（五）资产支持证券投资策略</w:t>
      </w:r>
    </w:p>
    <w:p w:rsidR="00E45E2B" w:rsidRDefault="00E45E2B" w:rsidP="00E45E2B">
      <w:pPr>
        <w:autoSpaceDE w:val="0"/>
        <w:autoSpaceDN w:val="0"/>
        <w:adjustRightInd w:val="0"/>
        <w:spacing w:line="360" w:lineRule="auto"/>
        <w:ind w:firstLine="403"/>
        <w:jc w:val="left"/>
        <w:rPr>
          <w:rFonts w:ascii="仿宋" w:eastAsia="仿宋" w:hAnsi="仿宋"/>
          <w:color w:val="000000"/>
          <w:sz w:val="24"/>
        </w:rPr>
      </w:pPr>
      <w:r>
        <w:rPr>
          <w:rFonts w:ascii="仿宋" w:eastAsia="仿宋" w:hAnsi="仿宋" w:cs="宋体" w:hint="eastAsia"/>
          <w:kern w:val="0"/>
          <w:sz w:val="24"/>
          <w:szCs w:val="24"/>
        </w:rPr>
        <w:t>本基金资产支持证券的投资配置策</w:t>
      </w:r>
      <w:r>
        <w:rPr>
          <w:rFonts w:ascii="仿宋" w:eastAsia="仿宋" w:hAnsi="仿宋" w:hint="eastAsia"/>
          <w:color w:val="000000"/>
          <w:sz w:val="24"/>
        </w:rPr>
        <w:t>略</w:t>
      </w:r>
      <w:r>
        <w:rPr>
          <w:rFonts w:ascii="仿宋" w:eastAsia="仿宋" w:hAnsi="仿宋"/>
          <w:color w:val="000000"/>
          <w:sz w:val="24"/>
        </w:rPr>
        <w:t>主要从信用风险、流动性、收益率几方面来考虑</w:t>
      </w:r>
      <w:r>
        <w:rPr>
          <w:rFonts w:ascii="仿宋" w:eastAsia="仿宋" w:hAnsi="仿宋" w:hint="eastAsia"/>
          <w:color w:val="000000"/>
          <w:sz w:val="24"/>
        </w:rPr>
        <w:t>，采用自下而上的项目</w:t>
      </w:r>
      <w:r>
        <w:rPr>
          <w:rFonts w:ascii="仿宋" w:eastAsia="仿宋" w:hAnsi="仿宋" w:cs="宋体" w:hint="eastAsia"/>
          <w:kern w:val="0"/>
          <w:sz w:val="24"/>
          <w:szCs w:val="24"/>
        </w:rPr>
        <w:t>精选策略，以资产支持证券的优先级或次优级为投资标的，精选违约或逾期风险可控、收益率较高的资产支持证券项目。根据不同资产支持证券的基础资产采取适度分散的地区配置策略和行业配置策略，在有效分散风险的前提下为投资人谋求较高的投资组合回报率。资产支持证券的信用风险分析采取内外结合的方法，以基金管理人的内部信用风险评估为主，并结合外部信用评级机构的分析报告，最终得出对每个资产支持证券项目的总体风险判断。另外，鉴于资产支持证券的流动性较差，本基金更倾向于配置久期较短的品种。</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Pr>
          <w:rFonts w:ascii="仿宋" w:eastAsia="仿宋" w:hAnsi="仿宋" w:hint="eastAsia"/>
          <w:color w:val="000000"/>
          <w:sz w:val="24"/>
        </w:rPr>
        <w:t>（六）股指期货投资策略</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40067E">
        <w:rPr>
          <w:rFonts w:ascii="仿宋" w:eastAsia="仿宋" w:hAnsi="仿宋" w:cs="宋体" w:hint="eastAsia"/>
          <w:kern w:val="0"/>
          <w:sz w:val="24"/>
          <w:szCs w:val="24"/>
        </w:rPr>
        <w:t>本基金投资股指期货将根据风险管理的原则，以套期保值为目的，以回避市场风险。故股指期货空头的合约价值主要与股票组合的多头价值相对应。基金管理人通过动态管理股指期货合约数量，以期萃取相应股票组合的超额收益。</w:t>
      </w:r>
    </w:p>
    <w:p w:rsidR="00E45E2B" w:rsidRDefault="00E45E2B" w:rsidP="00E45E2B">
      <w:pPr>
        <w:spacing w:line="360" w:lineRule="auto"/>
        <w:ind w:firstLine="405"/>
        <w:rPr>
          <w:rFonts w:ascii="仿宋" w:eastAsia="仿宋" w:hAnsi="仿宋" w:cs="宋体"/>
          <w:kern w:val="0"/>
          <w:sz w:val="24"/>
          <w:szCs w:val="24"/>
        </w:rPr>
      </w:pPr>
      <w:r>
        <w:rPr>
          <w:rFonts w:ascii="仿宋" w:eastAsia="仿宋" w:hAnsi="仿宋" w:cs="宋体" w:hint="eastAsia"/>
          <w:kern w:val="0"/>
          <w:sz w:val="24"/>
          <w:szCs w:val="24"/>
        </w:rPr>
        <w:t>（七）国债期货投资策略</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40067E">
        <w:rPr>
          <w:rFonts w:ascii="仿宋" w:eastAsia="仿宋" w:hAnsi="仿宋" w:cs="宋体" w:hint="eastAsia"/>
          <w:kern w:val="0"/>
          <w:sz w:val="24"/>
          <w:szCs w:val="24"/>
        </w:rPr>
        <w:t>本基金投资国债期货将根据风险管理的原则，以套期保值为目的，以回避市场风险。故国债期货空头的合约价值主要与债券组合的多头价值相对应。基金管理人通过动态管理国债期货合约数量，以期萃取相应债券组合的超额收益。</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w:t>
      </w:r>
      <w:r>
        <w:rPr>
          <w:rFonts w:ascii="仿宋" w:eastAsia="仿宋" w:hAnsi="仿宋" w:cs="宋体" w:hint="eastAsia"/>
          <w:kern w:val="0"/>
          <w:sz w:val="24"/>
          <w:szCs w:val="24"/>
        </w:rPr>
        <w:t>八</w:t>
      </w:r>
      <w:r w:rsidRPr="00C268B2">
        <w:rPr>
          <w:rFonts w:ascii="仿宋" w:eastAsia="仿宋" w:hAnsi="仿宋" w:cs="宋体" w:hint="eastAsia"/>
          <w:kern w:val="0"/>
          <w:sz w:val="24"/>
          <w:szCs w:val="24"/>
        </w:rPr>
        <w:t>）股票期权投资策略</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本基金将按照风险管理的原则，以套期保值为主要目的，参与股票期权的投资。本基金将在有效控制风险的前提下，选择流动性好、交易活跃的期权合约进行投资。</w:t>
      </w:r>
    </w:p>
    <w:p w:rsidR="00E45E2B" w:rsidRPr="00E37A1A"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E37A1A">
        <w:rPr>
          <w:rFonts w:ascii="仿宋" w:eastAsia="仿宋" w:hAnsi="仿宋" w:cs="宋体" w:hint="eastAsia"/>
          <w:kern w:val="0"/>
          <w:sz w:val="24"/>
          <w:szCs w:val="24"/>
        </w:rPr>
        <w:t>（九）信用衍生品投资策略</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E37A1A">
        <w:rPr>
          <w:rFonts w:ascii="仿宋" w:eastAsia="仿宋" w:hAnsi="仿宋" w:cs="宋体" w:hint="eastAsia"/>
          <w:kern w:val="0"/>
          <w:sz w:val="24"/>
          <w:szCs w:val="24"/>
        </w:rPr>
        <w:t>本基金将按照风险管理的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w:t>
      </w:r>
      <w:r>
        <w:rPr>
          <w:rFonts w:ascii="仿宋" w:eastAsia="仿宋" w:hAnsi="仿宋" w:cs="宋体" w:hint="eastAsia"/>
          <w:kern w:val="0"/>
          <w:sz w:val="24"/>
          <w:szCs w:val="24"/>
        </w:rPr>
        <w:t>十</w:t>
      </w:r>
      <w:r w:rsidRPr="00C268B2">
        <w:rPr>
          <w:rFonts w:ascii="仿宋" w:eastAsia="仿宋" w:hAnsi="仿宋" w:cs="宋体" w:hint="eastAsia"/>
          <w:kern w:val="0"/>
          <w:sz w:val="24"/>
          <w:szCs w:val="24"/>
        </w:rPr>
        <w:t>）</w:t>
      </w:r>
      <w:r w:rsidRPr="00E37A1A">
        <w:rPr>
          <w:rFonts w:ascii="仿宋" w:eastAsia="仿宋" w:hAnsi="仿宋" w:cs="宋体" w:hint="eastAsia"/>
          <w:kern w:val="0"/>
          <w:sz w:val="24"/>
          <w:szCs w:val="24"/>
        </w:rPr>
        <w:t>参与融资业务策略</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本基金将在充分考虑风险和收益特征的基础上，审慎参与融资交易。本基金将基于对市场行情和组合风险收益的分析，确定投资时机、标的证券以及投资比例。若相关融资业务法律法规和监管要求发生变化，本基金将从其最新规定，以符合法律法规和监管要求的变化。</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未来，随着证券市场投资工具的发展和丰富，本基金在履行适当程序后可相应调整和更新相关投资策略，并在招募说明书中更新公告。</w:t>
      </w:r>
    </w:p>
    <w:p w:rsidR="00E45E2B" w:rsidRDefault="00E45E2B" w:rsidP="00E45E2B">
      <w:pPr>
        <w:autoSpaceDE w:val="0"/>
        <w:autoSpaceDN w:val="0"/>
        <w:adjustRightInd w:val="0"/>
        <w:spacing w:line="360" w:lineRule="auto"/>
        <w:jc w:val="left"/>
        <w:rPr>
          <w:rFonts w:ascii="仿宋" w:eastAsia="仿宋" w:hAnsi="仿宋" w:cs="宋体"/>
          <w:b/>
          <w:bCs/>
          <w:kern w:val="0"/>
          <w:sz w:val="24"/>
          <w:szCs w:val="24"/>
        </w:rPr>
      </w:pPr>
      <w:r>
        <w:rPr>
          <w:rFonts w:ascii="仿宋" w:eastAsia="仿宋" w:hAnsi="仿宋" w:cs="宋体" w:hint="eastAsia"/>
          <w:b/>
          <w:bCs/>
          <w:kern w:val="0"/>
          <w:sz w:val="24"/>
          <w:szCs w:val="24"/>
        </w:rPr>
        <w:t xml:space="preserve">    四、投资限制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（一）投资组合限制</w:t>
      </w:r>
    </w:p>
    <w:p w:rsidR="00E45E2B" w:rsidRDefault="00E45E2B" w:rsidP="00E45E2B">
      <w:pPr>
        <w:autoSpaceDE w:val="0"/>
        <w:autoSpaceDN w:val="0"/>
        <w:adjustRightInd w:val="0"/>
        <w:spacing w:line="360" w:lineRule="auto"/>
        <w:ind w:left="420"/>
        <w:jc w:val="left"/>
        <w:rPr>
          <w:rFonts w:ascii="仿宋" w:eastAsia="仿宋" w:hAnsi="仿宋" w:cs="宋体"/>
          <w:kern w:val="0"/>
          <w:sz w:val="24"/>
          <w:szCs w:val="24"/>
        </w:rPr>
      </w:pPr>
      <w:r>
        <w:rPr>
          <w:rFonts w:ascii="仿宋" w:eastAsia="仿宋" w:hAnsi="仿宋" w:cs="宋体" w:hint="eastAsia"/>
          <w:kern w:val="0"/>
          <w:sz w:val="24"/>
          <w:szCs w:val="24"/>
        </w:rPr>
        <w:t>本基金的投资组合将遵循以下限制：</w:t>
      </w:r>
    </w:p>
    <w:p w:rsidR="00E45E2B" w:rsidRPr="00C268B2" w:rsidRDefault="00E45E2B" w:rsidP="00E45E2B">
      <w:pPr>
        <w:spacing w:line="360" w:lineRule="auto"/>
        <w:ind w:firstLineChars="200" w:firstLine="480"/>
        <w:rPr>
          <w:rFonts w:ascii="仿宋" w:eastAsia="仿宋" w:hAnsi="仿宋"/>
          <w:color w:val="000000"/>
          <w:sz w:val="24"/>
        </w:rPr>
      </w:pPr>
      <w:r>
        <w:rPr>
          <w:rFonts w:ascii="仿宋" w:eastAsia="仿宋" w:hAnsi="仿宋" w:hint="eastAsia"/>
          <w:color w:val="000000"/>
          <w:sz w:val="24"/>
        </w:rPr>
        <w:t>（1）</w:t>
      </w:r>
      <w:r w:rsidRPr="00F7437A">
        <w:rPr>
          <w:rFonts w:ascii="仿宋" w:eastAsia="仿宋" w:hAnsi="仿宋" w:hint="eastAsia"/>
          <w:color w:val="000000"/>
          <w:sz w:val="24"/>
        </w:rPr>
        <w:t>本基金投资于股票资产（含存托凭证）的比例为基金资产的60%-95%</w:t>
      </w:r>
      <w:r w:rsidRPr="00C268B2">
        <w:rPr>
          <w:rFonts w:ascii="仿宋" w:eastAsia="仿宋" w:hAnsi="仿宋" w:hint="eastAsia"/>
          <w:color w:val="000000"/>
          <w:sz w:val="24"/>
        </w:rPr>
        <w:t>（其中投资于港股通标的股票的比例占股票资产的0%-50%）</w:t>
      </w:r>
      <w:r w:rsidRPr="00C268B2">
        <w:rPr>
          <w:rFonts w:ascii="仿宋" w:eastAsia="仿宋" w:hAnsi="仿宋"/>
          <w:color w:val="000000"/>
          <w:sz w:val="24"/>
        </w:rPr>
        <w:t>；</w:t>
      </w:r>
      <w:r w:rsidRPr="00C268B2">
        <w:rPr>
          <w:rFonts w:ascii="仿宋" w:eastAsia="仿宋" w:hAnsi="仿宋" w:hint="eastAsia"/>
          <w:color w:val="000000"/>
          <w:sz w:val="24"/>
        </w:rPr>
        <w:t xml:space="preserve"> </w:t>
      </w:r>
    </w:p>
    <w:p w:rsidR="00E45E2B" w:rsidRPr="00C268B2" w:rsidRDefault="00E45E2B" w:rsidP="00E45E2B">
      <w:pPr>
        <w:spacing w:line="360" w:lineRule="auto"/>
        <w:ind w:firstLineChars="200" w:firstLine="480"/>
        <w:rPr>
          <w:rFonts w:ascii="仿宋" w:eastAsia="仿宋" w:hAnsi="仿宋"/>
          <w:color w:val="000000"/>
          <w:sz w:val="24"/>
        </w:rPr>
      </w:pPr>
      <w:r>
        <w:rPr>
          <w:rFonts w:ascii="仿宋" w:eastAsia="仿宋" w:hAnsi="仿宋" w:hint="eastAsia"/>
          <w:color w:val="000000"/>
          <w:sz w:val="24"/>
        </w:rPr>
        <w:t>（2）</w:t>
      </w:r>
      <w:r w:rsidRPr="00C268B2">
        <w:rPr>
          <w:rFonts w:ascii="仿宋" w:eastAsia="仿宋" w:hAnsi="仿宋" w:hint="eastAsia"/>
          <w:color w:val="000000"/>
          <w:sz w:val="24"/>
        </w:rPr>
        <w:t>本基金每个交易日日终在扣除股指期货、国债期货和股票期权合约需缴纳的交易保证金后，保持不低于基金资产净值5%的现金或者到期日在一年以内的政府债券。前述现金不包括结算备付金、存出保证金、应收申购款等</w:t>
      </w:r>
      <w:r>
        <w:rPr>
          <w:rFonts w:ascii="仿宋" w:eastAsia="仿宋" w:hAnsi="仿宋" w:hint="eastAsia"/>
          <w:color w:val="000000"/>
          <w:sz w:val="24"/>
        </w:rPr>
        <w:t>；</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（3）基金财产参与股票发行申购，本基金所申报的金额不超过本基金的总资产，本基金所申报的股票数量不超过拟发行股票公司本次发行股票的总量；</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4</w:t>
      </w:r>
      <w:r>
        <w:rPr>
          <w:rFonts w:ascii="仿宋" w:eastAsia="仿宋" w:hAnsi="仿宋"/>
          <w:color w:val="000000"/>
          <w:sz w:val="24"/>
        </w:rPr>
        <w:t>）本基金持有一家</w:t>
      </w:r>
      <w:r>
        <w:rPr>
          <w:rFonts w:ascii="仿宋" w:eastAsia="仿宋" w:hAnsi="仿宋" w:hint="eastAsia"/>
          <w:color w:val="000000"/>
          <w:sz w:val="24"/>
        </w:rPr>
        <w:t>公司发行</w:t>
      </w:r>
      <w:r>
        <w:rPr>
          <w:rFonts w:ascii="仿宋" w:eastAsia="仿宋" w:hAnsi="仿宋"/>
          <w:color w:val="000000"/>
          <w:sz w:val="24"/>
        </w:rPr>
        <w:t>的证券，其市值</w:t>
      </w:r>
      <w:r>
        <w:rPr>
          <w:rFonts w:ascii="仿宋" w:eastAsia="仿宋" w:hAnsi="仿宋" w:hint="eastAsia"/>
          <w:color w:val="000000"/>
          <w:sz w:val="24"/>
        </w:rPr>
        <w:t>（同一家公司在内地和香港同时上市的A+H股合计计算）</w:t>
      </w:r>
      <w:r>
        <w:rPr>
          <w:rFonts w:ascii="仿宋" w:eastAsia="仿宋" w:hAnsi="仿宋"/>
          <w:color w:val="000000"/>
          <w:sz w:val="24"/>
        </w:rPr>
        <w:t>不超过基金资产净值的10％；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5</w:t>
      </w:r>
      <w:r>
        <w:rPr>
          <w:rFonts w:ascii="仿宋" w:eastAsia="仿宋" w:hAnsi="仿宋"/>
          <w:color w:val="000000"/>
          <w:sz w:val="24"/>
        </w:rPr>
        <w:t>）本基金管理人管理的全部基金持有一家公司发行的证券</w:t>
      </w:r>
      <w:r w:rsidRPr="00C268B2">
        <w:rPr>
          <w:rFonts w:ascii="仿宋" w:eastAsia="仿宋" w:hAnsi="仿宋" w:hint="eastAsia"/>
          <w:color w:val="000000"/>
          <w:sz w:val="24"/>
        </w:rPr>
        <w:t>（同一家公司在内地和香港同时上市的A+H股合计计算），</w:t>
      </w:r>
      <w:r>
        <w:rPr>
          <w:rFonts w:ascii="仿宋" w:eastAsia="仿宋" w:hAnsi="仿宋"/>
          <w:color w:val="000000"/>
          <w:sz w:val="24"/>
        </w:rPr>
        <w:t>不超过该证券的10％</w:t>
      </w:r>
      <w:r w:rsidRPr="00C268B2">
        <w:rPr>
          <w:rFonts w:ascii="仿宋" w:eastAsia="仿宋" w:hAnsi="仿宋" w:hint="eastAsia"/>
          <w:color w:val="000000"/>
          <w:sz w:val="24"/>
        </w:rPr>
        <w:t>，完全按照有关指数的构成比例进行证券投资的基金品种可以不受此条款规定的比例限制</w:t>
      </w:r>
      <w:r>
        <w:rPr>
          <w:rFonts w:ascii="仿宋" w:eastAsia="仿宋" w:hAnsi="仿宋"/>
          <w:color w:val="000000"/>
          <w:sz w:val="24"/>
        </w:rPr>
        <w:t>；</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（6）本基金管理人管理的全部开放式基金</w:t>
      </w:r>
      <w:r>
        <w:rPr>
          <w:rFonts w:ascii="仿宋" w:eastAsia="仿宋" w:hAnsi="仿宋" w:hint="eastAsia"/>
          <w:bCs/>
          <w:color w:val="000000"/>
          <w:sz w:val="24"/>
        </w:rPr>
        <w:t>（</w:t>
      </w:r>
      <w:r>
        <w:rPr>
          <w:rFonts w:ascii="仿宋" w:eastAsia="仿宋" w:hAnsi="仿宋"/>
          <w:bCs/>
          <w:color w:val="000000"/>
          <w:sz w:val="24"/>
        </w:rPr>
        <w:t>包括开放式基金以及处于开放期的定期开放基金</w:t>
      </w:r>
      <w:r>
        <w:rPr>
          <w:rFonts w:ascii="仿宋" w:eastAsia="仿宋" w:hAnsi="仿宋" w:hint="eastAsia"/>
          <w:bCs/>
          <w:color w:val="000000"/>
          <w:sz w:val="24"/>
        </w:rPr>
        <w:t>）</w:t>
      </w:r>
      <w:r>
        <w:rPr>
          <w:rFonts w:ascii="仿宋" w:eastAsia="仿宋" w:hAnsi="仿宋" w:hint="eastAsia"/>
          <w:color w:val="000000"/>
          <w:sz w:val="24"/>
        </w:rPr>
        <w:t>持有一家上市公司发行的可流通股票，不得超过该上市公司可流通股票的15%；本基金管理人管理的全部投资组合持有一家上市公司发行的可流通股票，不得超过该上市公司可流通股票的30%</w:t>
      </w:r>
      <w:r w:rsidRPr="00A606F2">
        <w:rPr>
          <w:rFonts w:ascii="仿宋" w:eastAsia="仿宋" w:hAnsi="仿宋" w:hint="eastAsia"/>
          <w:color w:val="000000"/>
          <w:sz w:val="24"/>
        </w:rPr>
        <w:t>。完全按照有关指数的构成比例进行证券投资的开放式基金以及中国证监会认定的特殊投资组合可不受前述比例限制</w:t>
      </w:r>
      <w:r>
        <w:rPr>
          <w:rFonts w:ascii="仿宋" w:eastAsia="仿宋" w:hAnsi="仿宋" w:hint="eastAsia"/>
          <w:color w:val="000000"/>
          <w:sz w:val="24"/>
        </w:rPr>
        <w:t>；</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（7）本基金投资于同一原始权益人的各类资产支持证券的比例，不得超过基金资产净值的10％；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（8）本基金持有的全部资产支持证券，其市值不得超过基金资产净值的20％；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（9）本基金持有的同一(指同一信用级别)资产支持证券的比例，不得超过该资产支持证券规模的10％；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1</w:t>
      </w:r>
      <w:r>
        <w:rPr>
          <w:rFonts w:ascii="仿宋" w:eastAsia="仿宋" w:hAnsi="仿宋"/>
          <w:color w:val="000000"/>
          <w:sz w:val="24"/>
        </w:rPr>
        <w:t>0）本基金管理人管理的全部基金投资于同一原始权益人的各类资产支持证券，不得超过其各类资产支持证券合计规模的10％；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1</w:t>
      </w:r>
      <w:r>
        <w:rPr>
          <w:rFonts w:ascii="仿宋" w:eastAsia="仿宋" w:hAnsi="仿宋"/>
          <w:color w:val="000000"/>
          <w:sz w:val="24"/>
        </w:rPr>
        <w:t>1）本基金应投资于信用级别评级为BBB以上(含BBB)的资产支持证券。基金持有资产支持证券期间，如果其信用等级下降、不再符合投资标准，应在评级报告发布之日起3个月内予以全部卖出；</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（12）本</w:t>
      </w:r>
      <w:r>
        <w:rPr>
          <w:rFonts w:ascii="仿宋" w:eastAsia="仿宋" w:hAnsi="仿宋" w:hint="eastAsia"/>
          <w:color w:val="000000"/>
          <w:sz w:val="24"/>
        </w:rPr>
        <w:t>基金总资产不得超过基金净资产的140%；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3</w:t>
      </w:r>
      <w:r>
        <w:rPr>
          <w:rFonts w:ascii="仿宋" w:eastAsia="仿宋" w:hAnsi="仿宋" w:hint="eastAsia"/>
          <w:color w:val="000000"/>
          <w:sz w:val="24"/>
        </w:rPr>
        <w:t>）</w:t>
      </w:r>
      <w:r w:rsidRPr="00A606F2">
        <w:rPr>
          <w:rFonts w:ascii="仿宋" w:eastAsia="仿宋" w:hAnsi="仿宋" w:hint="eastAsia"/>
          <w:color w:val="000000"/>
          <w:sz w:val="24"/>
        </w:rPr>
        <w:t>本基金参与股指期货和/或国债期货交易时，应当遵守下列要求：</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1）基金在任何交易日日终，持有的买入股指期货合约价值不得超过基金资产净值的10%，持有的买入国债期货合约价值，不得超过基金资产净值的15%。</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2）基金在任何交易日日终，持有的卖出股指期货合约价值不得超过基金持有的股票总市值的20%，持有的卖出国债期货合约价值不得超过基金持有的债券总市值的30%。</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3）基金在任何交易日内交易（不包括平仓）的股指期货合约的成交金额不得超过上一交易日基金资产净值的20%，在任何交易日内交易（不包括平仓）的国债期货合约的成交金额不得超过上一交易日基金资产净值的30%。</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4）基金在任何交易日日终，持有的买入国债期货和股指期货合约价值与有价证券市值之和，不得超过基金资产净值的95%。</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其中，有价证券指股票、债券（不含到期日在一年以内的政府债券）、资产支持证券、买入返售金融资产（不含质押式回购）等。</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5）基金所持有的股票市值和买入、卖出股指期货合约价值，合计（轧差计算）应当符合基金合同关于股票投资比例的有关约定；</w:t>
      </w:r>
    </w:p>
    <w:p w:rsidR="00E45E2B"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基金所持有的债券（不含到期日在一年以内的政府债券）市值和买入、卖出国债期货合约价值，合计（轧差计算）应当符合基金合同关于债券投资比例的有关约定；</w:t>
      </w:r>
    </w:p>
    <w:p w:rsidR="00E45E2B" w:rsidRPr="00B82EC6"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4</w:t>
      </w:r>
      <w:r>
        <w:rPr>
          <w:rFonts w:ascii="仿宋" w:eastAsia="仿宋" w:hAnsi="仿宋" w:hint="eastAsia"/>
          <w:color w:val="000000"/>
          <w:sz w:val="24"/>
        </w:rPr>
        <w:t>）</w:t>
      </w:r>
      <w:r w:rsidRPr="00B82EC6">
        <w:rPr>
          <w:rFonts w:ascii="仿宋" w:eastAsia="仿宋" w:hAnsi="仿宋" w:hint="eastAsia"/>
          <w:color w:val="000000"/>
          <w:sz w:val="24"/>
        </w:rPr>
        <w:t>本基金参与股票期权交易的，应当符合下列要求：</w:t>
      </w:r>
    </w:p>
    <w:p w:rsidR="00E45E2B" w:rsidRPr="00B82EC6" w:rsidRDefault="00E45E2B" w:rsidP="00E45E2B">
      <w:pPr>
        <w:spacing w:line="360" w:lineRule="auto"/>
        <w:ind w:firstLineChars="177" w:firstLine="425"/>
        <w:rPr>
          <w:rFonts w:ascii="仿宋" w:eastAsia="仿宋" w:hAnsi="仿宋"/>
          <w:color w:val="000000"/>
          <w:sz w:val="24"/>
        </w:rPr>
      </w:pPr>
      <w:r w:rsidRPr="00B82EC6">
        <w:rPr>
          <w:rFonts w:ascii="仿宋" w:eastAsia="仿宋" w:hAnsi="仿宋" w:hint="eastAsia"/>
          <w:color w:val="000000"/>
          <w:sz w:val="24"/>
        </w:rPr>
        <w:t>1）基金因未平仓的期权合约支付和收取的权利金总额不得超过基金资产净值的10%；</w:t>
      </w:r>
    </w:p>
    <w:p w:rsidR="00E45E2B" w:rsidRPr="00B82EC6" w:rsidRDefault="00E45E2B" w:rsidP="00E45E2B">
      <w:pPr>
        <w:spacing w:line="360" w:lineRule="auto"/>
        <w:ind w:firstLineChars="177" w:firstLine="425"/>
        <w:rPr>
          <w:rFonts w:ascii="仿宋" w:eastAsia="仿宋" w:hAnsi="仿宋"/>
          <w:color w:val="000000"/>
          <w:sz w:val="24"/>
        </w:rPr>
      </w:pPr>
      <w:r w:rsidRPr="00B82EC6">
        <w:rPr>
          <w:rFonts w:ascii="仿宋" w:eastAsia="仿宋" w:hAnsi="仿宋" w:hint="eastAsia"/>
          <w:color w:val="000000"/>
          <w:sz w:val="24"/>
        </w:rPr>
        <w:t>2）开仓卖出认购期权的，应持有足额标的证券；开仓卖出认沽期权的，应持有合约行权所需的全额现金或交易所规则认可的可冲抵期权保证金的现金等价物；</w:t>
      </w:r>
    </w:p>
    <w:p w:rsidR="00E45E2B" w:rsidRDefault="00E45E2B" w:rsidP="00E45E2B">
      <w:pPr>
        <w:spacing w:line="360" w:lineRule="auto"/>
        <w:ind w:firstLineChars="177" w:firstLine="425"/>
        <w:rPr>
          <w:rFonts w:ascii="仿宋" w:eastAsia="仿宋" w:hAnsi="仿宋"/>
          <w:color w:val="000000"/>
          <w:sz w:val="24"/>
        </w:rPr>
      </w:pPr>
      <w:r w:rsidRPr="00B82EC6">
        <w:rPr>
          <w:rFonts w:ascii="仿宋" w:eastAsia="仿宋" w:hAnsi="仿宋" w:hint="eastAsia"/>
          <w:color w:val="000000"/>
          <w:sz w:val="24"/>
        </w:rPr>
        <w:t>3）未平仓的期权合约面值不得超过基金资产净值的20%，其中，合约面值按照行权价乘以合约乘数计算；</w:t>
      </w:r>
    </w:p>
    <w:p w:rsidR="00E45E2B" w:rsidRPr="00E37A1A" w:rsidRDefault="00E45E2B" w:rsidP="00E45E2B">
      <w:pPr>
        <w:spacing w:line="360" w:lineRule="auto"/>
        <w:ind w:firstLineChars="177" w:firstLine="425"/>
        <w:rPr>
          <w:rFonts w:ascii="仿宋" w:eastAsia="仿宋" w:hAnsi="仿宋"/>
          <w:color w:val="000000"/>
          <w:sz w:val="24"/>
        </w:rPr>
      </w:pPr>
      <w:r w:rsidRPr="00E37A1A">
        <w:rPr>
          <w:rFonts w:ascii="仿宋" w:eastAsia="仿宋" w:hAnsi="仿宋" w:hint="eastAsia"/>
          <w:color w:val="000000"/>
          <w:sz w:val="24"/>
        </w:rPr>
        <w:t>（15）本基金不得持有信用保护卖方属性的信用衍生品，不得持有合约类信用衍生品，持有的信用衍生品的名义本金不得超过本基金对应受保护债券面值的100%；</w:t>
      </w:r>
    </w:p>
    <w:p w:rsidR="00E45E2B" w:rsidRPr="00E37A1A" w:rsidRDefault="00E45E2B" w:rsidP="00E45E2B">
      <w:pPr>
        <w:spacing w:line="360" w:lineRule="auto"/>
        <w:ind w:firstLineChars="177" w:firstLine="425"/>
        <w:rPr>
          <w:rFonts w:ascii="仿宋" w:eastAsia="仿宋" w:hAnsi="仿宋"/>
          <w:color w:val="000000"/>
          <w:sz w:val="24"/>
        </w:rPr>
      </w:pPr>
      <w:r w:rsidRPr="00E37A1A">
        <w:rPr>
          <w:rFonts w:ascii="仿宋" w:eastAsia="仿宋" w:hAnsi="仿宋" w:hint="eastAsia"/>
          <w:color w:val="000000"/>
          <w:sz w:val="24"/>
        </w:rPr>
        <w:t>（16）本基金投资于同一信用保护卖方的各类信用衍生品的名义本金合计不得超过基金资产净值的10%；</w:t>
      </w:r>
    </w:p>
    <w:p w:rsidR="00E45E2B" w:rsidRDefault="00E45E2B" w:rsidP="00E45E2B">
      <w:pPr>
        <w:spacing w:line="360" w:lineRule="auto"/>
        <w:ind w:firstLineChars="177" w:firstLine="425"/>
        <w:rPr>
          <w:rFonts w:ascii="仿宋" w:eastAsia="仿宋" w:hAnsi="仿宋"/>
          <w:color w:val="000000"/>
          <w:sz w:val="24"/>
        </w:rPr>
      </w:pPr>
      <w:r w:rsidRPr="00E37A1A">
        <w:rPr>
          <w:rFonts w:ascii="仿宋" w:eastAsia="仿宋" w:hAnsi="仿宋" w:hint="eastAsia"/>
          <w:color w:val="000000"/>
          <w:sz w:val="24"/>
        </w:rPr>
        <w:t>因证券、期货市场波动、证券发行人合并、基金规模变动等基金管理人之外的因素致使基金不符合前述（15）、（16）所规定比例限制的，基金管理人应在3个月之内进行调整；</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7</w:t>
      </w:r>
      <w:r>
        <w:rPr>
          <w:rFonts w:ascii="仿宋" w:eastAsia="仿宋" w:hAnsi="仿宋" w:hint="eastAsia"/>
          <w:color w:val="000000"/>
          <w:sz w:val="24"/>
        </w:rPr>
        <w:t>）本基金与私募类证券资管产品及中国证监会认定的其他主体为交易对手开展逆回购交易的，可接受质押品的资质要求应当与基金合同约定的投资范围保持一致；</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hint="eastAsia"/>
          <w:color w:val="000000"/>
          <w:sz w:val="24"/>
        </w:rPr>
        <w:t>（</w:t>
      </w:r>
      <w:r>
        <w:rPr>
          <w:rFonts w:ascii="仿宋" w:eastAsia="仿宋" w:hAnsi="仿宋"/>
          <w:color w:val="000000"/>
          <w:sz w:val="24"/>
        </w:rPr>
        <w:t>18</w:t>
      </w:r>
      <w:r>
        <w:rPr>
          <w:rFonts w:ascii="仿宋" w:eastAsia="仿宋" w:hAnsi="仿宋" w:hint="eastAsia"/>
          <w:color w:val="000000"/>
          <w:sz w:val="24"/>
        </w:rPr>
        <w:t>）</w:t>
      </w:r>
      <w:r>
        <w:rPr>
          <w:rFonts w:ascii="仿宋" w:eastAsia="仿宋" w:hAnsi="仿宋" w:cs="宋体" w:hint="eastAsia"/>
          <w:bCs/>
          <w:kern w:val="0"/>
          <w:sz w:val="24"/>
          <w:szCs w:val="24"/>
        </w:rPr>
        <w:t>本基金主动投资于流动性受限资产的市值合计不得超过本基金资产净值的15%；</w:t>
      </w:r>
      <w:r w:rsidRPr="003E35E3">
        <w:rPr>
          <w:rFonts w:ascii="仿宋" w:eastAsia="仿宋" w:hAnsi="仿宋" w:cs="宋体" w:hint="eastAsia"/>
          <w:bCs/>
          <w:kern w:val="0"/>
          <w:sz w:val="24"/>
          <w:szCs w:val="24"/>
        </w:rPr>
        <w:t>因证券市场波动、上市公司股票停牌、基金规模变动等基金管理人之外的因素致使基金不符合前款所规定的比例限制的，基金管理人不得主动新增流动性受限资产的投资；</w:t>
      </w:r>
    </w:p>
    <w:p w:rsidR="00E45E2B" w:rsidRDefault="00E45E2B" w:rsidP="00E45E2B">
      <w:pPr>
        <w:autoSpaceDE w:val="0"/>
        <w:autoSpaceDN w:val="0"/>
        <w:adjustRightInd w:val="0"/>
        <w:spacing w:line="360" w:lineRule="auto"/>
        <w:ind w:firstLine="420"/>
        <w:jc w:val="left"/>
        <w:rPr>
          <w:rFonts w:ascii="仿宋" w:eastAsia="仿宋" w:hAnsi="仿宋"/>
          <w:color w:val="000000"/>
          <w:sz w:val="24"/>
        </w:rPr>
      </w:pPr>
      <w:r>
        <w:rPr>
          <w:rFonts w:ascii="仿宋" w:eastAsia="仿宋" w:hAnsi="仿宋" w:cs="宋体" w:hint="eastAsia"/>
          <w:bCs/>
          <w:kern w:val="0"/>
          <w:sz w:val="24"/>
          <w:szCs w:val="24"/>
        </w:rPr>
        <w:t>（1</w:t>
      </w:r>
      <w:r>
        <w:rPr>
          <w:rFonts w:ascii="仿宋" w:eastAsia="仿宋" w:hAnsi="仿宋" w:cs="宋体"/>
          <w:bCs/>
          <w:kern w:val="0"/>
          <w:sz w:val="24"/>
          <w:szCs w:val="24"/>
        </w:rPr>
        <w:t>9</w:t>
      </w:r>
      <w:r>
        <w:rPr>
          <w:rFonts w:ascii="仿宋" w:eastAsia="仿宋" w:hAnsi="仿宋" w:cs="宋体" w:hint="eastAsia"/>
          <w:bCs/>
          <w:kern w:val="0"/>
          <w:sz w:val="24"/>
          <w:szCs w:val="24"/>
        </w:rPr>
        <w:t>）</w:t>
      </w:r>
      <w:r w:rsidRPr="003E35E3">
        <w:rPr>
          <w:rFonts w:ascii="仿宋" w:eastAsia="仿宋" w:hAnsi="仿宋" w:cs="宋体" w:hint="eastAsia"/>
          <w:bCs/>
          <w:kern w:val="0"/>
          <w:sz w:val="24"/>
          <w:szCs w:val="24"/>
        </w:rPr>
        <w:t>参与融资业务后，在任何交易日日终，本基金持有的融资买入股票与其他有价证券市值之和，不得超过基金资产净值的95%；</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w:t>
      </w:r>
      <w:r>
        <w:rPr>
          <w:rFonts w:ascii="仿宋" w:eastAsia="仿宋" w:hAnsi="仿宋" w:cs="宋体"/>
          <w:bCs/>
          <w:kern w:val="0"/>
          <w:sz w:val="24"/>
          <w:szCs w:val="24"/>
        </w:rPr>
        <w:t>20</w:t>
      </w:r>
      <w:r>
        <w:rPr>
          <w:rFonts w:ascii="仿宋" w:eastAsia="仿宋" w:hAnsi="仿宋" w:cs="宋体" w:hint="eastAsia"/>
          <w:bCs/>
          <w:kern w:val="0"/>
          <w:sz w:val="24"/>
          <w:szCs w:val="24"/>
        </w:rPr>
        <w:t>）本基金投资存托凭证的比例限制依照内地上市交易的股票执行；</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（21）</w:t>
      </w:r>
      <w:r>
        <w:rPr>
          <w:rFonts w:ascii="仿宋" w:eastAsia="仿宋" w:hAnsi="仿宋" w:hint="eastAsia"/>
          <w:color w:val="000000"/>
          <w:sz w:val="24"/>
        </w:rPr>
        <w:t>法律法规及中国证监会规定的和《基金合同》约定的其他投资限制。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法律法规或监管部门取消或调整上述限制，如适用于本基金，则在履行适当程序后，本基金投资不再受相关限制</w:t>
      </w:r>
      <w:r w:rsidRPr="0091500D">
        <w:rPr>
          <w:rFonts w:ascii="仿宋" w:eastAsia="仿宋" w:hAnsi="仿宋" w:cs="宋体" w:hint="eastAsia"/>
          <w:kern w:val="0"/>
          <w:sz w:val="24"/>
          <w:szCs w:val="24"/>
        </w:rPr>
        <w:t>或按照调整后的规定执行</w:t>
      </w:r>
      <w:r>
        <w:rPr>
          <w:rFonts w:ascii="仿宋" w:eastAsia="仿宋" w:hAnsi="仿宋" w:hint="eastAsia"/>
          <w:color w:val="000000"/>
          <w:sz w:val="24"/>
        </w:rPr>
        <w:t>,基金管理人及时根据《信息披露办法》规定在</w:t>
      </w:r>
      <w:r>
        <w:rPr>
          <w:rFonts w:ascii="仿宋" w:eastAsia="仿宋" w:hAnsi="仿宋" w:cs="宋体" w:hint="eastAsia"/>
          <w:kern w:val="0"/>
          <w:sz w:val="24"/>
          <w:szCs w:val="24"/>
        </w:rPr>
        <w:t>规定媒介公告。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91500D">
        <w:rPr>
          <w:rFonts w:ascii="仿宋" w:eastAsia="仿宋" w:hAnsi="仿宋" w:cs="宋体" w:hint="eastAsia"/>
          <w:kern w:val="0"/>
          <w:sz w:val="24"/>
          <w:szCs w:val="24"/>
        </w:rPr>
        <w:t>除（2）、（11）、（15）、（16）</w:t>
      </w:r>
      <w:r w:rsidRPr="00E37A1A">
        <w:rPr>
          <w:rFonts w:ascii="仿宋" w:eastAsia="仿宋" w:hAnsi="仿宋" w:cs="宋体" w:hint="eastAsia"/>
          <w:kern w:val="0"/>
          <w:sz w:val="24"/>
          <w:szCs w:val="24"/>
        </w:rPr>
        <w:t>、（17）、（18）</w:t>
      </w:r>
      <w:r w:rsidRPr="0091500D">
        <w:rPr>
          <w:rFonts w:ascii="仿宋" w:eastAsia="仿宋" w:hAnsi="仿宋" w:cs="宋体" w:hint="eastAsia"/>
          <w:kern w:val="0"/>
          <w:sz w:val="24"/>
          <w:szCs w:val="24"/>
        </w:rPr>
        <w:t>条外，</w:t>
      </w:r>
      <w:r>
        <w:rPr>
          <w:rFonts w:ascii="仿宋" w:eastAsia="仿宋" w:hAnsi="仿宋" w:cs="宋体" w:hint="eastAsia"/>
          <w:kern w:val="0"/>
          <w:sz w:val="24"/>
          <w:szCs w:val="24"/>
        </w:rPr>
        <w:t>因证券、期货市场波动、证券发行人合并、基金规模变动等基金管理人之外的因素致使基金投资比例不符合上述规定投资比例的，基金管理人应当在</w:t>
      </w:r>
      <w:r>
        <w:rPr>
          <w:rFonts w:ascii="仿宋" w:eastAsia="仿宋" w:hAnsi="仿宋" w:cs="宋体"/>
          <w:kern w:val="0"/>
          <w:sz w:val="24"/>
          <w:szCs w:val="24"/>
        </w:rPr>
        <w:t>10</w:t>
      </w:r>
      <w:r>
        <w:rPr>
          <w:rFonts w:ascii="仿宋" w:eastAsia="仿宋" w:hAnsi="仿宋" w:cs="宋体" w:hint="eastAsia"/>
          <w:kern w:val="0"/>
          <w:sz w:val="24"/>
          <w:szCs w:val="24"/>
        </w:rPr>
        <w:t>个交易日内进行调整，但中国证监会规定的特殊情形除外。法律法规另有规定的，从其规定。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基金管理人应当自基金合同生效之日起</w:t>
      </w:r>
      <w:r>
        <w:rPr>
          <w:rFonts w:ascii="仿宋" w:eastAsia="仿宋" w:hAnsi="仿宋" w:cs="宋体"/>
          <w:kern w:val="0"/>
          <w:sz w:val="24"/>
          <w:szCs w:val="24"/>
        </w:rPr>
        <w:t>6</w:t>
      </w:r>
      <w:r>
        <w:rPr>
          <w:rFonts w:ascii="仿宋" w:eastAsia="仿宋" w:hAnsi="仿宋" w:cs="宋体"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（二）禁止行为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为维护基金份额持有人的合法权益，</w:t>
      </w:r>
      <w:r w:rsidRPr="00D427D2">
        <w:rPr>
          <w:rFonts w:ascii="仿宋" w:eastAsia="仿宋" w:hAnsi="仿宋" w:cs="宋体" w:hint="eastAsia"/>
          <w:kern w:val="0"/>
          <w:sz w:val="24"/>
          <w:szCs w:val="24"/>
        </w:rPr>
        <w:t>基金财产不得用于下列投资或者活动</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、承销证券；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、违反规定向他人贷款或提供担保；</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、从事承担无限责任的投资；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、买卖其他基金份额，但法律法规或中国证监会另有规定的除外；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5、向其基金管理人、基金托管人出资；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6、从事内幕交易、操纵证券交易价格及其他不正当的证券交易活动；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7、法律、行政法规和中国证监会规定禁止的其他活动。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如法律、行政法规或监管部门取消或调整上述禁止性规定，</w:t>
      </w:r>
      <w:r w:rsidRPr="007C48BC">
        <w:rPr>
          <w:rFonts w:ascii="仿宋" w:eastAsia="仿宋" w:hAnsi="仿宋" w:cs="宋体" w:hint="eastAsia"/>
          <w:kern w:val="0"/>
          <w:sz w:val="24"/>
          <w:szCs w:val="24"/>
        </w:rPr>
        <w:t>如适用于</w:t>
      </w:r>
      <w:r>
        <w:rPr>
          <w:rFonts w:ascii="仿宋" w:eastAsia="仿宋" w:hAnsi="仿宋" w:cs="宋体" w:hint="eastAsia"/>
          <w:kern w:val="0"/>
          <w:sz w:val="24"/>
          <w:szCs w:val="24"/>
        </w:rPr>
        <w:t>本基金，基金管理人在履行适当程序后，本基金可不受上述规定的限制</w:t>
      </w:r>
      <w:r w:rsidRPr="009B2533">
        <w:rPr>
          <w:rFonts w:ascii="仿宋" w:eastAsia="仿宋" w:hAnsi="仿宋" w:cs="宋体" w:hint="eastAsia"/>
          <w:kern w:val="0"/>
          <w:sz w:val="24"/>
          <w:szCs w:val="24"/>
        </w:rPr>
        <w:t>或以调整后的规定为准</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（三）关联交易原则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E37A1A">
        <w:rPr>
          <w:rFonts w:ascii="仿宋" w:eastAsia="仿宋" w:hAnsi="仿宋" w:cs="宋体" w:hint="eastAsia"/>
          <w:kern w:val="0"/>
          <w:sz w:val="24"/>
          <w:szCs w:val="24"/>
        </w:rPr>
        <w:t>法律法规或监管部门取消或变更上述限制，如适用于本基金，基金管理人在履行适当程序后，则本基金投资不再受相关限制或按变更后的规定执行。</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五、业绩比较基准</w:t>
      </w:r>
    </w:p>
    <w:p w:rsidR="00E45E2B" w:rsidRDefault="00E45E2B" w:rsidP="00E45E2B">
      <w:pPr>
        <w:widowControl/>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本基金的业绩比较基准为：</w:t>
      </w:r>
      <w:r w:rsidRPr="00DA5015">
        <w:rPr>
          <w:rFonts w:ascii="仿宋" w:eastAsia="仿宋" w:hAnsi="仿宋" w:hint="eastAsia"/>
          <w:color w:val="000000"/>
          <w:sz w:val="24"/>
        </w:rPr>
        <w:t>沪深300指数收益率*70%+恒生指数收益率（经汇率估值调整）*20%+中国债券总指数收益率*10%</w:t>
      </w:r>
      <w:r>
        <w:rPr>
          <w:rFonts w:ascii="仿宋" w:eastAsia="仿宋" w:hAnsi="仿宋" w:hint="eastAsia"/>
          <w:color w:val="000000"/>
          <w:sz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hint="eastAsia"/>
          <w:color w:val="000000"/>
          <w:sz w:val="24"/>
        </w:rPr>
        <w:t>其中，</w:t>
      </w:r>
      <w:r>
        <w:rPr>
          <w:rFonts w:ascii="仿宋" w:eastAsia="仿宋" w:hAnsi="仿宋" w:cs="宋体" w:hint="eastAsia"/>
          <w:kern w:val="0"/>
          <w:sz w:val="24"/>
          <w:szCs w:val="24"/>
        </w:rPr>
        <w:t>沪深300指数是由上海证券交易所和深圳证券交易所授权，由中证指数有限公司开发的中国A股市场指数，它的样本选自沪深两个证券市场，覆盖了大部分流通市值，其成份股票为中国A股市场中代表性强、流动性高的股票，能够反映A股市场总体发展趋势。</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hint="eastAsia"/>
          <w:color w:val="000000"/>
          <w:sz w:val="24"/>
        </w:rPr>
        <w:t>恒生指数是由恒生指数服务有限公司编制，以香港股票市场中的</w:t>
      </w:r>
      <w:r>
        <w:rPr>
          <w:rFonts w:ascii="仿宋" w:eastAsia="仿宋" w:hAnsi="仿宋"/>
          <w:color w:val="000000"/>
          <w:sz w:val="24"/>
        </w:rPr>
        <w:t>50</w:t>
      </w:r>
      <w:r>
        <w:rPr>
          <w:rFonts w:ascii="仿宋" w:eastAsia="仿宋" w:hAnsi="仿宋" w:hint="eastAsia"/>
          <w:color w:val="000000"/>
          <w:sz w:val="24"/>
        </w:rPr>
        <w:t>家上市股票为成份股样本，以其发行量为权数的加权平均股价指数，是反映香港股市价幅趋势最有影响的一种股价指数。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中国债券总指数是由中央国债登记结算有限责任公司于2001年12月31日推出的债券指数。它是中国债券市场趋势的表征，也是债券组合投资管理业绩评估的有效工具。中国债券总指数为掌握我国债券市场价格总水平、波动幅度和变动趋势，测算债券投资回报率水平，判断债券供求动向提供了很好的依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B114F0">
        <w:rPr>
          <w:rFonts w:ascii="仿宋" w:eastAsia="仿宋" w:hAnsi="仿宋" w:cs="宋体" w:hint="eastAsia"/>
          <w:kern w:val="0"/>
          <w:sz w:val="24"/>
          <w:szCs w:val="24"/>
        </w:rPr>
        <w:t>综上，</w:t>
      </w:r>
      <w:r>
        <w:rPr>
          <w:rFonts w:ascii="仿宋" w:eastAsia="仿宋" w:hAnsi="仿宋" w:cs="宋体" w:hint="eastAsia"/>
          <w:kern w:val="0"/>
          <w:sz w:val="24"/>
          <w:szCs w:val="24"/>
        </w:rPr>
        <w:t>本基金业绩比较基准</w:t>
      </w:r>
      <w:r w:rsidRPr="00917F0D">
        <w:rPr>
          <w:rFonts w:ascii="仿宋" w:eastAsia="仿宋" w:hAnsi="仿宋" w:cs="宋体" w:hint="eastAsia"/>
          <w:kern w:val="0"/>
          <w:sz w:val="24"/>
          <w:szCs w:val="24"/>
        </w:rPr>
        <w:t>沪深300指数收益率*70%+恒生指数收益率（经汇率估值调整）*20%+中国债券总指数收益率*10%</w:t>
      </w:r>
      <w:r>
        <w:rPr>
          <w:rFonts w:ascii="仿宋" w:eastAsia="仿宋" w:hAnsi="仿宋" w:cs="宋体" w:hint="eastAsia"/>
          <w:kern w:val="0"/>
          <w:sz w:val="24"/>
          <w:szCs w:val="24"/>
        </w:rPr>
        <w:t>目前能够较好地反映本基金的风险收益特征。如果今后法律法规发生变化，或者有更权威的、更能为市场普遍接受的业绩比较基准推出，或者是市场上出现更加适合用于本基金的业绩</w:t>
      </w:r>
      <w:r w:rsidRPr="00B114F0">
        <w:rPr>
          <w:rFonts w:ascii="仿宋" w:eastAsia="仿宋" w:hAnsi="仿宋" w:cs="宋体" w:hint="eastAsia"/>
          <w:kern w:val="0"/>
          <w:sz w:val="24"/>
          <w:szCs w:val="24"/>
        </w:rPr>
        <w:t>比较</w:t>
      </w:r>
      <w:r>
        <w:rPr>
          <w:rFonts w:ascii="仿宋" w:eastAsia="仿宋" w:hAnsi="仿宋" w:cs="宋体" w:hint="eastAsia"/>
          <w:kern w:val="0"/>
          <w:sz w:val="24"/>
          <w:szCs w:val="24"/>
        </w:rPr>
        <w:t>基准时，</w:t>
      </w:r>
      <w:r w:rsidRPr="009B2533">
        <w:rPr>
          <w:rFonts w:ascii="仿宋" w:eastAsia="仿宋" w:hAnsi="仿宋" w:cs="宋体" w:hint="eastAsia"/>
          <w:kern w:val="0"/>
          <w:sz w:val="24"/>
          <w:szCs w:val="24"/>
        </w:rPr>
        <w:t>基金管理人与基金托管人协商一致且履行适当程序后，本基金可以变更业绩比较基准</w:t>
      </w:r>
      <w:r>
        <w:rPr>
          <w:rFonts w:ascii="仿宋" w:eastAsia="仿宋" w:hAnsi="仿宋" w:cs="宋体" w:hint="eastAsia"/>
          <w:kern w:val="0"/>
          <w:sz w:val="24"/>
          <w:szCs w:val="24"/>
        </w:rPr>
        <w:t>并在规定媒介上及时公告。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六、风险收益特征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本基金是一只混合型基金，其预期风险与预期收益高于债券型基金与货币市场基金，低于股票型基金。</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除了投资A股外，还可根据法律法规规定投资香港联合交易所上市的股票。除了需要承担与境内证券投资基金类似的市场波动风险等一般投资风险之外，本基金还面临港股通机制下因投资环境、投资标的、市场制度以及交易规则等差异带来的特有风险。</w:t>
      </w:r>
    </w:p>
    <w:p w:rsidR="00E45E2B" w:rsidRPr="00DA33B7"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175" w:name="_Toc459291251"/>
      <w:r w:rsidRPr="00DA33B7">
        <w:rPr>
          <w:rFonts w:ascii="仿宋" w:eastAsia="仿宋" w:hAnsi="仿宋" w:cs="宋体" w:hint="eastAsia"/>
          <w:b/>
          <w:kern w:val="0"/>
          <w:sz w:val="24"/>
          <w:szCs w:val="24"/>
        </w:rPr>
        <w:t>七、基金管理人代表基金行使股东或债权人权利的处理原则及方法</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 xml:space="preserve">1、基金管理人按照国家有关规定代表基金独立行使股东或债权人权利，保护基金份额持有人的利益； </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 xml:space="preserve">2、不谋求对上市公司的控股； </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 xml:space="preserve">3、有利于基金财产的安全与增值； </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4、不通过关联交易为自身、雇员、授权代理人或任何存在利害关系的第三人牟取任何不当利益。</w:t>
      </w:r>
    </w:p>
    <w:p w:rsidR="00E45E2B" w:rsidRPr="00DA33B7"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DA33B7">
        <w:rPr>
          <w:rFonts w:ascii="仿宋" w:eastAsia="仿宋" w:hAnsi="仿宋" w:cs="宋体" w:hint="eastAsia"/>
          <w:b/>
          <w:kern w:val="0"/>
          <w:sz w:val="24"/>
          <w:szCs w:val="24"/>
        </w:rPr>
        <w:t>八、侧袋机制的实施和投资运作安排</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当基金持有特定资产且存在或潜在大额赎回申请时，</w:t>
      </w:r>
      <w:r w:rsidRPr="00397C20">
        <w:rPr>
          <w:rFonts w:ascii="仿宋" w:eastAsia="仿宋" w:hAnsi="仿宋" w:cs="宋体" w:hint="eastAsia"/>
          <w:kern w:val="0"/>
          <w:sz w:val="24"/>
          <w:szCs w:val="24"/>
        </w:rPr>
        <w:t>综合考虑投资组合的流动性、特定资产的估值公允性、潜在的赎回压力等因素</w:t>
      </w:r>
      <w:r>
        <w:rPr>
          <w:rFonts w:ascii="仿宋" w:eastAsia="仿宋" w:hAnsi="仿宋" w:cs="宋体" w:hint="eastAsia"/>
          <w:kern w:val="0"/>
          <w:sz w:val="24"/>
          <w:szCs w:val="24"/>
        </w:rPr>
        <w:t>，</w:t>
      </w:r>
      <w:r w:rsidRPr="00F762CE">
        <w:rPr>
          <w:rFonts w:ascii="仿宋" w:eastAsia="仿宋" w:hAnsi="仿宋" w:cs="宋体" w:hint="eastAsia"/>
          <w:kern w:val="0"/>
          <w:sz w:val="24"/>
          <w:szCs w:val="24"/>
        </w:rPr>
        <w:t>根据最大限度保护基金份额持有人利益的原则，基金管理人经与基金托管人协商一致，并咨询会计师事务所意见后，可以依照法律法规及基金合同的约定启用侧袋机制。</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侧袋机制实施期间，本部分约定的投资组合比例、投资策略、组合限制、业绩比较基准、风险收益特征等约定仅适用于主袋账户。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侧袋账户的实施条件、实施程序、运作安排、投资安排、特定资产的处置变现和支付等对投资者权益有重大影响的事项详见招募说明书的规定。</w:t>
      </w:r>
    </w:p>
    <w:p w:rsidR="00E45E2B" w:rsidRDefault="00E45E2B" w:rsidP="00E45E2B">
      <w:pPr>
        <w:widowControl/>
        <w:jc w:val="left"/>
        <w:rPr>
          <w:rFonts w:ascii="仿宋" w:eastAsia="仿宋" w:hAnsi="仿宋" w:cs="宋体"/>
          <w:kern w:val="0"/>
          <w:sz w:val="24"/>
          <w:szCs w:val="24"/>
        </w:rPr>
      </w:pPr>
      <w:r>
        <w:rPr>
          <w:rFonts w:ascii="仿宋" w:eastAsia="仿宋" w:hAnsi="仿宋" w:cs="宋体"/>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176" w:name="_Toc377998628"/>
      <w:bookmarkStart w:id="177" w:name="_Toc169163873"/>
      <w:r w:rsidRPr="004F6C89">
        <w:rPr>
          <w:rFonts w:eastAsia="仿宋" w:hint="eastAsia"/>
          <w:sz w:val="30"/>
          <w:szCs w:val="30"/>
          <w:lang w:val="zh-CN"/>
        </w:rPr>
        <w:t>第十三部分</w:t>
      </w:r>
      <w:r w:rsidRPr="004F6C89">
        <w:rPr>
          <w:rFonts w:eastAsia="仿宋" w:hint="eastAsia"/>
          <w:sz w:val="30"/>
          <w:szCs w:val="30"/>
          <w:lang w:val="zh-CN"/>
        </w:rPr>
        <w:t xml:space="preserve">    </w:t>
      </w:r>
      <w:r w:rsidRPr="004F6C89">
        <w:rPr>
          <w:rFonts w:eastAsia="仿宋" w:hint="eastAsia"/>
          <w:sz w:val="30"/>
          <w:szCs w:val="30"/>
          <w:lang w:val="zh-CN"/>
        </w:rPr>
        <w:t>基金的财产</w:t>
      </w:r>
      <w:bookmarkEnd w:id="175"/>
      <w:bookmarkEnd w:id="176"/>
      <w:bookmarkEnd w:id="177"/>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一、基金资产总值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基金资产总值是指基金拥有的各类有价证券</w:t>
      </w:r>
      <w:r w:rsidRPr="00B114F0">
        <w:rPr>
          <w:rFonts w:ascii="仿宋" w:eastAsia="仿宋" w:hAnsi="仿宋" w:cs="宋体" w:hint="eastAsia"/>
          <w:kern w:val="0"/>
          <w:sz w:val="24"/>
          <w:szCs w:val="24"/>
        </w:rPr>
        <w:t>及票据价值</w:t>
      </w:r>
      <w:r>
        <w:rPr>
          <w:rFonts w:ascii="仿宋" w:eastAsia="仿宋" w:hAnsi="仿宋" w:cs="宋体" w:hint="eastAsia"/>
          <w:kern w:val="0"/>
          <w:sz w:val="24"/>
          <w:szCs w:val="24"/>
        </w:rPr>
        <w:t>、银行存款本息和基金应收申购款及其他资产的价值总和。</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基金资产净值是指基金资产总值减去基金负债后的价值。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三、基金财产的账户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bookmarkStart w:id="178" w:name="_Hlt88841837"/>
      <w:bookmarkEnd w:id="178"/>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四、基金财产的保管和处分</w:t>
      </w:r>
      <w:bookmarkStart w:id="179" w:name="_Hlt88900062"/>
      <w:bookmarkEnd w:id="17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536EDF">
        <w:rPr>
          <w:rFonts w:ascii="仿宋" w:eastAsia="仿宋" w:hAnsi="仿宋" w:cs="宋体" w:hint="eastAsia"/>
          <w:kern w:val="0"/>
          <w:sz w:val="24"/>
          <w:szCs w:val="24"/>
        </w:rPr>
        <w:t>非因基金财产本身承担的债务，不得对基金财产强制执行。</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Pr="004F6C89" w:rsidRDefault="00E45E2B" w:rsidP="004F6C89">
      <w:pPr>
        <w:pStyle w:val="1"/>
        <w:spacing w:line="360" w:lineRule="auto"/>
        <w:jc w:val="center"/>
        <w:rPr>
          <w:rFonts w:eastAsia="仿宋"/>
          <w:sz w:val="30"/>
          <w:szCs w:val="30"/>
          <w:lang w:val="zh-CN"/>
        </w:rPr>
      </w:pPr>
      <w:bookmarkStart w:id="180" w:name="_Toc377998629"/>
      <w:bookmarkStart w:id="181" w:name="_Toc459291252"/>
      <w:bookmarkStart w:id="182" w:name="_Toc169163874"/>
      <w:r w:rsidRPr="004F6C89">
        <w:rPr>
          <w:rFonts w:eastAsia="仿宋" w:hint="eastAsia"/>
          <w:sz w:val="30"/>
          <w:szCs w:val="30"/>
          <w:lang w:val="zh-CN"/>
        </w:rPr>
        <w:t>第十四部分</w:t>
      </w:r>
      <w:r w:rsidRPr="004F6C89">
        <w:rPr>
          <w:rFonts w:eastAsia="仿宋" w:hint="eastAsia"/>
          <w:sz w:val="30"/>
          <w:szCs w:val="30"/>
          <w:lang w:val="zh-CN"/>
        </w:rPr>
        <w:t xml:space="preserve">    </w:t>
      </w:r>
      <w:r w:rsidRPr="004F6C89">
        <w:rPr>
          <w:rFonts w:eastAsia="仿宋" w:hint="eastAsia"/>
          <w:sz w:val="30"/>
          <w:szCs w:val="30"/>
          <w:lang w:val="zh-CN"/>
        </w:rPr>
        <w:t>基金资产估值</w:t>
      </w:r>
      <w:bookmarkEnd w:id="180"/>
      <w:bookmarkEnd w:id="181"/>
      <w:bookmarkEnd w:id="182"/>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83" w:name="_Toc141703895"/>
      <w:bookmarkStart w:id="184" w:name="_Toc32046"/>
      <w:bookmarkStart w:id="185" w:name="_Toc139991745"/>
      <w:r>
        <w:rPr>
          <w:rFonts w:ascii="仿宋" w:eastAsia="仿宋" w:hAnsi="仿宋" w:cs="宋体" w:hint="eastAsia"/>
          <w:b/>
          <w:bCs/>
          <w:kern w:val="0"/>
          <w:sz w:val="24"/>
          <w:szCs w:val="24"/>
        </w:rPr>
        <w:t>一、估值日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本基金的估值日为本基金相关的证券交易场所的交易日以及国家法律法规规定需要对外披露基金净值的非交易日。</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二、估值对象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基金所拥有的股票、债券、</w:t>
      </w:r>
      <w:r w:rsidRPr="00536EDF">
        <w:rPr>
          <w:rFonts w:ascii="仿宋" w:eastAsia="仿宋" w:hAnsi="仿宋" w:cs="宋体" w:hint="eastAsia"/>
          <w:kern w:val="0"/>
          <w:sz w:val="24"/>
          <w:szCs w:val="24"/>
        </w:rPr>
        <w:t>资产支持证券、股票期</w:t>
      </w:r>
      <w:r>
        <w:rPr>
          <w:rFonts w:ascii="仿宋" w:eastAsia="仿宋" w:hAnsi="仿宋" w:cs="宋体" w:hint="eastAsia"/>
          <w:kern w:val="0"/>
          <w:sz w:val="24"/>
          <w:szCs w:val="24"/>
        </w:rPr>
        <w:t>权合约、股指期货合约、国债期货合约</w:t>
      </w:r>
      <w:r w:rsidRPr="00B114F0">
        <w:rPr>
          <w:rFonts w:ascii="仿宋" w:eastAsia="仿宋" w:hAnsi="仿宋" w:cs="宋体" w:hint="eastAsia"/>
          <w:kern w:val="0"/>
          <w:sz w:val="24"/>
          <w:szCs w:val="24"/>
        </w:rPr>
        <w:t>、信用衍生品</w:t>
      </w:r>
      <w:r>
        <w:rPr>
          <w:rFonts w:ascii="仿宋" w:eastAsia="仿宋" w:hAnsi="仿宋" w:cs="宋体" w:hint="eastAsia"/>
          <w:kern w:val="0"/>
          <w:sz w:val="24"/>
          <w:szCs w:val="24"/>
        </w:rPr>
        <w:t>和银行存款本息、应收款项、其它投资等资产和负债。</w:t>
      </w:r>
    </w:p>
    <w:p w:rsidR="00E45E2B" w:rsidRPr="00AF382F" w:rsidRDefault="00E45E2B" w:rsidP="00B37EC7">
      <w:pPr>
        <w:spacing w:line="360" w:lineRule="auto"/>
        <w:ind w:firstLineChars="200" w:firstLine="480"/>
        <w:rPr>
          <w:rFonts w:ascii="仿宋" w:eastAsia="仿宋" w:hAnsi="仿宋" w:cs="宋体"/>
          <w:b/>
          <w:kern w:val="0"/>
          <w:sz w:val="24"/>
          <w:szCs w:val="24"/>
        </w:rPr>
      </w:pPr>
      <w:r w:rsidRPr="00AF382F">
        <w:rPr>
          <w:rFonts w:ascii="仿宋" w:eastAsia="仿宋" w:hAnsi="仿宋" w:cs="宋体" w:hint="eastAsia"/>
          <w:b/>
          <w:kern w:val="0"/>
          <w:sz w:val="24"/>
          <w:szCs w:val="24"/>
        </w:rPr>
        <w:t>三、估值原则</w:t>
      </w:r>
    </w:p>
    <w:p w:rsidR="00E45E2B" w:rsidRDefault="00E45E2B" w:rsidP="00E45E2B">
      <w:pPr>
        <w:spacing w:line="360" w:lineRule="auto"/>
        <w:ind w:firstLine="420"/>
        <w:rPr>
          <w:rFonts w:ascii="仿宋" w:eastAsia="仿宋" w:hAnsi="仿宋" w:cs="宋体"/>
          <w:kern w:val="0"/>
          <w:sz w:val="24"/>
          <w:szCs w:val="24"/>
        </w:rPr>
      </w:pPr>
      <w:r>
        <w:rPr>
          <w:rFonts w:ascii="仿宋" w:eastAsia="仿宋" w:hAnsi="仿宋" w:cs="宋体" w:hint="eastAsia"/>
          <w:kern w:val="0"/>
          <w:sz w:val="24"/>
          <w:szCs w:val="24"/>
        </w:rPr>
        <w:t>基金管理人在确定相关金融资产和金融负债的公允价值时，应符合《企业会计准则》、监管部门有关规定。</w:t>
      </w:r>
    </w:p>
    <w:p w:rsidR="00E45E2B" w:rsidRDefault="00E45E2B" w:rsidP="00E45E2B">
      <w:pPr>
        <w:spacing w:line="360" w:lineRule="auto"/>
        <w:ind w:firstLine="420"/>
        <w:rPr>
          <w:rFonts w:ascii="仿宋" w:eastAsia="仿宋" w:hAnsi="仿宋" w:cs="宋体"/>
          <w:kern w:val="0"/>
          <w:sz w:val="24"/>
          <w:szCs w:val="24"/>
        </w:rPr>
      </w:pPr>
      <w:r>
        <w:rPr>
          <w:rFonts w:ascii="仿宋" w:eastAsia="仿宋" w:hAnsi="仿宋" w:cs="宋体" w:hint="eastAsia"/>
          <w:kern w:val="0"/>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45E2B" w:rsidRDefault="00E45E2B" w:rsidP="00E45E2B">
      <w:pPr>
        <w:tabs>
          <w:tab w:val="left" w:pos="0"/>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45E2B" w:rsidRDefault="00E45E2B" w:rsidP="00E45E2B">
      <w:pPr>
        <w:tabs>
          <w:tab w:val="left" w:pos="0"/>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（3）如经济环境发生重大变化或证券发行人发生影响证券价格的重大事件，使潜在估值调整对前一估值日的基金资产净值的影响在0.25%以上的，应对估值进行调整并确定公允价值。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四、估值方法</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sidRPr="00CC69FD">
        <w:rPr>
          <w:rFonts w:ascii="仿宋" w:eastAsia="仿宋" w:hAnsi="仿宋" w:cs="宋体" w:hint="eastAsia"/>
          <w:kern w:val="0"/>
          <w:sz w:val="24"/>
          <w:szCs w:val="24"/>
        </w:rPr>
        <w:t>上市或挂牌转让的</w:t>
      </w:r>
      <w:r>
        <w:rPr>
          <w:rFonts w:ascii="仿宋" w:eastAsia="仿宋" w:hAnsi="仿宋" w:cs="宋体" w:hint="eastAsia"/>
          <w:kern w:val="0"/>
          <w:sz w:val="24"/>
          <w:szCs w:val="24"/>
        </w:rPr>
        <w:t>有价证券的估值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w:t>
      </w:r>
      <w:r w:rsidRPr="00FA6D41">
        <w:rPr>
          <w:rFonts w:ascii="仿宋" w:eastAsia="仿宋" w:hAnsi="仿宋" w:cs="宋体" w:hint="eastAsia"/>
          <w:kern w:val="0"/>
          <w:sz w:val="24"/>
          <w:szCs w:val="24"/>
        </w:rPr>
        <w:t>已上市交易或挂牌转让的不含权固定收益品种</w:t>
      </w:r>
      <w:r>
        <w:rPr>
          <w:rFonts w:ascii="仿宋" w:eastAsia="仿宋" w:hAnsi="仿宋" w:cs="宋体" w:hint="eastAsia"/>
          <w:kern w:val="0"/>
          <w:sz w:val="24"/>
          <w:szCs w:val="24"/>
        </w:rPr>
        <w:t>（另有规定的除外）</w:t>
      </w:r>
      <w:r w:rsidRPr="00FA6D41">
        <w:rPr>
          <w:rFonts w:ascii="仿宋" w:eastAsia="仿宋" w:hAnsi="仿宋" w:cs="宋体" w:hint="eastAsia"/>
          <w:kern w:val="0"/>
          <w:sz w:val="24"/>
          <w:szCs w:val="24"/>
        </w:rPr>
        <w:t>，选取估值日第三方估值基准服务机构提供的相应品种当日的估值全价进行估值；</w:t>
      </w:r>
    </w:p>
    <w:p w:rsidR="00E45E2B" w:rsidRPr="00FA6D41"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w:t>
      </w:r>
      <w:r w:rsidRPr="00FA6D41">
        <w:rPr>
          <w:rFonts w:ascii="仿宋" w:eastAsia="仿宋" w:hAnsi="仿宋" w:cs="宋体" w:hint="eastAsia"/>
          <w:kern w:val="0"/>
          <w:sz w:val="24"/>
          <w:szCs w:val="24"/>
        </w:rPr>
        <w:t>已上市交易或挂牌转让的含权固定收益品种</w:t>
      </w:r>
      <w:r>
        <w:rPr>
          <w:rFonts w:ascii="仿宋" w:eastAsia="仿宋" w:hAnsi="仿宋" w:cs="宋体" w:hint="eastAsia"/>
          <w:kern w:val="0"/>
          <w:sz w:val="24"/>
          <w:szCs w:val="24"/>
        </w:rPr>
        <w:t>（</w:t>
      </w:r>
      <w:r w:rsidRPr="001E63D1">
        <w:rPr>
          <w:rFonts w:ascii="仿宋" w:eastAsia="仿宋" w:hAnsi="仿宋" w:cs="宋体" w:hint="eastAsia"/>
          <w:kern w:val="0"/>
          <w:sz w:val="24"/>
          <w:szCs w:val="24"/>
        </w:rPr>
        <w:t>另有规定的除外</w:t>
      </w:r>
      <w:r>
        <w:rPr>
          <w:rFonts w:ascii="仿宋" w:eastAsia="仿宋" w:hAnsi="仿宋" w:cs="宋体" w:hint="eastAsia"/>
          <w:kern w:val="0"/>
          <w:sz w:val="24"/>
          <w:szCs w:val="24"/>
        </w:rPr>
        <w:t>）</w:t>
      </w:r>
      <w:r w:rsidRPr="00FA6D41">
        <w:rPr>
          <w:rFonts w:ascii="仿宋" w:eastAsia="仿宋" w:hAnsi="仿宋" w:cs="宋体" w:hint="eastAsia"/>
          <w:kern w:val="0"/>
          <w:sz w:val="24"/>
          <w:szCs w:val="24"/>
        </w:rPr>
        <w:t>，选取估值日第三方估值基准服务机构提供的相应品种当日的唯一估值全价或推荐估值全价进行估值；</w:t>
      </w:r>
    </w:p>
    <w:p w:rsidR="00E45E2B" w:rsidRPr="00FA6D41" w:rsidRDefault="00E45E2B" w:rsidP="00E45E2B">
      <w:pPr>
        <w:widowControl/>
        <w:shd w:val="clear" w:color="auto" w:fill="FFFFFF"/>
        <w:tabs>
          <w:tab w:val="left" w:pos="426"/>
          <w:tab w:val="left" w:pos="993"/>
          <w:tab w:val="left" w:pos="1134"/>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w:t>
      </w:r>
      <w:r w:rsidRPr="00FA6D41">
        <w:rPr>
          <w:rFonts w:ascii="仿宋" w:eastAsia="仿宋" w:hAnsi="仿宋" w:cs="宋体" w:hint="eastAsia"/>
          <w:kern w:val="0"/>
          <w:sz w:val="24"/>
          <w:szCs w:val="24"/>
        </w:rPr>
        <w:t>对于交易所上市交易的公开发行的可转债等有活跃市场的含转股权的债券，实行全价交易的债券以估值日收盘价作为估值全价；实行净价交易的债券以估值日收盘价并加计每百元税前应计利息作为估值全价；</w:t>
      </w:r>
    </w:p>
    <w:p w:rsidR="00E45E2B" w:rsidRPr="00FA6D41" w:rsidRDefault="00E45E2B" w:rsidP="00E45E2B">
      <w:pPr>
        <w:widowControl/>
        <w:shd w:val="clear" w:color="auto" w:fill="FFFFFF"/>
        <w:tabs>
          <w:tab w:val="left" w:pos="426"/>
          <w:tab w:val="left" w:pos="993"/>
          <w:tab w:val="left" w:pos="1134"/>
        </w:tabs>
        <w:spacing w:line="360" w:lineRule="auto"/>
        <w:ind w:firstLineChars="200" w:firstLine="480"/>
        <w:jc w:val="left"/>
        <w:rPr>
          <w:rFonts w:ascii="仿宋" w:eastAsia="仿宋" w:hAnsi="仿宋" w:cs="宋体"/>
          <w:kern w:val="0"/>
          <w:sz w:val="24"/>
          <w:szCs w:val="24"/>
        </w:rPr>
      </w:pPr>
      <w:r w:rsidRPr="00FA6D41">
        <w:rPr>
          <w:rFonts w:ascii="仿宋" w:eastAsia="仿宋" w:hAnsi="仿宋" w:cs="宋体" w:hint="eastAsia"/>
          <w:kern w:val="0"/>
          <w:sz w:val="24"/>
          <w:szCs w:val="24"/>
        </w:rPr>
        <w:t>（5）对于含投资人回售权的固定收益品种，行使回售权的，在回售登记日至实际收款日期间以第三方估值基准服务机构提供的相应品种当日的唯一估值全价或推荐估值全价进行估值，同时充分考虑发行人的信用风险变化对公允价值的影响。回售登记期截止日（含当日）后未行使回售权的按照长待偿期所对应的价格进行估值；</w:t>
      </w:r>
    </w:p>
    <w:p w:rsidR="00E45E2B" w:rsidRDefault="00E45E2B" w:rsidP="00E45E2B">
      <w:pPr>
        <w:widowControl/>
        <w:shd w:val="clear" w:color="auto" w:fill="FFFFFF"/>
        <w:tabs>
          <w:tab w:val="left" w:pos="426"/>
          <w:tab w:val="left" w:pos="993"/>
          <w:tab w:val="left" w:pos="1134"/>
        </w:tabs>
        <w:spacing w:line="360" w:lineRule="auto"/>
        <w:ind w:firstLineChars="200" w:firstLine="480"/>
        <w:jc w:val="left"/>
        <w:rPr>
          <w:rFonts w:ascii="仿宋" w:eastAsia="仿宋" w:hAnsi="仿宋" w:cs="宋体"/>
          <w:kern w:val="0"/>
          <w:sz w:val="24"/>
          <w:szCs w:val="24"/>
        </w:rPr>
      </w:pPr>
      <w:r w:rsidRPr="00FA6D41">
        <w:rPr>
          <w:rFonts w:ascii="仿宋" w:eastAsia="仿宋" w:hAnsi="仿宋" w:cs="宋体" w:hint="eastAsia"/>
          <w:kern w:val="0"/>
          <w:sz w:val="24"/>
          <w:szCs w:val="24"/>
        </w:rPr>
        <w:t>（6）已上市或挂牌转让且不存在活跃市场的有价证券，采用估值技术确定公允价值。</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、处于未上市或未挂牌转让期间的有价证券应区分如下情况处理：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）送股、转增股、配股和公开增发的新股，按估值日在证券交易所挂牌的同一股票的</w:t>
      </w:r>
      <w:r>
        <w:rPr>
          <w:rFonts w:ascii="仿宋" w:eastAsia="仿宋" w:hAnsi="仿宋" w:hint="eastAsia"/>
          <w:kern w:val="0"/>
          <w:sz w:val="24"/>
        </w:rPr>
        <w:t>估值方法</w:t>
      </w:r>
      <w:r>
        <w:rPr>
          <w:rFonts w:ascii="仿宋" w:eastAsia="仿宋" w:hAnsi="仿宋" w:cs="宋体" w:hint="eastAsia"/>
          <w:kern w:val="0"/>
          <w:sz w:val="24"/>
          <w:szCs w:val="24"/>
        </w:rPr>
        <w:t>估值；该日无交易的，以最近一日的市价（收盘价）估值；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）首次公开发行未上市的股票，采用估值技术确定公允价值；</w:t>
      </w:r>
    </w:p>
    <w:p w:rsidR="00E45E2B" w:rsidRDefault="00E45E2B" w:rsidP="00E45E2B">
      <w:pPr>
        <w:widowControl/>
        <w:shd w:val="clear" w:color="auto" w:fill="FFFFFF"/>
        <w:tabs>
          <w:tab w:val="left" w:pos="426"/>
          <w:tab w:val="left" w:pos="993"/>
          <w:tab w:val="left" w:pos="1134"/>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t>（3）</w:t>
      </w:r>
      <w:r w:rsidRPr="00FA6D41">
        <w:rPr>
          <w:rFonts w:ascii="仿宋" w:eastAsia="仿宋" w:hAnsi="仿宋" w:cs="宋体" w:hint="eastAsia"/>
          <w:kern w:val="0"/>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rFonts w:ascii="仿宋" w:eastAsia="仿宋" w:hAnsi="仿宋" w:cs="宋体" w:hint="eastAsia"/>
          <w:kern w:val="0"/>
          <w:sz w:val="24"/>
          <w:szCs w:val="24"/>
        </w:rPr>
        <w:t>，按监管机构或行业协会有关规定确定公允价值；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FA6D41">
        <w:rPr>
          <w:rFonts w:ascii="仿宋" w:eastAsia="仿宋" w:hAnsi="仿宋" w:cs="宋体" w:hint="eastAsia"/>
          <w:kern w:val="0"/>
          <w:sz w:val="24"/>
          <w:szCs w:val="24"/>
        </w:rPr>
        <w:t>对于未上市或未挂牌转让且不存在活跃市场的固定收益品种，应采用在当前情况下</w:t>
      </w:r>
      <w:r>
        <w:rPr>
          <w:rFonts w:ascii="仿宋" w:eastAsia="仿宋" w:hAnsi="仿宋" w:cs="宋体" w:hint="eastAsia"/>
          <w:kern w:val="0"/>
          <w:sz w:val="24"/>
          <w:szCs w:val="24"/>
        </w:rPr>
        <w:t>适用并且有足够可利用数据和其他信息支持的估值技术确定其公允价值。</w:t>
      </w:r>
    </w:p>
    <w:p w:rsidR="00E45E2B"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3、</w:t>
      </w:r>
      <w:r w:rsidRPr="00FA6D41">
        <w:rPr>
          <w:rFonts w:ascii="仿宋" w:eastAsia="仿宋" w:hAnsi="仿宋" w:cs="宋体" w:hint="eastAsia"/>
          <w:kern w:val="0"/>
          <w:sz w:val="24"/>
          <w:szCs w:val="24"/>
        </w:rPr>
        <w:t>对于发行人已破产、发行人未能按时足额偿付本金或利息，或者有其它可靠信息表明本金或利息无法按时足额偿付的债券投资品种，第三方估值基准服务机构如在提供推荐价格的同时提供价格区间作为公允价值的参考范围以及公允价值存在重大不确定性的相关提示的，基金管理人在与基金托管人协商一致后，可采用价格区间中的数据作为该债券投资品种的公允价值。</w:t>
      </w:r>
    </w:p>
    <w:p w:rsidR="00E45E2B"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4、</w:t>
      </w:r>
      <w:r w:rsidRPr="00FA6D41">
        <w:rPr>
          <w:rFonts w:ascii="仿宋" w:eastAsia="仿宋" w:hAnsi="仿宋" w:cs="宋体" w:hint="eastAsia"/>
          <w:kern w:val="0"/>
          <w:sz w:val="24"/>
          <w:szCs w:val="24"/>
        </w:rPr>
        <w:t>同一证券同时在两个或两个以上市场交易的，按证券所处的市场分别估值。</w:t>
      </w:r>
    </w:p>
    <w:p w:rsidR="00E45E2B"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5、投资证券衍生品的估值方法</w:t>
      </w:r>
    </w:p>
    <w:p w:rsidR="00E45E2B" w:rsidRPr="00FA6D41"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FA6D41">
        <w:rPr>
          <w:rFonts w:ascii="仿宋" w:eastAsia="仿宋" w:hAnsi="仿宋" w:cs="宋体" w:hint="eastAsia"/>
          <w:kern w:val="0"/>
          <w:sz w:val="24"/>
          <w:szCs w:val="24"/>
        </w:rPr>
        <w:t>（1）股指期货合约，一般以估值当日结算价进行估值，估值当日无结算价的， 且最近交易日后经济环境未发生重大变化的，采用最近交易日结算价估值。</w:t>
      </w:r>
    </w:p>
    <w:p w:rsidR="00E45E2B" w:rsidRPr="00FA6D41"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FA6D41">
        <w:rPr>
          <w:rFonts w:ascii="仿宋" w:eastAsia="仿宋" w:hAnsi="仿宋" w:cs="宋体" w:hint="eastAsia"/>
          <w:kern w:val="0"/>
          <w:sz w:val="24"/>
          <w:szCs w:val="24"/>
        </w:rPr>
        <w:t>（2）国债期货合约，一般以估值当日结算价进行估值，估值当日无结算价的，且最近交易日后经济环境未发生重大变化的，采用最近交易日结算价估值。</w:t>
      </w:r>
    </w:p>
    <w:p w:rsidR="00E45E2B" w:rsidRDefault="00E45E2B" w:rsidP="00E45E2B">
      <w:pPr>
        <w:tabs>
          <w:tab w:val="left" w:pos="567"/>
        </w:tabs>
        <w:spacing w:line="360" w:lineRule="auto"/>
        <w:ind w:firstLineChars="200" w:firstLine="480"/>
        <w:jc w:val="left"/>
        <w:rPr>
          <w:rFonts w:ascii="仿宋" w:eastAsia="仿宋" w:hAnsi="仿宋" w:cs="宋体"/>
          <w:kern w:val="0"/>
          <w:sz w:val="24"/>
          <w:szCs w:val="24"/>
        </w:rPr>
      </w:pPr>
      <w:r w:rsidRPr="00FA6D41">
        <w:rPr>
          <w:rFonts w:ascii="仿宋" w:eastAsia="仿宋" w:hAnsi="仿宋" w:cs="宋体" w:hint="eastAsia"/>
          <w:kern w:val="0"/>
          <w:sz w:val="24"/>
          <w:szCs w:val="24"/>
        </w:rPr>
        <w:t>（3）股票期权合约，一般以估值当日结算价进行估值，估值当日无结算价的，且最近交易日后经济环境未发生重大变化的，采用最近交易日结算价估值。如有相关法律法规以及监管部门相关</w:t>
      </w:r>
      <w:r>
        <w:rPr>
          <w:rFonts w:ascii="仿宋" w:eastAsia="仿宋" w:hAnsi="仿宋" w:cs="宋体" w:hint="eastAsia"/>
          <w:kern w:val="0"/>
          <w:sz w:val="24"/>
          <w:szCs w:val="24"/>
        </w:rPr>
        <w:t>规定，按其规定内容进行估值。</w:t>
      </w:r>
    </w:p>
    <w:p w:rsidR="00E45E2B" w:rsidRDefault="00E45E2B" w:rsidP="00E45E2B">
      <w:pPr>
        <w:tabs>
          <w:tab w:val="left" w:pos="567"/>
        </w:tabs>
        <w:spacing w:line="360" w:lineRule="auto"/>
        <w:ind w:firstLineChars="200" w:firstLine="480"/>
        <w:jc w:val="left"/>
        <w:rPr>
          <w:rFonts w:ascii="仿宋" w:eastAsia="仿宋" w:hAnsi="仿宋" w:cs="宋体"/>
          <w:kern w:val="0"/>
          <w:sz w:val="24"/>
          <w:szCs w:val="24"/>
        </w:rPr>
      </w:pPr>
      <w:r w:rsidRPr="00B15961">
        <w:rPr>
          <w:rFonts w:ascii="仿宋" w:eastAsia="仿宋" w:hAnsi="仿宋" w:cs="宋体" w:hint="eastAsia"/>
          <w:kern w:val="0"/>
          <w:sz w:val="24"/>
          <w:szCs w:val="24"/>
        </w:rPr>
        <w:t>（4）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rsidR="00E45E2B" w:rsidRDefault="00E45E2B" w:rsidP="00E45E2B">
      <w:pPr>
        <w:tabs>
          <w:tab w:val="left" w:pos="567"/>
          <w:tab w:val="left" w:pos="993"/>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r>
      <w:r>
        <w:rPr>
          <w:rFonts w:ascii="仿宋" w:eastAsia="仿宋" w:hAnsi="仿宋" w:cs="宋体"/>
          <w:kern w:val="0"/>
          <w:sz w:val="24"/>
          <w:szCs w:val="24"/>
        </w:rPr>
        <w:t>6</w:t>
      </w:r>
      <w:r>
        <w:rPr>
          <w:rFonts w:ascii="仿宋" w:eastAsia="仿宋" w:hAnsi="仿宋" w:cs="宋体" w:hint="eastAsia"/>
          <w:kern w:val="0"/>
          <w:sz w:val="24"/>
          <w:szCs w:val="24"/>
        </w:rPr>
        <w:t>、存款的估值方法</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持有的银行定期存款或通知存款以本金列示，按协议或合同利率逐日确认利息收入。如提前支取或利率发生变化，基金管理人应及时进行账务调整。</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、汇率</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本基金外币资产价值计算中，涉及外币对人民币汇率的，应当以基金估值日中国人民银行或其授权机构公布的人民币汇率中间价为准。</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8、</w:t>
      </w:r>
      <w:r w:rsidRPr="00CF758A">
        <w:rPr>
          <w:rFonts w:ascii="仿宋" w:eastAsia="仿宋" w:hAnsi="仿宋" w:cs="宋体" w:hint="eastAsia"/>
          <w:kern w:val="0"/>
          <w:sz w:val="24"/>
          <w:szCs w:val="24"/>
        </w:rPr>
        <w:t>本基金参与融资业务的，按照相关法律法规和监管部门的规定估值。</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9、本基金投资存托凭证的估值核算依照内地上市交易的股票执行。</w:t>
      </w:r>
    </w:p>
    <w:p w:rsidR="00E45E2B" w:rsidRPr="00CF758A"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w:t>
      </w:r>
      <w:r w:rsidRPr="00CF758A">
        <w:rPr>
          <w:rFonts w:ascii="仿宋" w:eastAsia="仿宋" w:hAnsi="仿宋" w:cs="宋体" w:hint="eastAsia"/>
          <w:kern w:val="0"/>
          <w:sz w:val="24"/>
          <w:szCs w:val="24"/>
        </w:rPr>
        <w:t>税收</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sidRPr="00CF758A">
        <w:rPr>
          <w:rFonts w:ascii="仿宋" w:eastAsia="仿宋" w:hAnsi="仿宋" w:cs="宋体" w:hint="eastAsia"/>
          <w:kern w:val="0"/>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hint="eastAsia"/>
          <w:kern w:val="0"/>
          <w:sz w:val="24"/>
          <w:szCs w:val="24"/>
        </w:rPr>
        <w:t>、如有确凿证据表明按上述方法进行估值不能客观反映其公允价值的，基金管理人可根据具体情况与基金托管人商定后，按最能反映公允价值的价格估值。</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2</w:t>
      </w:r>
      <w:r>
        <w:rPr>
          <w:rFonts w:ascii="仿宋" w:eastAsia="仿宋" w:hAnsi="仿宋" w:cs="宋体" w:hint="eastAsia"/>
          <w:kern w:val="0"/>
          <w:sz w:val="24"/>
          <w:szCs w:val="24"/>
        </w:rPr>
        <w:t>、</w:t>
      </w:r>
      <w:r w:rsidRPr="00CF758A">
        <w:rPr>
          <w:rFonts w:ascii="仿宋" w:eastAsia="仿宋" w:hAnsi="仿宋" w:cs="宋体" w:hint="eastAsia"/>
          <w:kern w:val="0"/>
          <w:sz w:val="24"/>
          <w:szCs w:val="24"/>
        </w:rPr>
        <w:t>当发生大额申购或赎回情形时，基金管理人可以采用摆动定价机制，以确保基金估值的公平性</w:t>
      </w:r>
      <w:r w:rsidRPr="00B15961">
        <w:rPr>
          <w:rFonts w:ascii="仿宋" w:eastAsia="仿宋" w:hAnsi="仿宋" w:cs="宋体" w:hint="eastAsia"/>
          <w:kern w:val="0"/>
          <w:sz w:val="24"/>
          <w:szCs w:val="24"/>
        </w:rPr>
        <w:t>，并履行相关信息披露义务</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3</w:t>
      </w:r>
      <w:r>
        <w:rPr>
          <w:rFonts w:ascii="仿宋" w:eastAsia="仿宋" w:hAnsi="仿宋" w:cs="宋体" w:hint="eastAsia"/>
          <w:kern w:val="0"/>
          <w:sz w:val="24"/>
          <w:szCs w:val="24"/>
        </w:rPr>
        <w:t>、相关法律法规以及监管部门有强制规定的，从其规定。如有新增事项，按国家最新规定估值。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根据有关法律法规，基金管理人计算基金资产净值，基金托管人复核、审查基金管理人计算的基金资产净值。基金资产</w:t>
      </w:r>
      <w:r w:rsidRPr="00CF758A">
        <w:rPr>
          <w:rFonts w:ascii="仿宋" w:eastAsia="仿宋" w:hAnsi="仿宋" w:cs="宋体" w:hint="eastAsia"/>
          <w:kern w:val="0"/>
          <w:sz w:val="24"/>
          <w:szCs w:val="24"/>
        </w:rPr>
        <w:t>净值计算、基金份额</w:t>
      </w:r>
      <w:r>
        <w:rPr>
          <w:rFonts w:ascii="仿宋" w:eastAsia="仿宋" w:hAnsi="仿宋" w:cs="宋体" w:hint="eastAsia"/>
          <w:kern w:val="0"/>
          <w:sz w:val="24"/>
          <w:szCs w:val="24"/>
        </w:rPr>
        <w:t>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五、估值程序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1、基金份额净值是按照每个估值日</w:t>
      </w:r>
      <w:r w:rsidRPr="00B15961">
        <w:rPr>
          <w:rFonts w:ascii="仿宋" w:eastAsia="仿宋" w:hAnsi="仿宋" w:cs="宋体" w:hint="eastAsia"/>
          <w:kern w:val="0"/>
          <w:sz w:val="24"/>
          <w:szCs w:val="24"/>
        </w:rPr>
        <w:t>闭市后，</w:t>
      </w:r>
      <w:r>
        <w:rPr>
          <w:rFonts w:ascii="仿宋" w:eastAsia="仿宋" w:hAnsi="仿宋" w:cs="宋体" w:hint="eastAsia"/>
          <w:kern w:val="0"/>
          <w:sz w:val="24"/>
          <w:szCs w:val="24"/>
        </w:rPr>
        <w:t>基金资产净值除以当日基金份额的余额数量计算</w:t>
      </w:r>
      <w:r w:rsidRPr="005C603D">
        <w:rPr>
          <w:rFonts w:ascii="仿宋" w:eastAsia="仿宋" w:hAnsi="仿宋" w:cs="宋体" w:hint="eastAsia"/>
          <w:kern w:val="0"/>
          <w:sz w:val="24"/>
          <w:szCs w:val="24"/>
        </w:rPr>
        <w:t>得出的结果，基金份额净值的计算</w:t>
      </w:r>
      <w:r>
        <w:rPr>
          <w:rFonts w:ascii="仿宋" w:eastAsia="仿宋" w:hAnsi="仿宋" w:cs="宋体" w:hint="eastAsia"/>
          <w:kern w:val="0"/>
          <w:sz w:val="24"/>
          <w:szCs w:val="24"/>
        </w:rPr>
        <w:t>精确到0.0001元，小数点后第5位四舍五入</w:t>
      </w:r>
      <w:r w:rsidRPr="005C603D">
        <w:rPr>
          <w:rFonts w:ascii="仿宋" w:eastAsia="仿宋" w:hAnsi="仿宋" w:cs="宋体" w:hint="eastAsia"/>
          <w:kern w:val="0"/>
          <w:sz w:val="24"/>
          <w:szCs w:val="24"/>
        </w:rPr>
        <w:t>，由此产生的误差计入基金财产。基金管理人可以设立大额赎回情形下的净值精度应急调整机制</w:t>
      </w:r>
      <w:r>
        <w:rPr>
          <w:rFonts w:ascii="仿宋" w:eastAsia="仿宋" w:hAnsi="仿宋" w:cs="宋体" w:hint="eastAsia"/>
          <w:kern w:val="0"/>
          <w:sz w:val="24"/>
          <w:szCs w:val="24"/>
        </w:rPr>
        <w:t>。国家另有规定的，从其规定。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基金管理人于每个估值日计算基金资产净值及基金份额净值，</w:t>
      </w:r>
      <w:r w:rsidRPr="00EE36DF">
        <w:rPr>
          <w:rFonts w:ascii="仿宋" w:eastAsia="仿宋" w:hAnsi="仿宋" w:cs="宋体" w:hint="eastAsia"/>
          <w:kern w:val="0"/>
          <w:sz w:val="24"/>
          <w:szCs w:val="24"/>
        </w:rPr>
        <w:t>经基金托管人复核，</w:t>
      </w:r>
      <w:r>
        <w:rPr>
          <w:rFonts w:ascii="仿宋" w:eastAsia="仿宋" w:hAnsi="仿宋" w:cs="宋体" w:hint="eastAsia"/>
          <w:kern w:val="0"/>
          <w:sz w:val="24"/>
          <w:szCs w:val="24"/>
        </w:rPr>
        <w:t>并按规定公告。</w:t>
      </w:r>
      <w:r w:rsidRPr="00B15961">
        <w:rPr>
          <w:rFonts w:ascii="仿宋" w:eastAsia="仿宋" w:hAnsi="仿宋" w:cs="宋体" w:hint="eastAsia"/>
          <w:kern w:val="0"/>
          <w:sz w:val="24"/>
          <w:szCs w:val="24"/>
        </w:rPr>
        <w:t>如遇特殊情况，经履行适当程序，可以适当延迟计算或公告。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六、估值错误的处理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基金管理人和基金托管人将采取必要、适当、合理的措施确保基金资产估值的准确性、及时性。当基金份额净值小数点后4位以内(含第4位)发生估值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时，视为基金份额净值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关于估值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处理，本基金合同的当事人按照以下约定处理：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类型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运作过程中，如果由于基金管理人或基金托管人、或登记机构、或销售机构、或投资人自身的过错造成估值错误，导致其他当事人遭受损失的，过错的责任人应当对由于该估值错误遭受损失的当事人（“受损方”）的直接损失按下述“估值错误处理原则”给予赔偿，承担赔偿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上述估值错误的主要类型包括但不限于：资料申报差错、数据传输差错、数据计算差错、系统故障差错、下达指令差错等。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已发生，但尚未给当事人造成损失时，估值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责任方应及时协调各方，及时进行更正，因更正估值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发生的费用由估值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责任方承担；由于估值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责任方未及时更正已产生的估值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，给当事人造成损失的，由估值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责任方对直接损失承担赔偿责任；若估值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责任方已经积极协调，并且有协助义务的当事人有足够的时间进行更正而未更正，则其应当承担相应赔偿责任。估值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责任方应对更正的情况向有关当事人进行确认，确保估值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已得到更正。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的责任方对有关当事人的直接损失负责，不对间接损失负责，并且仅对估值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的有关直接当事人负责，不对第三方负责。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）因估值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而获得不当得利的当事人负有及时返还不当得利的义务。但估值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责任方仍应对估值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负责，如果由于获得不当得利的当事人不返还或不全部返还不当得利造成其他当事人的利益损失（“受损方”），则估值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调整采用尽量恢复至假设未发生估值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的正确情形的方式。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被发现后，有关的当事人应当及时进行处理，处理的程序如下：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）查明估值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发生的原因，列明所有的当事人，并根据估值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发生的原因确定估值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的责任方；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处理原则或当事人协商的方法对因估值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造成的损失进行评估；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处理原则或当事人协商的方法由估值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的责任方进行更正和赔偿损失；</w:t>
      </w:r>
    </w:p>
    <w:p w:rsidR="00E45E2B" w:rsidRDefault="00E45E2B" w:rsidP="00E45E2B">
      <w:pPr>
        <w:autoSpaceDE w:val="0"/>
        <w:autoSpaceDN w:val="0"/>
        <w:adjustRightInd w:val="0"/>
        <w:spacing w:line="360" w:lineRule="auto"/>
        <w:ind w:firstLineChars="175"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处理的方法，需要修改基金登记机构的交易数据的，由基金登记机构进行更正，并就估值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的更正向有关当事人进行确认。</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kern w:val="0"/>
          <w:sz w:val="24"/>
          <w:szCs w:val="24"/>
        </w:rPr>
        <w:t>基金份额净值估值</w:t>
      </w:r>
      <w:r w:rsidRPr="005C603D">
        <w:rPr>
          <w:rFonts w:ascii="仿宋" w:eastAsia="仿宋" w:hAnsi="仿宋" w:cs="宋体" w:hint="eastAsia"/>
          <w:kern w:val="0"/>
          <w:sz w:val="24"/>
          <w:szCs w:val="24"/>
        </w:rPr>
        <w:t>错误</w:t>
      </w:r>
      <w:r>
        <w:rPr>
          <w:rFonts w:ascii="仿宋" w:eastAsia="仿宋" w:hAnsi="仿宋" w:cs="宋体"/>
          <w:kern w:val="0"/>
          <w:sz w:val="24"/>
          <w:szCs w:val="24"/>
        </w:rPr>
        <w:t>处理的方法如下：</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（1）基金份额净值计算出现错误时，基金管理人应当立即予以纠正，通报基金托管人，并采取合理的措施防止损失进一步扩大。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（2）错误偏差达到基金份额净值的</w:t>
      </w:r>
      <w:r>
        <w:rPr>
          <w:rFonts w:ascii="仿宋" w:eastAsia="仿宋" w:hAnsi="仿宋" w:cs="宋体"/>
          <w:kern w:val="0"/>
          <w:sz w:val="24"/>
          <w:szCs w:val="24"/>
        </w:rPr>
        <w:t>0.25%</w:t>
      </w:r>
      <w:r>
        <w:rPr>
          <w:rFonts w:ascii="仿宋" w:eastAsia="仿宋" w:hAnsi="仿宋" w:cs="宋体" w:hint="eastAsia"/>
          <w:kern w:val="0"/>
          <w:sz w:val="24"/>
          <w:szCs w:val="24"/>
        </w:rPr>
        <w:t>时，基金管理人应当通报基金托管人并报中国证监会备案；错误偏差达到基金份额净值的</w:t>
      </w:r>
      <w:r>
        <w:rPr>
          <w:rFonts w:ascii="仿宋" w:eastAsia="仿宋" w:hAnsi="仿宋" w:cs="宋体"/>
          <w:kern w:val="0"/>
          <w:sz w:val="24"/>
          <w:szCs w:val="24"/>
        </w:rPr>
        <w:t>0.5%</w:t>
      </w:r>
      <w:r>
        <w:rPr>
          <w:rFonts w:ascii="仿宋" w:eastAsia="仿宋" w:hAnsi="仿宋" w:cs="宋体" w:hint="eastAsia"/>
          <w:kern w:val="0"/>
          <w:sz w:val="24"/>
          <w:szCs w:val="24"/>
        </w:rPr>
        <w:t>时，基金管理人应当公告并报中国证监会备案。</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5C6C">
        <w:rPr>
          <w:rFonts w:ascii="仿宋" w:eastAsia="仿宋" w:hAnsi="仿宋" w:cs="宋体" w:hint="eastAsia"/>
          <w:kern w:val="0"/>
          <w:sz w:val="24"/>
          <w:szCs w:val="24"/>
        </w:rPr>
        <w:t>（3）当基金份额净值计算错误给基金和基金份额持有人造成损失需要进行赔偿时，基金管理人和基金托管人应根据实际情况界定双方承担的责任，经确认后按以下条款进行赔偿：</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5C6C">
        <w:rPr>
          <w:rFonts w:ascii="仿宋" w:eastAsia="仿宋" w:hAnsi="仿宋" w:cs="宋体" w:hint="eastAsia"/>
          <w:kern w:val="0"/>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②若基金管理人计算的</w:t>
      </w:r>
      <w:r w:rsidRPr="00225C6C">
        <w:rPr>
          <w:rFonts w:ascii="仿宋" w:eastAsia="仿宋" w:hAnsi="仿宋" w:cs="宋体" w:hint="eastAsia"/>
          <w:kern w:val="0"/>
          <w:sz w:val="24"/>
          <w:szCs w:val="24"/>
        </w:rPr>
        <w:t>基金份额净值已由基金托管人复核确认后公告，而且</w:t>
      </w:r>
      <w:r>
        <w:rPr>
          <w:rFonts w:ascii="仿宋" w:eastAsia="仿宋" w:hAnsi="仿宋" w:cs="宋体" w:hint="eastAsia"/>
          <w:kern w:val="0"/>
          <w:sz w:val="24"/>
          <w:szCs w:val="24"/>
        </w:rPr>
        <w:t>基金托管人未对计算过程提出疑义或要求基金管理人书面说明的，在</w:t>
      </w:r>
      <w:r w:rsidRPr="00225C6C">
        <w:rPr>
          <w:rFonts w:ascii="仿宋" w:eastAsia="仿宋" w:hAnsi="仿宋" w:cs="宋体" w:hint="eastAsia"/>
          <w:kern w:val="0"/>
          <w:sz w:val="24"/>
          <w:szCs w:val="24"/>
        </w:rPr>
        <w:t>基金份额净值出错且造成基金份额持有人直接损失的，应根据法律法规的规定对基金份额持有人或基金支付赔偿金，就实际向基金份额持有人或基金支付的赔偿金额，基金管理人与基金托管人按照过错程度各自承担相应的责任。</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③如基金管理人和基金托管人对</w:t>
      </w:r>
      <w:r w:rsidRPr="00225C6C">
        <w:rPr>
          <w:rFonts w:ascii="仿宋" w:eastAsia="仿宋" w:hAnsi="仿宋" w:cs="宋体" w:hint="eastAsia"/>
          <w:kern w:val="0"/>
          <w:sz w:val="24"/>
          <w:szCs w:val="24"/>
        </w:rPr>
        <w:t>基金份额净值的计算结果，虽然多次重新计算和核对，尚不能</w:t>
      </w:r>
      <w:r>
        <w:rPr>
          <w:rFonts w:ascii="仿宋" w:eastAsia="仿宋" w:hAnsi="仿宋" w:cs="宋体" w:hint="eastAsia"/>
          <w:kern w:val="0"/>
          <w:sz w:val="24"/>
          <w:szCs w:val="24"/>
        </w:rPr>
        <w:t>达成一致时，为避免不能按时公布</w:t>
      </w:r>
      <w:r w:rsidRPr="00225C6C">
        <w:rPr>
          <w:rFonts w:ascii="仿宋" w:eastAsia="仿宋" w:hAnsi="仿宋" w:cs="宋体" w:hint="eastAsia"/>
          <w:kern w:val="0"/>
          <w:sz w:val="24"/>
          <w:szCs w:val="24"/>
        </w:rPr>
        <w:t>基金份额净值的情形，以基金管理人的计算结果对外公布，由此给基金份额持有人和基金造成的直接损失，由基金管理人负责赔付。</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5C6C">
        <w:rPr>
          <w:rFonts w:ascii="仿宋" w:eastAsia="仿宋" w:hAnsi="仿宋" w:cs="宋体" w:hint="eastAsia"/>
          <w:kern w:val="0"/>
          <w:sz w:val="24"/>
          <w:szCs w:val="24"/>
        </w:rPr>
        <w:t>④由于基金管理人</w:t>
      </w:r>
      <w:r>
        <w:rPr>
          <w:rFonts w:ascii="仿宋" w:eastAsia="仿宋" w:hAnsi="仿宋" w:cs="宋体" w:hint="eastAsia"/>
          <w:kern w:val="0"/>
          <w:sz w:val="24"/>
          <w:szCs w:val="24"/>
        </w:rPr>
        <w:t>提供的信息错误（包括但不限于基金申购或赎回金额等），进而导致</w:t>
      </w:r>
      <w:r w:rsidRPr="00225C6C">
        <w:rPr>
          <w:rFonts w:ascii="仿宋" w:eastAsia="仿宋" w:hAnsi="仿宋" w:cs="宋体" w:hint="eastAsia"/>
          <w:kern w:val="0"/>
          <w:sz w:val="24"/>
          <w:szCs w:val="24"/>
        </w:rPr>
        <w:t>基金份额净值计算错误而引起的基金份额持有人和基金财产的直接损失，由基金管理人负责赔付。</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w:t>
      </w:r>
      <w:r>
        <w:rPr>
          <w:rFonts w:ascii="仿宋" w:eastAsia="仿宋" w:hAnsi="仿宋" w:cs="宋体"/>
          <w:kern w:val="0"/>
          <w:sz w:val="24"/>
          <w:szCs w:val="24"/>
        </w:rPr>
        <w:t>前述内容如法律法规或监管机关另有规定的，从其规定</w:t>
      </w:r>
      <w:r>
        <w:rPr>
          <w:rFonts w:ascii="仿宋" w:eastAsia="仿宋" w:hAnsi="仿宋" w:cs="宋体" w:hint="eastAsia"/>
          <w:kern w:val="0"/>
          <w:sz w:val="24"/>
          <w:szCs w:val="24"/>
        </w:rPr>
        <w:t>。如果行业另有通行做法，</w:t>
      </w:r>
      <w:r w:rsidRPr="00A3659B">
        <w:rPr>
          <w:rFonts w:ascii="仿宋" w:eastAsia="仿宋" w:hAnsi="仿宋" w:cs="宋体" w:hint="eastAsia"/>
          <w:kern w:val="0"/>
          <w:sz w:val="24"/>
          <w:szCs w:val="24"/>
        </w:rPr>
        <w:t>基金管理人和基金托管人</w:t>
      </w:r>
      <w:r>
        <w:rPr>
          <w:rFonts w:ascii="仿宋" w:eastAsia="仿宋" w:hAnsi="仿宋" w:cs="宋体" w:hint="eastAsia"/>
          <w:kern w:val="0"/>
          <w:sz w:val="24"/>
          <w:szCs w:val="24"/>
        </w:rPr>
        <w:t>应本着平等和保护基金份额持有人利益的原则进行协商处理</w:t>
      </w:r>
      <w:r>
        <w:rPr>
          <w:rFonts w:ascii="仿宋" w:eastAsia="仿宋" w:hAnsi="仿宋" w:cs="宋体"/>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七、暂停估值的情形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、基金投资所涉及的证券、期货交易场所遇法定节假日或因其他原因暂停营业时；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、因不可抗力或其他情形致使基金管理人</w:t>
      </w:r>
      <w:r>
        <w:rPr>
          <w:rFonts w:ascii="仿宋" w:eastAsia="仿宋" w:hAnsi="仿宋" w:cs="宋体"/>
          <w:kern w:val="0"/>
          <w:sz w:val="24"/>
          <w:szCs w:val="24"/>
        </w:rPr>
        <w:t>、基金托管人</w:t>
      </w:r>
      <w:r>
        <w:rPr>
          <w:rFonts w:ascii="仿宋" w:eastAsia="仿宋" w:hAnsi="仿宋" w:cs="宋体" w:hint="eastAsia"/>
          <w:kern w:val="0"/>
          <w:sz w:val="24"/>
          <w:szCs w:val="24"/>
        </w:rPr>
        <w:t>无法准确评估基金资产价值时；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lang w:val="zh-CN"/>
        </w:rPr>
      </w:pPr>
      <w:r>
        <w:rPr>
          <w:rFonts w:ascii="仿宋" w:eastAsia="仿宋" w:hAnsi="仿宋" w:cs="宋体" w:hint="eastAsia"/>
          <w:kern w:val="0"/>
          <w:sz w:val="24"/>
          <w:szCs w:val="24"/>
        </w:rPr>
        <w:t>3、</w:t>
      </w:r>
      <w:r>
        <w:rPr>
          <w:rFonts w:ascii="仿宋" w:eastAsia="仿宋" w:hAnsi="仿宋" w:cs="宋体" w:hint="eastAsia"/>
          <w:bCs/>
          <w:kern w:val="0"/>
          <w:sz w:val="24"/>
          <w:szCs w:val="24"/>
        </w:rPr>
        <w:t>当特定资产占前一估值日基金资产净值50%以上的，经与基金托管人协商确认后，基金管理人应当暂停估值;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4、法律法规规定、中国证监会和《基金合同》认定的其他情形。</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八、基金净值的确认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86" w:name="OLE_LINK22"/>
      <w:r>
        <w:rPr>
          <w:rFonts w:ascii="仿宋" w:eastAsia="仿宋" w:hAnsi="仿宋" w:cs="宋体" w:hint="eastAsia"/>
          <w:kern w:val="0"/>
          <w:sz w:val="24"/>
          <w:szCs w:val="24"/>
        </w:rPr>
        <w:t>用于基金信息披露的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信息按规定予以公布</w:t>
      </w:r>
      <w:bookmarkEnd w:id="186"/>
      <w:r>
        <w:rPr>
          <w:rFonts w:ascii="仿宋" w:eastAsia="仿宋" w:hAnsi="仿宋" w:cs="宋体" w:hint="eastAsia"/>
          <w:kern w:val="0"/>
          <w:sz w:val="24"/>
          <w:szCs w:val="24"/>
        </w:rPr>
        <w:t>。</w:t>
      </w:r>
      <w:r w:rsidRPr="00397C20">
        <w:rPr>
          <w:rFonts w:ascii="仿宋" w:eastAsia="仿宋" w:hAnsi="仿宋" w:cs="宋体" w:hint="eastAsia"/>
          <w:kern w:val="0"/>
          <w:sz w:val="24"/>
          <w:szCs w:val="24"/>
        </w:rPr>
        <w:t>如法律法规将来另有规定的，本基金按照新规定执行。如需据此相应修改基金合同的，基金管理人与基金托管人协商一致，并提前公告后，可直接对相应内容进行修改和调整，无须召开基金份额持有人大会。</w:t>
      </w:r>
    </w:p>
    <w:bookmarkEnd w:id="183"/>
    <w:bookmarkEnd w:id="184"/>
    <w:bookmarkEnd w:id="185"/>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九、特殊情形的处理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、基金管理人、基金托管人按估值方法的第1</w:t>
      </w:r>
      <w:r>
        <w:rPr>
          <w:rFonts w:ascii="仿宋" w:eastAsia="仿宋" w:hAnsi="仿宋" w:cs="宋体"/>
          <w:kern w:val="0"/>
          <w:sz w:val="24"/>
          <w:szCs w:val="24"/>
        </w:rPr>
        <w:t>1</w:t>
      </w:r>
      <w:r>
        <w:rPr>
          <w:rFonts w:ascii="仿宋" w:eastAsia="仿宋" w:hAnsi="仿宋" w:cs="宋体" w:hint="eastAsia"/>
          <w:kern w:val="0"/>
          <w:sz w:val="24"/>
          <w:szCs w:val="24"/>
        </w:rPr>
        <w:t>项进行估值时，所造成的误差不作为基金资产估值错误处理；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、由于证券、期货交易所及其登记结算公司等第三方机构发送的数据错误，</w:t>
      </w:r>
      <w:r w:rsidRPr="00C12418">
        <w:rPr>
          <w:rFonts w:ascii="仿宋" w:eastAsia="仿宋" w:hAnsi="仿宋" w:cs="宋体" w:hint="eastAsia"/>
          <w:kern w:val="0"/>
          <w:sz w:val="24"/>
          <w:szCs w:val="24"/>
        </w:rPr>
        <w:t>有关会计制度变化</w:t>
      </w:r>
      <w:r>
        <w:rPr>
          <w:rFonts w:ascii="仿宋" w:eastAsia="仿宋" w:hAnsi="仿宋" w:cs="宋体" w:hint="eastAsia"/>
          <w:kern w:val="0"/>
          <w:sz w:val="24"/>
          <w:szCs w:val="24"/>
        </w:rPr>
        <w:t>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消除或减轻由此造成的影响。</w:t>
      </w:r>
    </w:p>
    <w:p w:rsidR="00E45E2B" w:rsidRPr="00E3274D"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187" w:name="_Toc459291253"/>
      <w:r w:rsidRPr="00E3274D">
        <w:rPr>
          <w:rFonts w:ascii="仿宋" w:eastAsia="仿宋" w:hAnsi="仿宋" w:cs="宋体" w:hint="eastAsia"/>
          <w:b/>
          <w:kern w:val="0"/>
          <w:sz w:val="24"/>
          <w:szCs w:val="24"/>
        </w:rPr>
        <w:t>十、实施侧袋机制期间的基金资产估值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0A2D1D">
        <w:rPr>
          <w:rFonts w:ascii="仿宋" w:eastAsia="仿宋" w:hAnsi="仿宋" w:cs="宋体" w:hint="eastAsia"/>
          <w:kern w:val="0"/>
          <w:sz w:val="24"/>
          <w:szCs w:val="24"/>
        </w:rPr>
        <w:t>本基金实施侧袋机制的，应根据本部分的约定对主袋账户资产进行估值并披露主袋账户的基金净值信息，暂停披露侧袋账户份额净值</w:t>
      </w:r>
      <w:r>
        <w:rPr>
          <w:rFonts w:ascii="仿宋" w:eastAsia="仿宋" w:hAnsi="仿宋" w:cs="宋体" w:hint="eastAsia"/>
          <w:kern w:val="0"/>
          <w:sz w:val="24"/>
          <w:szCs w:val="24"/>
        </w:rPr>
        <w:t>。</w:t>
      </w:r>
    </w:p>
    <w:p w:rsidR="00E45E2B" w:rsidRPr="004F6C89" w:rsidRDefault="00E45E2B" w:rsidP="004F6C89">
      <w:pPr>
        <w:pStyle w:val="1"/>
        <w:spacing w:line="360" w:lineRule="auto"/>
        <w:jc w:val="center"/>
        <w:rPr>
          <w:rFonts w:eastAsia="仿宋"/>
          <w:sz w:val="30"/>
          <w:szCs w:val="30"/>
          <w:lang w:val="zh-CN"/>
        </w:rPr>
      </w:pPr>
      <w:r>
        <w:rPr>
          <w:kern w:val="0"/>
        </w:rPr>
        <w:br w:type="page"/>
      </w:r>
      <w:bookmarkStart w:id="188" w:name="_Toc377998630"/>
      <w:bookmarkStart w:id="189" w:name="_Toc169163875"/>
      <w:r w:rsidRPr="004F6C89">
        <w:rPr>
          <w:rFonts w:eastAsia="仿宋" w:hint="eastAsia"/>
          <w:sz w:val="30"/>
          <w:szCs w:val="30"/>
          <w:lang w:val="zh-CN"/>
        </w:rPr>
        <w:t>第十五部分</w:t>
      </w:r>
      <w:r w:rsidRPr="004F6C89">
        <w:rPr>
          <w:rFonts w:eastAsia="仿宋" w:hint="eastAsia"/>
          <w:sz w:val="30"/>
          <w:szCs w:val="30"/>
          <w:lang w:val="zh-CN"/>
        </w:rPr>
        <w:t xml:space="preserve">    </w:t>
      </w:r>
      <w:r w:rsidRPr="004F6C89">
        <w:rPr>
          <w:rFonts w:eastAsia="仿宋" w:hint="eastAsia"/>
          <w:sz w:val="30"/>
          <w:szCs w:val="30"/>
          <w:lang w:val="zh-CN"/>
        </w:rPr>
        <w:t>基金费用与税收</w:t>
      </w:r>
      <w:bookmarkEnd w:id="187"/>
      <w:bookmarkEnd w:id="188"/>
      <w:bookmarkEnd w:id="189"/>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一、基金费用的种类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、基金管理人的管理费；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、基金托管人的托管费；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、《基金合同》生效后与基金相关的信息披露费用</w:t>
      </w:r>
      <w:r w:rsidRPr="00215E18">
        <w:rPr>
          <w:rFonts w:ascii="仿宋" w:eastAsia="仿宋" w:hAnsi="仿宋" w:cs="宋体" w:hint="eastAsia"/>
          <w:kern w:val="0"/>
          <w:sz w:val="24"/>
          <w:szCs w:val="24"/>
        </w:rPr>
        <w:t>，但法律法规、中国证监会另有规定的除外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、《基金合同》生效后与基金相关的会计师费、律师费</w:t>
      </w:r>
      <w:r w:rsidRPr="00215E18">
        <w:rPr>
          <w:rFonts w:ascii="仿宋" w:eastAsia="仿宋" w:hAnsi="仿宋" w:cs="宋体" w:hint="eastAsia"/>
          <w:kern w:val="0"/>
          <w:sz w:val="24"/>
          <w:szCs w:val="24"/>
        </w:rPr>
        <w:t>、仲裁费</w:t>
      </w:r>
      <w:r>
        <w:rPr>
          <w:rFonts w:ascii="仿宋" w:eastAsia="仿宋" w:hAnsi="仿宋" w:cs="宋体" w:hint="eastAsia"/>
          <w:kern w:val="0"/>
          <w:sz w:val="24"/>
          <w:szCs w:val="24"/>
        </w:rPr>
        <w:t>和诉讼费；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、基金份额持有人大会费用；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、基金的证券、期货</w:t>
      </w:r>
      <w:r w:rsidRPr="00215E18">
        <w:rPr>
          <w:rFonts w:ascii="仿宋" w:eastAsia="仿宋" w:hAnsi="仿宋" w:cs="宋体" w:hint="eastAsia"/>
          <w:kern w:val="0"/>
          <w:sz w:val="24"/>
          <w:szCs w:val="24"/>
        </w:rPr>
        <w:t>、股票期权等</w:t>
      </w:r>
      <w:r>
        <w:rPr>
          <w:rFonts w:ascii="仿宋" w:eastAsia="仿宋" w:hAnsi="仿宋" w:cs="宋体" w:hint="eastAsia"/>
          <w:kern w:val="0"/>
          <w:sz w:val="24"/>
          <w:szCs w:val="24"/>
        </w:rPr>
        <w:t>交易</w:t>
      </w:r>
      <w:r w:rsidRPr="00215E18">
        <w:rPr>
          <w:rFonts w:ascii="仿宋" w:eastAsia="仿宋" w:hAnsi="仿宋" w:cs="宋体" w:hint="eastAsia"/>
          <w:kern w:val="0"/>
          <w:sz w:val="24"/>
          <w:szCs w:val="24"/>
        </w:rPr>
        <w:t>或结算</w:t>
      </w:r>
      <w:r>
        <w:rPr>
          <w:rFonts w:ascii="仿宋" w:eastAsia="仿宋" w:hAnsi="仿宋" w:cs="宋体" w:hint="eastAsia"/>
          <w:kern w:val="0"/>
          <w:sz w:val="24"/>
          <w:szCs w:val="24"/>
        </w:rPr>
        <w:t>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、基金的银行汇划费用；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、基金的相关账户开户费和账户维护费；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hint="eastAsia"/>
          <w:kern w:val="0"/>
          <w:sz w:val="24"/>
          <w:szCs w:val="24"/>
        </w:rPr>
        <w:t>、投资港股通标的股票的相关费用；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、按照国家有关规定和《基金合同》约定，可以在基金财产中列支的其他费用。</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二、基金费用计提方法、计提标准和支付方式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、基金管理人的管理费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本基金的管理费按前一日基金资产净值的1</w:t>
      </w:r>
      <w:r>
        <w:rPr>
          <w:rFonts w:ascii="仿宋" w:eastAsia="仿宋" w:hAnsi="仿宋" w:cs="宋体"/>
          <w:kern w:val="0"/>
          <w:sz w:val="24"/>
          <w:szCs w:val="24"/>
        </w:rPr>
        <w:t>.</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的年费率计提。管理费的计算方法如下：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H</w:t>
      </w:r>
      <w:r>
        <w:rPr>
          <w:rFonts w:ascii="仿宋" w:eastAsia="仿宋" w:hAnsi="仿宋" w:cs="宋体" w:hint="eastAsia"/>
          <w:kern w:val="0"/>
          <w:sz w:val="24"/>
          <w:szCs w:val="24"/>
        </w:rPr>
        <w:t>＝</w:t>
      </w:r>
      <w:r>
        <w:rPr>
          <w:rFonts w:ascii="仿宋" w:eastAsia="仿宋" w:hAnsi="仿宋" w:cs="宋体"/>
          <w:kern w:val="0"/>
          <w:sz w:val="24"/>
          <w:szCs w:val="24"/>
        </w:rPr>
        <w:t>E</w:t>
      </w:r>
      <w:r>
        <w:rPr>
          <w:rFonts w:ascii="仿宋" w:eastAsia="仿宋" w:hAnsi="仿宋" w:cs="宋体" w:hint="eastAsia"/>
          <w:kern w:val="0"/>
          <w:sz w:val="24"/>
          <w:szCs w:val="24"/>
        </w:rPr>
        <w:t>×1</w:t>
      </w:r>
      <w:r>
        <w:rPr>
          <w:rFonts w:ascii="仿宋" w:eastAsia="仿宋" w:hAnsi="仿宋" w:cs="宋体"/>
          <w:kern w:val="0"/>
          <w:sz w:val="24"/>
          <w:szCs w:val="24"/>
        </w:rPr>
        <w:t>.</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H </w:t>
      </w:r>
      <w:r>
        <w:rPr>
          <w:rFonts w:ascii="仿宋" w:eastAsia="仿宋" w:hAnsi="仿宋" w:cs="宋体" w:hint="eastAsia"/>
          <w:kern w:val="0"/>
          <w:sz w:val="24"/>
          <w:szCs w:val="24"/>
        </w:rPr>
        <w:t>为每日应计提的基金管理费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E </w:t>
      </w:r>
      <w:r>
        <w:rPr>
          <w:rFonts w:ascii="仿宋" w:eastAsia="仿宋" w:hAnsi="仿宋" w:cs="宋体" w:hint="eastAsia"/>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CA7419">
        <w:rPr>
          <w:rFonts w:ascii="仿宋" w:eastAsia="仿宋" w:hAnsi="仿宋" w:cs="宋体" w:hint="eastAsia"/>
          <w:kern w:val="0"/>
          <w:sz w:val="24"/>
          <w:szCs w:val="24"/>
        </w:rPr>
        <w:t>基金管理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、基金托管人的托管费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本基金的托管费按前一日基金资产净值的</w:t>
      </w:r>
      <w:r>
        <w:rPr>
          <w:rFonts w:ascii="仿宋" w:eastAsia="仿宋" w:hAnsi="仿宋" w:cs="宋体"/>
          <w:kern w:val="0"/>
          <w:sz w:val="24"/>
          <w:szCs w:val="24"/>
        </w:rPr>
        <w:t>0.</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的年费率计提。托管费的计算方法如下：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H</w:t>
      </w:r>
      <w:r>
        <w:rPr>
          <w:rFonts w:ascii="仿宋" w:eastAsia="仿宋" w:hAnsi="仿宋" w:cs="宋体" w:hint="eastAsia"/>
          <w:kern w:val="0"/>
          <w:sz w:val="24"/>
          <w:szCs w:val="24"/>
        </w:rPr>
        <w:t>＝</w:t>
      </w:r>
      <w:r>
        <w:rPr>
          <w:rFonts w:ascii="仿宋" w:eastAsia="仿宋" w:hAnsi="仿宋" w:cs="宋体"/>
          <w:kern w:val="0"/>
          <w:sz w:val="24"/>
          <w:szCs w:val="24"/>
        </w:rPr>
        <w:t>E</w:t>
      </w:r>
      <w:r>
        <w:rPr>
          <w:rFonts w:ascii="仿宋" w:eastAsia="仿宋" w:hAnsi="仿宋" w:cs="宋体" w:hint="eastAsia"/>
          <w:kern w:val="0"/>
          <w:sz w:val="24"/>
          <w:szCs w:val="24"/>
        </w:rPr>
        <w:t>×</w:t>
      </w:r>
      <w:r>
        <w:rPr>
          <w:rFonts w:ascii="仿宋" w:eastAsia="仿宋" w:hAnsi="仿宋" w:cs="宋体"/>
          <w:kern w:val="0"/>
          <w:sz w:val="24"/>
          <w:szCs w:val="24"/>
        </w:rPr>
        <w:t>0.</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H </w:t>
      </w:r>
      <w:r>
        <w:rPr>
          <w:rFonts w:ascii="仿宋" w:eastAsia="仿宋" w:hAnsi="仿宋" w:cs="宋体" w:hint="eastAsia"/>
          <w:kern w:val="0"/>
          <w:sz w:val="24"/>
          <w:szCs w:val="24"/>
        </w:rPr>
        <w:t>为每日应计提的基金托管费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E </w:t>
      </w:r>
      <w:r>
        <w:rPr>
          <w:rFonts w:ascii="仿宋" w:eastAsia="仿宋" w:hAnsi="仿宋" w:cs="宋体" w:hint="eastAsia"/>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CA7419">
        <w:rPr>
          <w:rFonts w:ascii="仿宋" w:eastAsia="仿宋" w:hAnsi="仿宋" w:cs="宋体" w:hint="eastAsia"/>
          <w:kern w:val="0"/>
          <w:sz w:val="24"/>
          <w:szCs w:val="24"/>
        </w:rPr>
        <w:t>基金托管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上述</w:t>
      </w:r>
      <w:r w:rsidRPr="00CA7419">
        <w:rPr>
          <w:rFonts w:ascii="仿宋" w:eastAsia="仿宋" w:hAnsi="仿宋" w:cs="宋体" w:hint="eastAsia"/>
          <w:kern w:val="0"/>
          <w:sz w:val="24"/>
          <w:szCs w:val="24"/>
        </w:rPr>
        <w:t>“一、基金费用的种类”</w:t>
      </w:r>
      <w:r>
        <w:rPr>
          <w:rFonts w:ascii="仿宋" w:eastAsia="仿宋" w:hAnsi="仿宋" w:cs="宋体" w:hint="eastAsia"/>
          <w:kern w:val="0"/>
          <w:sz w:val="24"/>
          <w:szCs w:val="24"/>
        </w:rPr>
        <w:t>中第</w:t>
      </w:r>
      <w:r>
        <w:rPr>
          <w:rFonts w:ascii="仿宋" w:eastAsia="仿宋" w:hAnsi="仿宋" w:cs="宋体"/>
          <w:kern w:val="0"/>
          <w:sz w:val="24"/>
          <w:szCs w:val="24"/>
        </w:rPr>
        <w:t>3</w:t>
      </w: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项费用，根据有关法规及相应协议规定，按费用实际支出金额列入当期费用，由基金托管人从基金财产中支付。</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三、不列入基金费用的项目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、基金管理人和基金托管人因未履行或未完全履行义务导致的费用支出或基金财产的损失；</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、基金管理人和基金托管人处理与基金运作无关的事项发生的费用；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、《基金合同》生效前的相关费用</w:t>
      </w:r>
      <w:r w:rsidRPr="009E3AF7">
        <w:rPr>
          <w:rFonts w:ascii="仿宋" w:eastAsia="仿宋" w:hAnsi="仿宋" w:cs="宋体" w:hint="eastAsia"/>
          <w:kern w:val="0"/>
          <w:sz w:val="24"/>
          <w:szCs w:val="24"/>
        </w:rPr>
        <w:t>根据《东方红</w:t>
      </w:r>
      <w:r>
        <w:rPr>
          <w:rFonts w:ascii="仿宋" w:eastAsia="仿宋" w:hAnsi="仿宋" w:cs="宋体" w:hint="eastAsia"/>
          <w:kern w:val="0"/>
          <w:sz w:val="24"/>
          <w:szCs w:val="24"/>
        </w:rPr>
        <w:t>恒阳五</w:t>
      </w:r>
      <w:r w:rsidRPr="009E3AF7">
        <w:rPr>
          <w:rFonts w:ascii="仿宋" w:eastAsia="仿宋" w:hAnsi="仿宋" w:cs="宋体" w:hint="eastAsia"/>
          <w:kern w:val="0"/>
          <w:sz w:val="24"/>
          <w:szCs w:val="24"/>
        </w:rPr>
        <w:t>年</w:t>
      </w:r>
      <w:r>
        <w:rPr>
          <w:rFonts w:ascii="仿宋" w:eastAsia="仿宋" w:hAnsi="仿宋" w:cs="宋体" w:hint="eastAsia"/>
          <w:kern w:val="0"/>
          <w:sz w:val="24"/>
          <w:szCs w:val="24"/>
        </w:rPr>
        <w:t>定期开放</w:t>
      </w:r>
      <w:r w:rsidRPr="009E3AF7">
        <w:rPr>
          <w:rFonts w:ascii="仿宋" w:eastAsia="仿宋" w:hAnsi="仿宋" w:cs="宋体" w:hint="eastAsia"/>
          <w:kern w:val="0"/>
          <w:sz w:val="24"/>
          <w:szCs w:val="24"/>
        </w:rPr>
        <w:t>混合型证券投资基金基金合同》的约定执行</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、其他根据相关法律法规及中国证监会的有关规定不得列入基金费用的项目。</w:t>
      </w:r>
      <w:bookmarkStart w:id="190" w:name="_Hlt88827255"/>
      <w:bookmarkEnd w:id="190"/>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四、费用调整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91" w:name="OLE_LINK23"/>
      <w:r w:rsidRPr="0021012A">
        <w:rPr>
          <w:rFonts w:ascii="仿宋" w:eastAsia="仿宋" w:hAnsi="仿宋" w:cs="宋体" w:hint="eastAsia"/>
          <w:kern w:val="0"/>
          <w:sz w:val="24"/>
          <w:szCs w:val="24"/>
        </w:rPr>
        <w:t>在对基金份额持有人利益无实质性不利影响的前提下，</w:t>
      </w:r>
      <w:r>
        <w:rPr>
          <w:rFonts w:ascii="仿宋" w:eastAsia="仿宋" w:hAnsi="仿宋" w:cs="宋体" w:hint="eastAsia"/>
          <w:kern w:val="0"/>
          <w:sz w:val="24"/>
          <w:szCs w:val="24"/>
        </w:rPr>
        <w:t>基金管理人和基金托管人协商一致并履行适当程序后，可根据基金发展情况调整基金管理费率、基金托管费率。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基金管理人必须于新的费率实施日前依照《信息披露办法》的有关规定在规定媒介上公告。</w:t>
      </w:r>
      <w:bookmarkEnd w:id="191"/>
    </w:p>
    <w:p w:rsidR="00E45E2B" w:rsidRPr="00B84297"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B84297">
        <w:rPr>
          <w:rFonts w:ascii="仿宋" w:eastAsia="仿宋" w:hAnsi="仿宋" w:cs="宋体" w:hint="eastAsia"/>
          <w:b/>
          <w:kern w:val="0"/>
          <w:sz w:val="24"/>
          <w:szCs w:val="24"/>
        </w:rPr>
        <w:t>五、实施侧袋机制期间的基金费用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AB7A98">
        <w:rPr>
          <w:rFonts w:ascii="仿宋" w:eastAsia="仿宋" w:hAnsi="仿宋" w:cs="宋体" w:hint="eastAsia"/>
          <w:kern w:val="0"/>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六、基金税收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本基金运作过程中涉及的各纳税主体，其纳税义务按国家税收法律、法规执行。</w:t>
      </w:r>
      <w:r w:rsidRPr="00AB7A98">
        <w:rPr>
          <w:rFonts w:ascii="仿宋" w:eastAsia="仿宋" w:hAnsi="仿宋" w:cs="宋体" w:hint="eastAsia"/>
          <w:kern w:val="0"/>
          <w:sz w:val="24"/>
          <w:szCs w:val="24"/>
        </w:rPr>
        <w:t>基金财产投资的相关税收，由基金份额持有人承担，基金管理人或者其他扣缴义务人按照国家有关税收征收的规定代扣代缴。</w:t>
      </w:r>
    </w:p>
    <w:p w:rsidR="00E45E2B" w:rsidRDefault="00E45E2B" w:rsidP="00E45E2B">
      <w:pPr>
        <w:rPr>
          <w:lang w:val="zh-CN"/>
        </w:rPr>
      </w:pPr>
      <w:bookmarkStart w:id="192" w:name="_Toc377998631"/>
    </w:p>
    <w:p w:rsidR="00E45E2B" w:rsidRDefault="00E45E2B" w:rsidP="00E45E2B">
      <w:pPr>
        <w:rPr>
          <w:lang w:val="zh-CN"/>
        </w:rPr>
      </w:pPr>
      <w:bookmarkStart w:id="193" w:name="_Toc459291254"/>
    </w:p>
    <w:p w:rsidR="00E45E2B" w:rsidRDefault="00E45E2B" w:rsidP="00E45E2B">
      <w:pPr>
        <w:rPr>
          <w:kern w:val="0"/>
        </w:rPr>
      </w:pPr>
      <w:r>
        <w:rPr>
          <w:rFonts w:hint="eastAsia"/>
          <w:kern w:val="0"/>
        </w:rPr>
        <w:br w:type="page"/>
      </w:r>
    </w:p>
    <w:p w:rsidR="00E45E2B" w:rsidRPr="00B91502" w:rsidRDefault="00E45E2B" w:rsidP="004F6C89">
      <w:pPr>
        <w:pStyle w:val="1"/>
        <w:spacing w:line="360" w:lineRule="auto"/>
        <w:jc w:val="center"/>
        <w:rPr>
          <w:rFonts w:eastAsia="仿宋"/>
          <w:sz w:val="30"/>
          <w:szCs w:val="30"/>
        </w:rPr>
      </w:pPr>
      <w:bookmarkStart w:id="194" w:name="_Toc169163876"/>
      <w:r w:rsidRPr="004F6C89">
        <w:rPr>
          <w:rFonts w:eastAsia="仿宋" w:hint="eastAsia"/>
          <w:sz w:val="30"/>
          <w:szCs w:val="30"/>
          <w:lang w:val="zh-CN"/>
        </w:rPr>
        <w:t>第十六部分</w:t>
      </w:r>
      <w:r w:rsidRPr="00B91502">
        <w:rPr>
          <w:rFonts w:eastAsia="仿宋"/>
          <w:sz w:val="30"/>
          <w:szCs w:val="30"/>
        </w:rPr>
        <w:t xml:space="preserve">    </w:t>
      </w:r>
      <w:r w:rsidRPr="004F6C89">
        <w:rPr>
          <w:rFonts w:eastAsia="仿宋" w:hint="eastAsia"/>
          <w:sz w:val="30"/>
          <w:szCs w:val="30"/>
          <w:lang w:val="zh-CN"/>
        </w:rPr>
        <w:t>基金的收益与分配</w:t>
      </w:r>
      <w:bookmarkEnd w:id="192"/>
      <w:bookmarkEnd w:id="193"/>
      <w:bookmarkEnd w:id="194"/>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一、基金利润的构成</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基金利润指基金利息收入、投资收益、公允价值变动收益和其他收入扣除相关费用后的余额。基金已实现收益指基金利润减去公允价值变动收益后的余额。</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二、基金可供分配利润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基金可供分配利润指截至收益分配基准日基金未分配利润与未分配利润中已实现收益的孰低数。</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三、基金收益分配原则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本基金收益分配应遵循下列原则：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、在符合有关基金分红条件的前提下，本基金管理人可以根据实际情况进行收益分配，具体分配方案以公告为准，若《基金合同》生效不满</w:t>
      </w:r>
      <w:r>
        <w:rPr>
          <w:rFonts w:ascii="仿宋" w:eastAsia="仿宋" w:hAnsi="仿宋" w:cs="宋体"/>
          <w:kern w:val="0"/>
          <w:sz w:val="24"/>
          <w:szCs w:val="24"/>
        </w:rPr>
        <w:t>3</w:t>
      </w:r>
      <w:r>
        <w:rPr>
          <w:rFonts w:ascii="仿宋" w:eastAsia="仿宋" w:hAnsi="仿宋" w:cs="宋体" w:hint="eastAsia"/>
          <w:kern w:val="0"/>
          <w:sz w:val="24"/>
          <w:szCs w:val="24"/>
        </w:rPr>
        <w:t>个月则可不进行收益分配；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w:t>
      </w:r>
      <w:r w:rsidRPr="00836BAD">
        <w:rPr>
          <w:rFonts w:ascii="仿宋" w:eastAsia="仿宋" w:hAnsi="仿宋" w:cs="宋体" w:hint="eastAsia"/>
          <w:kern w:val="0"/>
          <w:sz w:val="24"/>
          <w:szCs w:val="24"/>
        </w:rPr>
        <w:t>本基金的收益分配方式分两种：现金分红与红利再投资，投资者可选择现金分红或将现金分红自动转为基金份额进行再投资；若投资者不选择，本基金默认的收益分配方式是现金分红；</w:t>
      </w:r>
      <w:r w:rsidRPr="008D30F5">
        <w:rPr>
          <w:rFonts w:ascii="仿宋" w:eastAsia="仿宋" w:hAnsi="仿宋" w:cs="宋体" w:hint="eastAsia"/>
          <w:kern w:val="0"/>
          <w:sz w:val="24"/>
          <w:szCs w:val="24"/>
        </w:rPr>
        <w:t>选择采取红利再投资形式的，红利再投资的份额免收申购费；</w:t>
      </w:r>
    </w:p>
    <w:p w:rsidR="00E45E2B" w:rsidRPr="00836BA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w:t>
      </w:r>
      <w:r w:rsidRPr="00836BAD">
        <w:rPr>
          <w:rFonts w:ascii="仿宋" w:eastAsia="仿宋" w:hAnsi="仿宋" w:cs="宋体" w:hint="eastAsia"/>
          <w:kern w:val="0"/>
          <w:sz w:val="24"/>
          <w:szCs w:val="24"/>
        </w:rPr>
        <w:t>基金收益分配后基金份额净值不能低于面值，即基金收益分配基准日的基金份额净值减去每单位基金份额收益分配金额后不能低于面值；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836BAD">
        <w:rPr>
          <w:rFonts w:ascii="仿宋" w:eastAsia="仿宋" w:hAnsi="仿宋" w:cs="宋体" w:hint="eastAsia"/>
          <w:kern w:val="0"/>
          <w:sz w:val="24"/>
          <w:szCs w:val="24"/>
        </w:rPr>
        <w:t>4、</w:t>
      </w:r>
      <w:r w:rsidRPr="00284CA0">
        <w:rPr>
          <w:rFonts w:ascii="仿宋" w:eastAsia="仿宋" w:hAnsi="仿宋" w:cs="宋体" w:hint="eastAsia"/>
          <w:kern w:val="0"/>
          <w:sz w:val="24"/>
          <w:szCs w:val="24"/>
        </w:rPr>
        <w:t>本基金的每份基金份额享有同等分配权</w:t>
      </w:r>
      <w:r w:rsidRPr="00836BAD">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5、法律法规或监管机关另有规定的，从其规定。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在对基金份额持有人利益无实质性不利影响的前提下</w:t>
      </w:r>
      <w:r w:rsidR="00B75218">
        <w:rPr>
          <w:rFonts w:ascii="仿宋" w:eastAsia="仿宋" w:hAnsi="仿宋" w:cs="宋体" w:hint="eastAsia"/>
          <w:kern w:val="0"/>
          <w:sz w:val="24"/>
          <w:szCs w:val="24"/>
        </w:rPr>
        <w:t>并履行适当程序后</w:t>
      </w:r>
      <w:r>
        <w:rPr>
          <w:rFonts w:ascii="仿宋" w:eastAsia="仿宋" w:hAnsi="仿宋" w:cs="宋体" w:hint="eastAsia"/>
          <w:kern w:val="0"/>
          <w:sz w:val="24"/>
          <w:szCs w:val="24"/>
        </w:rPr>
        <w:t>，基金管理人可对基金收益分配原则进行调整。</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四、收益分配方案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基金收益分配方案中应载明截至基金收益分配基准日的可供分配利润、基金收益分配对象、分配时间、分配数额及比例、分配方式等内容。</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五、收益分配方案的确定、公告与实施</w:t>
      </w:r>
    </w:p>
    <w:p w:rsidR="00E45E2B" w:rsidRDefault="00E45E2B" w:rsidP="00E45E2B">
      <w:pPr>
        <w:spacing w:line="360" w:lineRule="auto"/>
        <w:rPr>
          <w:rFonts w:ascii="仿宋" w:eastAsia="仿宋" w:hAnsi="仿宋" w:cs="宋体"/>
          <w:kern w:val="0"/>
          <w:sz w:val="24"/>
          <w:szCs w:val="24"/>
        </w:rPr>
      </w:pPr>
      <w:r>
        <w:rPr>
          <w:rFonts w:ascii="仿宋" w:eastAsia="仿宋" w:hAnsi="仿宋" w:cs="宋体" w:hint="eastAsia"/>
          <w:kern w:val="0"/>
          <w:sz w:val="24"/>
          <w:szCs w:val="24"/>
        </w:rPr>
        <w:t xml:space="preserve">    </w:t>
      </w:r>
      <w:r>
        <w:rPr>
          <w:rFonts w:ascii="仿宋" w:eastAsia="仿宋" w:hAnsi="仿宋" w:cs="宋体"/>
          <w:kern w:val="0"/>
          <w:sz w:val="24"/>
          <w:szCs w:val="24"/>
        </w:rPr>
        <w:t>本基金收益分配方案由基金管理人拟定，并由基金托管人复核，在2日内在规定媒介公告。</w:t>
      </w:r>
    </w:p>
    <w:p w:rsidR="00E45E2B" w:rsidRPr="00836BAD"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836BAD">
        <w:rPr>
          <w:rFonts w:ascii="仿宋" w:eastAsia="仿宋" w:hAnsi="仿宋" w:cs="宋体" w:hint="eastAsia"/>
          <w:b/>
          <w:bCs/>
          <w:kern w:val="0"/>
          <w:sz w:val="24"/>
          <w:szCs w:val="24"/>
        </w:rPr>
        <w:t>六、实施侧袋机制期间的收益分配</w:t>
      </w:r>
    </w:p>
    <w:p w:rsidR="00E45E2B" w:rsidRPr="00836BAD" w:rsidRDefault="00E45E2B" w:rsidP="00E45E2B">
      <w:pPr>
        <w:autoSpaceDE w:val="0"/>
        <w:autoSpaceDN w:val="0"/>
        <w:adjustRightInd w:val="0"/>
        <w:spacing w:line="360" w:lineRule="auto"/>
        <w:ind w:firstLineChars="200" w:firstLine="480"/>
        <w:jc w:val="left"/>
        <w:rPr>
          <w:rFonts w:ascii="仿宋" w:eastAsia="仿宋" w:hAnsi="仿宋" w:cs="宋体"/>
          <w:kern w:val="0"/>
          <w:sz w:val="18"/>
          <w:szCs w:val="18"/>
        </w:rPr>
      </w:pPr>
      <w:r w:rsidRPr="00AF382F">
        <w:rPr>
          <w:rFonts w:ascii="仿宋" w:eastAsia="仿宋" w:hAnsi="仿宋" w:cs="宋体" w:hint="eastAsia"/>
          <w:bCs/>
          <w:kern w:val="0"/>
          <w:sz w:val="24"/>
          <w:szCs w:val="24"/>
        </w:rPr>
        <w:t>本基金实施侧袋机制的，侧袋账户不进行收益分配，详见招募说明书的规定。</w:t>
      </w:r>
    </w:p>
    <w:p w:rsidR="00E45E2B" w:rsidRDefault="00E45E2B" w:rsidP="00E45E2B">
      <w:pPr>
        <w:widowControl/>
        <w:jc w:val="left"/>
        <w:rPr>
          <w:rFonts w:ascii="仿宋" w:eastAsia="仿宋" w:hAnsi="仿宋" w:cs="宋体"/>
          <w:kern w:val="0"/>
          <w:sz w:val="18"/>
          <w:szCs w:val="18"/>
        </w:rPr>
      </w:pPr>
    </w:p>
    <w:p w:rsidR="00E45E2B" w:rsidRDefault="00E45E2B" w:rsidP="004F6C89">
      <w:pPr>
        <w:pStyle w:val="1"/>
        <w:spacing w:line="360" w:lineRule="auto"/>
        <w:jc w:val="center"/>
        <w:rPr>
          <w:kern w:val="0"/>
        </w:rPr>
      </w:pPr>
      <w:bookmarkStart w:id="195" w:name="_Toc459291255"/>
      <w:r>
        <w:rPr>
          <w:kern w:val="0"/>
        </w:rPr>
        <w:br w:type="page"/>
      </w:r>
      <w:bookmarkStart w:id="196" w:name="_Toc377998632"/>
      <w:bookmarkStart w:id="197" w:name="_Toc169163877"/>
      <w:r w:rsidRPr="004F6C89">
        <w:rPr>
          <w:rFonts w:eastAsia="仿宋" w:hint="eastAsia"/>
          <w:sz w:val="30"/>
          <w:szCs w:val="30"/>
          <w:lang w:val="zh-CN"/>
        </w:rPr>
        <w:t>第十七部分</w:t>
      </w:r>
      <w:r w:rsidRPr="004F6C89">
        <w:rPr>
          <w:rFonts w:eastAsia="仿宋" w:hint="eastAsia"/>
          <w:sz w:val="30"/>
          <w:szCs w:val="30"/>
          <w:lang w:val="zh-CN"/>
        </w:rPr>
        <w:t xml:space="preserve">    </w:t>
      </w:r>
      <w:r w:rsidRPr="004F6C89">
        <w:rPr>
          <w:rFonts w:eastAsia="仿宋" w:hint="eastAsia"/>
          <w:sz w:val="30"/>
          <w:szCs w:val="30"/>
          <w:lang w:val="zh-CN"/>
        </w:rPr>
        <w:t>基金的会计与审计</w:t>
      </w:r>
      <w:bookmarkEnd w:id="195"/>
      <w:bookmarkEnd w:id="196"/>
      <w:bookmarkEnd w:id="197"/>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一、基金会计政策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、基金管理人为本基金的基金会计责任方；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、基金的会计年度为公历年度的</w:t>
      </w:r>
      <w:r>
        <w:rPr>
          <w:rFonts w:ascii="仿宋" w:eastAsia="仿宋" w:hAnsi="仿宋" w:cs="宋体"/>
          <w:kern w:val="0"/>
          <w:sz w:val="24"/>
          <w:szCs w:val="24"/>
        </w:rPr>
        <w:t>1</w:t>
      </w:r>
      <w:r>
        <w:rPr>
          <w:rFonts w:ascii="仿宋" w:eastAsia="仿宋" w:hAnsi="仿宋" w:cs="宋体" w:hint="eastAsia"/>
          <w:kern w:val="0"/>
          <w:sz w:val="24"/>
          <w:szCs w:val="24"/>
        </w:rPr>
        <w:t>月</w:t>
      </w:r>
      <w:r>
        <w:rPr>
          <w:rFonts w:ascii="仿宋" w:eastAsia="仿宋" w:hAnsi="仿宋" w:cs="宋体"/>
          <w:kern w:val="0"/>
          <w:sz w:val="24"/>
          <w:szCs w:val="24"/>
        </w:rPr>
        <w:t>1</w:t>
      </w:r>
      <w:r>
        <w:rPr>
          <w:rFonts w:ascii="仿宋" w:eastAsia="仿宋" w:hAnsi="仿宋" w:cs="宋体" w:hint="eastAsia"/>
          <w:kern w:val="0"/>
          <w:sz w:val="24"/>
          <w:szCs w:val="24"/>
        </w:rPr>
        <w:t>日至</w:t>
      </w:r>
      <w:r>
        <w:rPr>
          <w:rFonts w:ascii="仿宋" w:eastAsia="仿宋" w:hAnsi="仿宋" w:cs="宋体"/>
          <w:kern w:val="0"/>
          <w:sz w:val="24"/>
          <w:szCs w:val="24"/>
        </w:rPr>
        <w:t>12</w:t>
      </w:r>
      <w:r>
        <w:rPr>
          <w:rFonts w:ascii="仿宋" w:eastAsia="仿宋" w:hAnsi="仿宋" w:cs="宋体" w:hint="eastAsia"/>
          <w:kern w:val="0"/>
          <w:sz w:val="24"/>
          <w:szCs w:val="24"/>
        </w:rPr>
        <w:t>月</w:t>
      </w:r>
      <w:r>
        <w:rPr>
          <w:rFonts w:ascii="仿宋" w:eastAsia="仿宋" w:hAnsi="仿宋" w:cs="宋体"/>
          <w:kern w:val="0"/>
          <w:sz w:val="24"/>
          <w:szCs w:val="24"/>
        </w:rPr>
        <w:t>31</w:t>
      </w:r>
      <w:r>
        <w:rPr>
          <w:rFonts w:ascii="仿宋" w:eastAsia="仿宋" w:hAnsi="仿宋" w:cs="宋体" w:hint="eastAsia"/>
          <w:kern w:val="0"/>
          <w:sz w:val="24"/>
          <w:szCs w:val="24"/>
        </w:rPr>
        <w:t>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、基金核算以人民币为记账本位币，以人民币元为记账单位；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、会计制度执行国家有关会计制度；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、本基金独立建账、独立核算；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、基金管理人及基金托管人各自保留完整的会计账目、凭证并进行日常的会计核算，按照有关规定编制基金会计报表；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、基金托管人每月与基金管理人就基金的会计核算、报表编制等进行核对。</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二、基金的年度审计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98" w:name="OLE_LINK14"/>
      <w:r>
        <w:rPr>
          <w:rFonts w:ascii="仿宋" w:eastAsia="仿宋" w:hAnsi="仿宋" w:cs="宋体"/>
          <w:kern w:val="0"/>
          <w:sz w:val="24"/>
          <w:szCs w:val="24"/>
        </w:rPr>
        <w:t>1</w:t>
      </w:r>
      <w:r>
        <w:rPr>
          <w:rFonts w:ascii="仿宋" w:eastAsia="仿宋" w:hAnsi="仿宋" w:cs="宋体" w:hint="eastAsia"/>
          <w:kern w:val="0"/>
          <w:sz w:val="24"/>
          <w:szCs w:val="24"/>
        </w:rPr>
        <w:t>、基金管理人聘请与基金管理人、基金托管人相互独立的符合法律法规规定的会计师事务所及其注册会计师对本基金的年度财务报表进行审计</w:t>
      </w:r>
      <w:bookmarkEnd w:id="198"/>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、会计师事务所更换经办注册会计师，应事先征得基金管理人同意。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99" w:name="OLE_LINK15"/>
      <w:r>
        <w:rPr>
          <w:rFonts w:ascii="仿宋" w:eastAsia="仿宋" w:hAnsi="仿宋" w:cs="宋体"/>
          <w:kern w:val="0"/>
          <w:sz w:val="24"/>
          <w:szCs w:val="24"/>
        </w:rPr>
        <w:t>3</w:t>
      </w:r>
      <w:r>
        <w:rPr>
          <w:rFonts w:ascii="仿宋" w:eastAsia="仿宋" w:hAnsi="仿宋" w:cs="宋体" w:hint="eastAsia"/>
          <w:kern w:val="0"/>
          <w:sz w:val="24"/>
          <w:szCs w:val="24"/>
        </w:rPr>
        <w:t>、</w:t>
      </w:r>
      <w:bookmarkStart w:id="200" w:name="_Hlt4221115"/>
      <w:bookmarkEnd w:id="200"/>
      <w:r>
        <w:rPr>
          <w:rFonts w:ascii="仿宋" w:eastAsia="仿宋" w:hAnsi="仿宋" w:cs="宋体" w:hint="eastAsia"/>
          <w:kern w:val="0"/>
          <w:sz w:val="24"/>
          <w:szCs w:val="24"/>
        </w:rPr>
        <w:t>基金管理人认为有充足理由更换会计师事务所，须通报基金托管人。更换会计师事务所需在</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bookmarkEnd w:id="199"/>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keepNext/>
        <w:keepLines/>
        <w:rPr>
          <w:rFonts w:ascii="仿宋" w:hAnsi="仿宋" w:cs="宋体"/>
          <w:kern w:val="0"/>
          <w:sz w:val="24"/>
          <w:szCs w:val="24"/>
        </w:rPr>
      </w:pPr>
      <w:bookmarkStart w:id="201" w:name="_Toc377998633"/>
      <w:r>
        <w:rPr>
          <w:rFonts w:ascii="仿宋" w:hAnsi="仿宋" w:cs="宋体"/>
          <w:kern w:val="0"/>
        </w:rPr>
        <w:br w:type="page"/>
      </w:r>
    </w:p>
    <w:p w:rsidR="00E45E2B" w:rsidRPr="00B91502" w:rsidRDefault="00E45E2B" w:rsidP="004F6C89">
      <w:pPr>
        <w:pStyle w:val="1"/>
        <w:spacing w:line="360" w:lineRule="auto"/>
        <w:jc w:val="center"/>
        <w:rPr>
          <w:rFonts w:eastAsia="仿宋"/>
          <w:sz w:val="30"/>
          <w:szCs w:val="30"/>
        </w:rPr>
      </w:pPr>
      <w:bookmarkStart w:id="202" w:name="_Toc459291256"/>
      <w:bookmarkStart w:id="203" w:name="_Toc169163878"/>
      <w:r w:rsidRPr="004F6C89">
        <w:rPr>
          <w:rFonts w:eastAsia="仿宋" w:hint="eastAsia"/>
          <w:sz w:val="30"/>
          <w:szCs w:val="30"/>
          <w:lang w:val="zh-CN"/>
        </w:rPr>
        <w:t>第十八部分</w:t>
      </w:r>
      <w:r w:rsidRPr="00B91502">
        <w:rPr>
          <w:rFonts w:eastAsia="仿宋"/>
          <w:sz w:val="30"/>
          <w:szCs w:val="30"/>
        </w:rPr>
        <w:t xml:space="preserve">    </w:t>
      </w:r>
      <w:r w:rsidRPr="004F6C89">
        <w:rPr>
          <w:rFonts w:eastAsia="仿宋" w:hint="eastAsia"/>
          <w:sz w:val="30"/>
          <w:szCs w:val="30"/>
          <w:lang w:val="zh-CN"/>
        </w:rPr>
        <w:t>基金的信息披露</w:t>
      </w:r>
      <w:bookmarkEnd w:id="201"/>
      <w:bookmarkEnd w:id="202"/>
      <w:bookmarkEnd w:id="203"/>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一、本基金的信息披露应符合《基金法》、《运作办法》、《信息披露办法》、</w:t>
      </w:r>
      <w:r w:rsidRPr="00B024A4">
        <w:rPr>
          <w:rFonts w:ascii="仿宋" w:eastAsia="仿宋" w:hAnsi="仿宋" w:cs="宋体" w:hint="eastAsia"/>
          <w:b/>
          <w:kern w:val="0"/>
          <w:sz w:val="24"/>
          <w:szCs w:val="24"/>
        </w:rPr>
        <w:t>《流动性风险管理规定》、</w:t>
      </w:r>
      <w:r>
        <w:rPr>
          <w:rFonts w:ascii="仿宋" w:eastAsia="仿宋" w:hAnsi="仿宋" w:cs="宋体" w:hint="eastAsia"/>
          <w:b/>
          <w:kern w:val="0"/>
          <w:sz w:val="24"/>
          <w:szCs w:val="24"/>
        </w:rPr>
        <w:t>《基金合同》及其他有关规定。</w:t>
      </w:r>
      <w:r w:rsidRPr="00AD7D05">
        <w:rPr>
          <w:rFonts w:ascii="仿宋" w:eastAsia="仿宋" w:hAnsi="仿宋" w:cs="宋体" w:hint="eastAsia"/>
          <w:b/>
          <w:kern w:val="0"/>
          <w:sz w:val="24"/>
          <w:szCs w:val="24"/>
        </w:rPr>
        <w:t>若相关法律法规修订或变更后对于基金信息披露的信息类型、披露内容、披露方式等规定与本部分的内容不同，若适用于本基金，本基金的信息披露按照修订或变更后的法律法规的要求执行。</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二、信息披露义务人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本基金信息披露义务人包括基金管理人、基金托管人、召集基金份额持有人大会的基金份额持有人等法律法规和中国证监会规定的自然人、法人和非法人组织。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本基金信息披露义务人以保护基金份额持有人利益为根本出发点，按照法律法规和中国证监会的规定披露基金信息，并保证所披露信息的真实性、准确性、完整性、及时性、简明性和易得性。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本基金信息披露义务人应当在中国证监会规定时间内，将应予披露的基金信息通过</w:t>
      </w:r>
      <w:r w:rsidRPr="00B024A4">
        <w:rPr>
          <w:rFonts w:ascii="仿宋" w:eastAsia="仿宋" w:hAnsi="仿宋" w:cs="宋体" w:hint="eastAsia"/>
          <w:kern w:val="0"/>
          <w:sz w:val="24"/>
          <w:szCs w:val="24"/>
        </w:rPr>
        <w:t>符合</w:t>
      </w:r>
      <w:r>
        <w:rPr>
          <w:rFonts w:ascii="仿宋" w:eastAsia="仿宋" w:hAnsi="仿宋" w:cs="宋体" w:hint="eastAsia"/>
          <w:kern w:val="0"/>
          <w:sz w:val="24"/>
          <w:szCs w:val="24"/>
        </w:rPr>
        <w:t>中国证监会</w:t>
      </w:r>
      <w:r w:rsidRPr="00B024A4">
        <w:rPr>
          <w:rFonts w:ascii="仿宋" w:eastAsia="仿宋" w:hAnsi="仿宋" w:cs="宋体" w:hint="eastAsia"/>
          <w:kern w:val="0"/>
          <w:sz w:val="24"/>
          <w:szCs w:val="24"/>
        </w:rPr>
        <w:t>规定条件</w:t>
      </w:r>
      <w:r>
        <w:rPr>
          <w:rFonts w:ascii="仿宋" w:eastAsia="仿宋" w:hAnsi="仿宋" w:cs="宋体" w:hint="eastAsia"/>
          <w:kern w:val="0"/>
          <w:sz w:val="24"/>
          <w:szCs w:val="24"/>
        </w:rPr>
        <w:t>的全国性报刊（以下简称“</w:t>
      </w:r>
      <w:r w:rsidRPr="00B024A4">
        <w:rPr>
          <w:rFonts w:ascii="仿宋" w:eastAsia="仿宋" w:hAnsi="仿宋" w:cs="宋体" w:hint="eastAsia"/>
          <w:kern w:val="0"/>
          <w:sz w:val="24"/>
          <w:szCs w:val="24"/>
        </w:rPr>
        <w:t>规定</w:t>
      </w:r>
      <w:r>
        <w:rPr>
          <w:rFonts w:ascii="仿宋" w:eastAsia="仿宋" w:hAnsi="仿宋" w:cs="宋体" w:hint="eastAsia"/>
          <w:kern w:val="0"/>
          <w:sz w:val="24"/>
          <w:szCs w:val="24"/>
        </w:rPr>
        <w:t>报刊”）及《信息披露办法》</w:t>
      </w:r>
      <w:r w:rsidRPr="00B024A4">
        <w:rPr>
          <w:rFonts w:ascii="仿宋" w:eastAsia="仿宋" w:hAnsi="仿宋" w:cs="宋体" w:hint="eastAsia"/>
          <w:kern w:val="0"/>
          <w:sz w:val="24"/>
          <w:szCs w:val="24"/>
        </w:rPr>
        <w:t>规定</w:t>
      </w:r>
      <w:r>
        <w:rPr>
          <w:rFonts w:ascii="仿宋" w:eastAsia="仿宋" w:hAnsi="仿宋" w:cs="宋体" w:hint="eastAsia"/>
          <w:kern w:val="0"/>
          <w:sz w:val="24"/>
          <w:szCs w:val="24"/>
        </w:rPr>
        <w:t>的互联网网站（以下简称“</w:t>
      </w:r>
      <w:r w:rsidRPr="00B024A4">
        <w:rPr>
          <w:rFonts w:ascii="仿宋" w:eastAsia="仿宋" w:hAnsi="仿宋" w:cs="宋体" w:hint="eastAsia"/>
          <w:kern w:val="0"/>
          <w:sz w:val="24"/>
          <w:szCs w:val="24"/>
        </w:rPr>
        <w:t>规定</w:t>
      </w:r>
      <w:r>
        <w:rPr>
          <w:rFonts w:ascii="仿宋" w:eastAsia="仿宋" w:hAnsi="仿宋" w:cs="宋体" w:hint="eastAsia"/>
          <w:kern w:val="0"/>
          <w:sz w:val="24"/>
          <w:szCs w:val="24"/>
        </w:rPr>
        <w:t>网站”）等媒介披露，并保证基金投资者能够按照《基金合同》约定的时间和方式查阅或者复制公开披露的信息资料。</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三、本基金信息披露义务人承诺公开披露的基金信息，不得有下列行为：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、虚假记载、误导性陈述或者重大遗漏；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、对证券投资业绩进行预测；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、违规承诺收益或者承担损失；</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、诋毁其他基金管理人、基金托管人或者基金销售机构；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、登载任何自然人、法人和非法人组织的祝贺性、恭维性或推荐性的文字；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、中国证监会禁止的其他行为。</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四、本基金公开披露的信息应采用中文文本。如同时采用外文文本的，基金信息披露义务人应保证不同文本的内容一致。不同文本之间发生歧义的，以中文文本为准。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本基金公开披露的信息采用阿拉伯数字；除特别说明外，货币单位为人民币元。</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五、公开披露的基金信息</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公开披露的基金信息包括：</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（一）基金招募说明书、《基金合同》、基金托管协议、基金产品资料概要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1、《基金合同》是界定《基金合同》当事人的各项权利、义务关系，明确基金份额持有人大会召开的规则及具体程序，说明基金产品的特性等涉及基金投资者重大利益的事项的法律文件。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、基金托管协议是界定基金托管人和基金管理人在基金财产保管及基金运作监督等活动中的权利、义务关系的法律文件。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（二）基金净值信息</w:t>
      </w:r>
    </w:p>
    <w:p w:rsidR="00E45E2B" w:rsidRPr="00D50992"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4" w:name="OLE_LINK24"/>
      <w:r w:rsidRPr="00D50992">
        <w:rPr>
          <w:rFonts w:ascii="仿宋" w:eastAsia="仿宋" w:hAnsi="仿宋" w:cs="宋体" w:hint="eastAsia"/>
          <w:kern w:val="0"/>
          <w:sz w:val="24"/>
          <w:szCs w:val="24"/>
        </w:rPr>
        <w:t>基金合同生效后，在开始办理基金份额申购或者赎回前，基金管理人应当至少每周在规定网站披露一次基金份额净值和基金份额累计净值。</w:t>
      </w:r>
    </w:p>
    <w:p w:rsidR="00E45E2B" w:rsidRDefault="00E45E2B" w:rsidP="00E45E2B">
      <w:pPr>
        <w:pStyle w:val="Default"/>
        <w:spacing w:line="360" w:lineRule="auto"/>
        <w:ind w:firstLine="420"/>
        <w:rPr>
          <w:rFonts w:ascii="仿宋" w:eastAsia="仿宋" w:hAnsi="仿宋"/>
          <w:color w:val="auto"/>
        </w:rPr>
      </w:pPr>
      <w:r w:rsidRPr="00D50992">
        <w:rPr>
          <w:rFonts w:ascii="仿宋" w:eastAsia="仿宋" w:hAnsi="仿宋" w:hint="eastAsia"/>
        </w:rPr>
        <w:t>在开始办理基金份额申购或者赎回后，基金管理人应当在不晚于每个开放日的次日，通过规定网站、基金销售机构网站或营业网点，披露开放日的基金份额净值和基金份额累计净值。</w:t>
      </w:r>
    </w:p>
    <w:p w:rsidR="00E45E2B" w:rsidRDefault="00E45E2B" w:rsidP="00E45E2B">
      <w:pPr>
        <w:pStyle w:val="Default"/>
        <w:spacing w:line="360" w:lineRule="auto"/>
        <w:ind w:firstLine="420"/>
        <w:rPr>
          <w:rFonts w:ascii="仿宋" w:eastAsia="仿宋" w:hAnsi="仿宋"/>
          <w:color w:val="auto"/>
        </w:rPr>
      </w:pPr>
      <w:r>
        <w:rPr>
          <w:rFonts w:ascii="仿宋" w:eastAsia="仿宋" w:hAnsi="仿宋" w:hint="eastAsia"/>
          <w:color w:val="auto"/>
        </w:rPr>
        <w:t>基金管理人应当在不晚于半年度和年度最后一日的次日，在规定网站披露半年度和年度最后一日的基金份额净值和基金份额累计净值。</w:t>
      </w:r>
      <w:bookmarkEnd w:id="204"/>
      <w:r>
        <w:rPr>
          <w:rFonts w:ascii="仿宋" w:eastAsia="仿宋" w:hAnsi="仿宋"/>
          <w:color w:val="auto"/>
        </w:rPr>
        <w:t xml:space="preserve"> </w:t>
      </w:r>
    </w:p>
    <w:p w:rsidR="00E45E2B" w:rsidRPr="00313836" w:rsidRDefault="00E45E2B" w:rsidP="00E45E2B">
      <w:pPr>
        <w:pStyle w:val="Default"/>
        <w:spacing w:line="360" w:lineRule="auto"/>
        <w:ind w:firstLine="420"/>
        <w:rPr>
          <w:rFonts w:ascii="仿宋" w:eastAsia="仿宋" w:hAnsi="仿宋"/>
          <w:color w:val="auto"/>
        </w:rPr>
      </w:pPr>
      <w:r w:rsidRPr="00313836">
        <w:rPr>
          <w:rFonts w:ascii="仿宋" w:eastAsia="仿宋" w:hAnsi="仿宋" w:hint="eastAsia"/>
          <w:color w:val="auto"/>
        </w:rPr>
        <w:t>如法律法规将来另有规定的，本基金按照新规定执行。如需据此相应修改基金合同的，</w:t>
      </w:r>
      <w:r w:rsidRPr="00131964">
        <w:rPr>
          <w:rFonts w:ascii="仿宋" w:eastAsia="仿宋" w:hAnsi="仿宋" w:hint="eastAsia"/>
          <w:color w:val="auto"/>
        </w:rPr>
        <w:t>基金管理人与基金托管人协商一致，并提前公告后，可直接对相应内容进行修改和调整，</w:t>
      </w:r>
      <w:r w:rsidRPr="00313836">
        <w:rPr>
          <w:rFonts w:ascii="仿宋" w:eastAsia="仿宋" w:hAnsi="仿宋" w:hint="eastAsia"/>
          <w:color w:val="auto"/>
        </w:rPr>
        <w:t>无须召开基金份额持有人大会。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（三）基金份额申购、赎回价格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5" w:name="OLE_LINK16"/>
      <w:r>
        <w:rPr>
          <w:rFonts w:ascii="仿宋" w:eastAsia="仿宋" w:hAnsi="仿宋" w:cs="宋体" w:hint="eastAsia"/>
          <w:kern w:val="0"/>
          <w:sz w:val="24"/>
          <w:szCs w:val="24"/>
        </w:rPr>
        <w:t>（四）基金定期报告，包括基金年度报告、基金中期报告和基金季度报告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基金管理人应当在每年结束之日起三个月内，编制完成基金年度报告，</w:t>
      </w:r>
      <w:bookmarkStart w:id="206" w:name="OLE_LINK9"/>
      <w:r>
        <w:rPr>
          <w:rFonts w:ascii="仿宋" w:eastAsia="仿宋" w:hAnsi="仿宋" w:cs="宋体" w:hint="eastAsia"/>
          <w:kern w:val="0"/>
          <w:sz w:val="24"/>
          <w:szCs w:val="24"/>
        </w:rPr>
        <w:t>将年度报告</w:t>
      </w:r>
      <w:r w:rsidRPr="00D50992">
        <w:rPr>
          <w:rFonts w:ascii="仿宋" w:eastAsia="仿宋" w:hAnsi="仿宋" w:cs="宋体" w:hint="eastAsia"/>
          <w:kern w:val="0"/>
          <w:sz w:val="24"/>
          <w:szCs w:val="24"/>
        </w:rPr>
        <w:t>登载于规定网站上，</w:t>
      </w:r>
      <w:r>
        <w:rPr>
          <w:rFonts w:ascii="仿宋" w:eastAsia="仿宋" w:hAnsi="仿宋" w:cs="宋体" w:hint="eastAsia"/>
          <w:kern w:val="0"/>
          <w:sz w:val="24"/>
          <w:szCs w:val="24"/>
        </w:rPr>
        <w:t>并</w:t>
      </w:r>
      <w:r w:rsidRPr="00D50992">
        <w:rPr>
          <w:rFonts w:ascii="仿宋" w:eastAsia="仿宋" w:hAnsi="仿宋" w:cs="宋体" w:hint="eastAsia"/>
          <w:kern w:val="0"/>
          <w:sz w:val="24"/>
          <w:szCs w:val="24"/>
        </w:rPr>
        <w:t>将年度报告</w:t>
      </w:r>
      <w:r>
        <w:rPr>
          <w:rFonts w:ascii="仿宋" w:eastAsia="仿宋" w:hAnsi="仿宋" w:cs="宋体" w:hint="eastAsia"/>
          <w:kern w:val="0"/>
          <w:sz w:val="24"/>
          <w:szCs w:val="24"/>
        </w:rPr>
        <w:t>提示性公告登载在</w:t>
      </w:r>
      <w:r w:rsidRPr="00052FBD">
        <w:rPr>
          <w:rFonts w:ascii="仿宋" w:eastAsia="仿宋" w:hAnsi="仿宋" w:cs="宋体" w:hint="eastAsia"/>
          <w:kern w:val="0"/>
          <w:sz w:val="24"/>
          <w:szCs w:val="24"/>
        </w:rPr>
        <w:t>规定</w:t>
      </w:r>
      <w:r>
        <w:rPr>
          <w:rFonts w:ascii="仿宋" w:eastAsia="仿宋" w:hAnsi="仿宋" w:cs="宋体" w:hint="eastAsia"/>
          <w:kern w:val="0"/>
          <w:sz w:val="24"/>
          <w:szCs w:val="24"/>
        </w:rPr>
        <w:t>报刊上</w:t>
      </w:r>
      <w:bookmarkEnd w:id="206"/>
      <w:r>
        <w:rPr>
          <w:rFonts w:ascii="仿宋" w:eastAsia="仿宋" w:hAnsi="仿宋" w:cs="宋体" w:hint="eastAsia"/>
          <w:kern w:val="0"/>
          <w:sz w:val="24"/>
          <w:szCs w:val="24"/>
        </w:rPr>
        <w:t>。基金年度报告中的财务会计报告应当经过符合法律法规规定的会计师事务所审计。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基金管理人应当在上半年结束之日起两个月内，编制完成基金中期报告，将中期报告登载在规定网站上，并将中期报告提示性公告登载在规定报刊上。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基金管理人应当在季度结束之日起</w:t>
      </w:r>
      <w:r>
        <w:rPr>
          <w:rFonts w:ascii="仿宋" w:eastAsia="仿宋" w:hAnsi="仿宋" w:cs="宋体"/>
          <w:kern w:val="0"/>
          <w:sz w:val="24"/>
          <w:szCs w:val="24"/>
        </w:rPr>
        <w:t>15</w:t>
      </w:r>
      <w:r>
        <w:rPr>
          <w:rFonts w:ascii="仿宋" w:eastAsia="仿宋" w:hAnsi="仿宋" w:cs="宋体" w:hint="eastAsia"/>
          <w:kern w:val="0"/>
          <w:sz w:val="24"/>
          <w:szCs w:val="24"/>
        </w:rPr>
        <w:t>个工作日内，编制完成基金季度报告，</w:t>
      </w:r>
      <w:bookmarkStart w:id="207" w:name="OLE_LINK11"/>
      <w:r>
        <w:rPr>
          <w:rFonts w:ascii="仿宋" w:eastAsia="仿宋" w:hAnsi="仿宋" w:cs="宋体" w:hint="eastAsia"/>
          <w:kern w:val="0"/>
          <w:sz w:val="24"/>
          <w:szCs w:val="24"/>
        </w:rPr>
        <w:t>将季度报告登载在规定网站上，并将季度报告提示性公告登载在规定报刊上</w:t>
      </w:r>
      <w:bookmarkEnd w:id="207"/>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如报告期内出现单一投资者持有基金份额比例达到或超过</w:t>
      </w:r>
      <w:r>
        <w:rPr>
          <w:rFonts w:ascii="仿宋" w:eastAsia="仿宋" w:hAnsi="仿宋" w:cs="宋体" w:hint="eastAsia"/>
          <w:bCs/>
          <w:kern w:val="0"/>
          <w:sz w:val="24"/>
          <w:szCs w:val="24"/>
        </w:rPr>
        <w:t>基金总份额</w:t>
      </w:r>
      <w:r>
        <w:rPr>
          <w:rFonts w:ascii="仿宋" w:eastAsia="仿宋" w:hAnsi="仿宋" w:cs="宋体" w:hint="eastAsia"/>
          <w:kern w:val="0"/>
          <w:sz w:val="24"/>
          <w:szCs w:val="24"/>
        </w:rPr>
        <w:t>20%的情形，为保障其他投资者的权益，基金管理人至少在季度报告、中期报告、年度报告等定期报告文件中“影响投资者决策的其他重要信息”项下披露该投资者的类别、报告期末持有份额及占比、报告期内持有份额变化情况及</w:t>
      </w:r>
      <w:r>
        <w:rPr>
          <w:rFonts w:ascii="仿宋" w:eastAsia="仿宋" w:hAnsi="仿宋" w:cs="宋体" w:hint="eastAsia"/>
          <w:bCs/>
          <w:kern w:val="0"/>
          <w:sz w:val="24"/>
          <w:szCs w:val="24"/>
        </w:rPr>
        <w:t>本基金</w:t>
      </w:r>
      <w:r>
        <w:rPr>
          <w:rFonts w:ascii="仿宋" w:eastAsia="仿宋" w:hAnsi="仿宋" w:cs="宋体" w:hint="eastAsia"/>
          <w:kern w:val="0"/>
          <w:sz w:val="24"/>
          <w:szCs w:val="24"/>
        </w:rPr>
        <w:t>的特有风险</w:t>
      </w:r>
      <w:r w:rsidRPr="00052FBD">
        <w:rPr>
          <w:rFonts w:ascii="仿宋" w:eastAsia="仿宋" w:hAnsi="仿宋" w:cs="宋体" w:hint="eastAsia"/>
          <w:kern w:val="0"/>
          <w:sz w:val="24"/>
          <w:szCs w:val="24"/>
        </w:rPr>
        <w:t>，中国证监会认定的特殊情形除外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基金管理人应当在基金年度报告和中期报告中披露基金组合资产情况及其流动性风险分析等。</w:t>
      </w:r>
      <w:bookmarkEnd w:id="20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（五）临时报告与公告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本基金发生重大事件，有关信息披露义务人应当在</w:t>
      </w:r>
      <w:r>
        <w:rPr>
          <w:rFonts w:ascii="仿宋" w:eastAsia="仿宋" w:hAnsi="仿宋" w:cs="宋体"/>
          <w:kern w:val="0"/>
          <w:sz w:val="24"/>
          <w:szCs w:val="24"/>
        </w:rPr>
        <w:t>2</w:t>
      </w:r>
      <w:r>
        <w:rPr>
          <w:rFonts w:ascii="仿宋" w:eastAsia="仿宋" w:hAnsi="仿宋" w:cs="宋体" w:hint="eastAsia"/>
          <w:kern w:val="0"/>
          <w:sz w:val="24"/>
          <w:szCs w:val="24"/>
        </w:rPr>
        <w:t>日内编制临时报告书，并登载在规定报刊和规定网站上。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前款所称重大事件，是指可能对基金份额持有人权益或者基金份额的价格产生重大影响的下列事件：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、基金份额持有人大会的召开及决定的事项；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、终止《基金合同》、基金清算；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、转换基金运作方式、基金合并；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、更换基金管理人、基金托管人、基金份额登记机构，基金改聘会计师事务所；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5、基金管理人委托基金服务机构代为办理基金的份额登记、核算、估值等事项，基金托管人委托基金服务机构代为办理基金的核算、估值、复核等事项；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6、基金管理人、基金托管人的法定名称、住所发生变更；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7、基金管理人变更持有百分之五以上股权的股东、变更基金管理人的实际控制人；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8、</w:t>
      </w:r>
      <w:bookmarkStart w:id="208" w:name="OLE_LINK7"/>
      <w:r>
        <w:rPr>
          <w:rFonts w:ascii="仿宋" w:eastAsia="仿宋" w:hAnsi="仿宋" w:cs="宋体" w:hint="eastAsia"/>
          <w:kern w:val="0"/>
          <w:sz w:val="24"/>
          <w:szCs w:val="24"/>
        </w:rPr>
        <w:t>基金管理人高级管理人员、基金经理和基金托管人专门基金托管部门负责人</w:t>
      </w:r>
      <w:bookmarkEnd w:id="208"/>
      <w:r>
        <w:rPr>
          <w:rFonts w:ascii="仿宋" w:eastAsia="仿宋" w:hAnsi="仿宋" w:cs="宋体" w:hint="eastAsia"/>
          <w:kern w:val="0"/>
          <w:sz w:val="24"/>
          <w:szCs w:val="24"/>
        </w:rPr>
        <w:t>发生变动；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hint="eastAsia"/>
          <w:kern w:val="0"/>
          <w:sz w:val="24"/>
          <w:szCs w:val="24"/>
        </w:rPr>
        <w:t>、基金管理人的董事在最近12个月内变更超过百分之五十；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10</w:t>
      </w:r>
      <w:r>
        <w:rPr>
          <w:rFonts w:ascii="仿宋" w:eastAsia="仿宋" w:hAnsi="仿宋" w:cs="宋体" w:hint="eastAsia"/>
          <w:kern w:val="0"/>
          <w:sz w:val="24"/>
          <w:szCs w:val="24"/>
        </w:rPr>
        <w:t>、基金管理人、基金托管人专门基金托管部门的主要业务人员在最近12个月内变动超过百分之三十；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hint="eastAsia"/>
          <w:kern w:val="0"/>
          <w:sz w:val="24"/>
          <w:szCs w:val="24"/>
        </w:rPr>
        <w:t>、涉及基金管理业务、基金财产、基金托管业务的诉讼或仲裁；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12</w:t>
      </w:r>
      <w:r>
        <w:rPr>
          <w:rFonts w:ascii="仿宋" w:eastAsia="仿宋" w:hAnsi="仿宋" w:cs="宋体" w:hint="eastAsia"/>
          <w:kern w:val="0"/>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13</w:t>
      </w:r>
      <w:r>
        <w:rPr>
          <w:rFonts w:ascii="仿宋" w:eastAsia="仿宋" w:hAnsi="仿宋" w:cs="宋体" w:hint="eastAsia"/>
          <w:kern w:val="0"/>
          <w:sz w:val="24"/>
          <w:szCs w:val="24"/>
        </w:rPr>
        <w:t>、基金管理人运用基金财产买卖基金管理人、基金托管人及其控股股东、实际控制人或者与其有其他重大利害关系的公司发行的证券或者承销期内承销的证券，或者从事其他重大关联交易事项，但中国证监会另有规定的情形除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14</w:t>
      </w:r>
      <w:r>
        <w:rPr>
          <w:rFonts w:ascii="仿宋" w:eastAsia="仿宋" w:hAnsi="仿宋" w:cs="宋体" w:hint="eastAsia"/>
          <w:kern w:val="0"/>
          <w:sz w:val="24"/>
          <w:szCs w:val="24"/>
        </w:rPr>
        <w:t>、基金收益分配事项；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15</w:t>
      </w:r>
      <w:r>
        <w:rPr>
          <w:rFonts w:ascii="仿宋" w:eastAsia="仿宋" w:hAnsi="仿宋" w:cs="宋体" w:hint="eastAsia"/>
          <w:kern w:val="0"/>
          <w:sz w:val="24"/>
          <w:szCs w:val="24"/>
        </w:rPr>
        <w:t>、管理费、托管费、申购费、赎回费等费用计提标准、计提方式和费率发生变更；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16</w:t>
      </w:r>
      <w:r>
        <w:rPr>
          <w:rFonts w:ascii="仿宋" w:eastAsia="仿宋" w:hAnsi="仿宋" w:cs="宋体" w:hint="eastAsia"/>
          <w:kern w:val="0"/>
          <w:sz w:val="24"/>
          <w:szCs w:val="24"/>
        </w:rPr>
        <w:t>、基金份额净值估值错误达基金份额净值</w:t>
      </w:r>
      <w:r>
        <w:rPr>
          <w:rFonts w:ascii="仿宋" w:eastAsia="仿宋" w:hAnsi="仿宋" w:cs="宋体"/>
          <w:kern w:val="0"/>
          <w:sz w:val="24"/>
          <w:szCs w:val="24"/>
        </w:rPr>
        <w:t>0.5%</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7</w:t>
      </w:r>
      <w:r>
        <w:rPr>
          <w:rFonts w:ascii="仿宋" w:eastAsia="仿宋" w:hAnsi="仿宋" w:cs="宋体" w:hint="eastAsia"/>
          <w:kern w:val="0"/>
          <w:sz w:val="24"/>
          <w:szCs w:val="24"/>
        </w:rPr>
        <w:t>、本基金</w:t>
      </w:r>
      <w:r w:rsidRPr="00F11DCC">
        <w:rPr>
          <w:rFonts w:ascii="仿宋" w:eastAsia="仿宋" w:hAnsi="仿宋" w:cs="宋体" w:hint="eastAsia"/>
          <w:kern w:val="0"/>
          <w:sz w:val="24"/>
          <w:szCs w:val="24"/>
        </w:rPr>
        <w:t>开始办理申购、赎回</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8</w:t>
      </w:r>
      <w:r>
        <w:rPr>
          <w:rFonts w:ascii="仿宋" w:eastAsia="仿宋" w:hAnsi="仿宋" w:cs="宋体" w:hint="eastAsia"/>
          <w:kern w:val="0"/>
          <w:sz w:val="24"/>
          <w:szCs w:val="24"/>
        </w:rPr>
        <w:t>、</w:t>
      </w:r>
      <w:r w:rsidRPr="00F11DCC">
        <w:rPr>
          <w:rFonts w:ascii="仿宋" w:eastAsia="仿宋" w:hAnsi="仿宋" w:cs="宋体" w:hint="eastAsia"/>
          <w:bCs/>
          <w:kern w:val="0"/>
          <w:sz w:val="24"/>
          <w:szCs w:val="24"/>
        </w:rPr>
        <w:t>本基金发生巨额赎回并延期办理或延缓支付赎回款项</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19</w:t>
      </w:r>
      <w:r>
        <w:rPr>
          <w:rFonts w:ascii="仿宋" w:eastAsia="仿宋" w:hAnsi="仿宋" w:cs="宋体" w:hint="eastAsia"/>
          <w:kern w:val="0"/>
          <w:sz w:val="24"/>
          <w:szCs w:val="24"/>
        </w:rPr>
        <w:t>、本基金</w:t>
      </w:r>
      <w:r w:rsidRPr="00F11DCC">
        <w:rPr>
          <w:rFonts w:ascii="仿宋" w:eastAsia="仿宋" w:hAnsi="仿宋" w:cs="宋体" w:hint="eastAsia"/>
          <w:kern w:val="0"/>
          <w:sz w:val="24"/>
          <w:szCs w:val="24"/>
        </w:rPr>
        <w:t>连续</w:t>
      </w:r>
      <w:r>
        <w:rPr>
          <w:rFonts w:ascii="仿宋" w:eastAsia="仿宋" w:hAnsi="仿宋" w:cs="宋体" w:hint="eastAsia"/>
          <w:kern w:val="0"/>
          <w:sz w:val="24"/>
          <w:szCs w:val="24"/>
        </w:rPr>
        <w:t>发生巨额赎回并</w:t>
      </w:r>
      <w:r w:rsidRPr="00F11DCC">
        <w:rPr>
          <w:rFonts w:ascii="仿宋" w:eastAsia="仿宋" w:hAnsi="仿宋" w:cs="宋体" w:hint="eastAsia"/>
          <w:kern w:val="0"/>
          <w:sz w:val="24"/>
          <w:szCs w:val="24"/>
        </w:rPr>
        <w:t>暂停接受赎回申请或</w:t>
      </w:r>
      <w:r>
        <w:rPr>
          <w:rFonts w:ascii="仿宋" w:eastAsia="仿宋" w:hAnsi="仿宋" w:cs="宋体" w:hint="eastAsia"/>
          <w:kern w:val="0"/>
          <w:sz w:val="24"/>
          <w:szCs w:val="24"/>
        </w:rPr>
        <w:t>延缓支付赎回款项；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20</w:t>
      </w:r>
      <w:r>
        <w:rPr>
          <w:rFonts w:ascii="仿宋" w:eastAsia="仿宋" w:hAnsi="仿宋" w:cs="宋体" w:hint="eastAsia"/>
          <w:kern w:val="0"/>
          <w:sz w:val="24"/>
          <w:szCs w:val="24"/>
        </w:rPr>
        <w:t>、本基金暂停接受申购、赎回申请或</w:t>
      </w:r>
      <w:r w:rsidRPr="00F11DCC">
        <w:rPr>
          <w:rFonts w:ascii="仿宋" w:eastAsia="仿宋" w:hAnsi="仿宋" w:cs="宋体" w:hint="eastAsia"/>
          <w:kern w:val="0"/>
          <w:sz w:val="24"/>
          <w:szCs w:val="24"/>
        </w:rPr>
        <w:t>暂停后</w:t>
      </w:r>
      <w:r>
        <w:rPr>
          <w:rFonts w:ascii="仿宋" w:eastAsia="仿宋" w:hAnsi="仿宋" w:cs="宋体" w:hint="eastAsia"/>
          <w:kern w:val="0"/>
          <w:sz w:val="24"/>
          <w:szCs w:val="24"/>
        </w:rPr>
        <w:t>重新接受申购、赎回申请；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21</w:t>
      </w:r>
      <w:r>
        <w:rPr>
          <w:rFonts w:ascii="仿宋" w:eastAsia="仿宋" w:hAnsi="仿宋" w:cs="宋体" w:hint="eastAsia"/>
          <w:kern w:val="0"/>
          <w:sz w:val="24"/>
          <w:szCs w:val="24"/>
        </w:rPr>
        <w:t>、</w:t>
      </w:r>
      <w:r w:rsidRPr="00F11DCC">
        <w:rPr>
          <w:rFonts w:ascii="仿宋" w:eastAsia="仿宋" w:hAnsi="仿宋" w:cs="宋体" w:hint="eastAsia"/>
          <w:kern w:val="0"/>
          <w:sz w:val="24"/>
          <w:szCs w:val="24"/>
        </w:rPr>
        <w:t>调整基金份额类别设置</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2</w:t>
      </w:r>
      <w:r>
        <w:rPr>
          <w:rFonts w:ascii="仿宋" w:eastAsia="仿宋" w:hAnsi="仿宋" w:cs="宋体" w:hint="eastAsia"/>
          <w:kern w:val="0"/>
          <w:sz w:val="24"/>
          <w:szCs w:val="24"/>
        </w:rPr>
        <w:t>、</w:t>
      </w:r>
      <w:r>
        <w:rPr>
          <w:rFonts w:ascii="仿宋" w:eastAsia="仿宋" w:hAnsi="仿宋" w:cs="宋体" w:hint="eastAsia"/>
          <w:bCs/>
          <w:kern w:val="0"/>
          <w:sz w:val="24"/>
          <w:szCs w:val="24"/>
        </w:rPr>
        <w:t>发生涉及基金申购、赎回事项调整或潜在影响投资者赎回等重大事项时；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bCs/>
          <w:kern w:val="0"/>
          <w:sz w:val="24"/>
          <w:szCs w:val="24"/>
        </w:rPr>
        <w:t>2</w:t>
      </w:r>
      <w:r>
        <w:rPr>
          <w:rFonts w:ascii="仿宋" w:eastAsia="仿宋" w:hAnsi="仿宋" w:cs="宋体"/>
          <w:bCs/>
          <w:kern w:val="0"/>
          <w:sz w:val="24"/>
          <w:szCs w:val="24"/>
        </w:rPr>
        <w:t>3</w:t>
      </w:r>
      <w:r>
        <w:rPr>
          <w:rFonts w:ascii="仿宋" w:eastAsia="仿宋" w:hAnsi="仿宋" w:cs="宋体" w:hint="eastAsia"/>
          <w:bCs/>
          <w:kern w:val="0"/>
          <w:sz w:val="24"/>
          <w:szCs w:val="24"/>
        </w:rPr>
        <w:t>、基金管理人采用摆动定价机制</w:t>
      </w:r>
      <w:r w:rsidRPr="00F11DCC">
        <w:rPr>
          <w:rFonts w:ascii="仿宋" w:eastAsia="仿宋" w:hAnsi="仿宋" w:cs="宋体" w:hint="eastAsia"/>
          <w:bCs/>
          <w:kern w:val="0"/>
          <w:sz w:val="24"/>
          <w:szCs w:val="24"/>
        </w:rPr>
        <w:t>进行估值</w:t>
      </w:r>
      <w:r>
        <w:rPr>
          <w:rFonts w:ascii="仿宋" w:eastAsia="仿宋" w:hAnsi="仿宋" w:cs="宋体" w:hint="eastAsia"/>
          <w:bCs/>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4</w:t>
      </w:r>
      <w:r>
        <w:rPr>
          <w:rFonts w:ascii="仿宋" w:eastAsia="仿宋" w:hAnsi="仿宋" w:cs="宋体" w:hint="eastAsia"/>
          <w:kern w:val="0"/>
          <w:sz w:val="24"/>
          <w:szCs w:val="24"/>
        </w:rPr>
        <w:t>、基金信息披露义务人认为可能对基金份额持有人权益或者基金份额的价格产生重大影响的其他事项或中国证监会规定和基金合同约定的其他事项。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（六）澄清公告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E45E2B" w:rsidRPr="00F11DC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11DCC">
        <w:rPr>
          <w:rFonts w:ascii="仿宋" w:eastAsia="仿宋" w:hAnsi="仿宋" w:cs="宋体" w:hint="eastAsia"/>
          <w:kern w:val="0"/>
          <w:sz w:val="24"/>
          <w:szCs w:val="24"/>
        </w:rPr>
        <w:t>（</w:t>
      </w:r>
      <w:r>
        <w:rPr>
          <w:rFonts w:ascii="仿宋" w:eastAsia="仿宋" w:hAnsi="仿宋" w:cs="宋体" w:hint="eastAsia"/>
          <w:kern w:val="0"/>
          <w:sz w:val="24"/>
          <w:szCs w:val="24"/>
        </w:rPr>
        <w:t>七</w:t>
      </w:r>
      <w:r w:rsidRPr="00F11DCC">
        <w:rPr>
          <w:rFonts w:ascii="仿宋" w:eastAsia="仿宋" w:hAnsi="仿宋" w:cs="宋体" w:hint="eastAsia"/>
          <w:kern w:val="0"/>
          <w:sz w:val="24"/>
          <w:szCs w:val="24"/>
        </w:rPr>
        <w:t>）清算报告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11DCC">
        <w:rPr>
          <w:rFonts w:ascii="仿宋" w:eastAsia="仿宋" w:hAnsi="仿宋" w:cs="宋体" w:hint="eastAsia"/>
          <w:kern w:val="0"/>
          <w:sz w:val="24"/>
          <w:szCs w:val="24"/>
        </w:rPr>
        <w:t>基金合同终止情形发生后，基金管理人应当依法组织基金财产清算小组对基金财产进行清算并作出清算报告。基金财产清算小组应当将清算报告登载在规定网站上，并将清算报告提示性公告登载在规定报刊上。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（八）基金份额持有人大会决议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基金份额持有人大会决定的事项，应当依法报中国证监会备案，并予以公告。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九）基金管理人应当在基金季度报告、基金中期报告、基金年度报告等定期报告和招募说明书（更新）等文件中披露股指期货交易情况，包括交易政策、持仓情况、损益情况、风险指标等，并充分揭示股指期货交易对基金总体风险的影响以及是否符合既定的交易政策和交易目标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基金管理人应当在季度报告、中期报告、年度报告等定期报告和招募说明书（更新）等文件中披露国债期货交易情况，包括交易政策、持仓情况、损益情况、风险指标等，并充分揭示国债期货交易对本基金总体风险的影响以及是否符合既定的交易政策和交易目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（十一）</w:t>
      </w:r>
      <w:r w:rsidRPr="00F11DCC">
        <w:rPr>
          <w:rFonts w:ascii="仿宋" w:eastAsia="仿宋" w:hAnsi="仿宋" w:cs="宋体" w:hint="eastAsia"/>
          <w:kern w:val="0"/>
          <w:sz w:val="24"/>
          <w:szCs w:val="24"/>
        </w:rPr>
        <w:t>基金管理人应当在</w:t>
      </w:r>
      <w:r>
        <w:rPr>
          <w:rFonts w:ascii="仿宋" w:eastAsia="仿宋" w:hAnsi="仿宋" w:cs="宋体" w:hint="eastAsia"/>
          <w:kern w:val="0"/>
          <w:sz w:val="24"/>
          <w:szCs w:val="24"/>
        </w:rPr>
        <w:t>基金</w:t>
      </w:r>
      <w:r w:rsidRPr="00F11DCC">
        <w:rPr>
          <w:rFonts w:ascii="仿宋" w:eastAsia="仿宋" w:hAnsi="仿宋" w:cs="宋体" w:hint="eastAsia"/>
          <w:kern w:val="0"/>
          <w:sz w:val="24"/>
          <w:szCs w:val="24"/>
        </w:rPr>
        <w:t>定期信息披露文件中披露股票期权交易情况，包括</w:t>
      </w:r>
      <w:r>
        <w:rPr>
          <w:rFonts w:ascii="仿宋" w:eastAsia="仿宋" w:hAnsi="仿宋" w:cs="宋体" w:hint="eastAsia"/>
          <w:kern w:val="0"/>
          <w:sz w:val="24"/>
          <w:szCs w:val="24"/>
        </w:rPr>
        <w:t>交易</w:t>
      </w:r>
      <w:r w:rsidRPr="00F11DCC">
        <w:rPr>
          <w:rFonts w:ascii="仿宋" w:eastAsia="仿宋" w:hAnsi="仿宋" w:cs="宋体" w:hint="eastAsia"/>
          <w:kern w:val="0"/>
          <w:sz w:val="24"/>
          <w:szCs w:val="24"/>
        </w:rPr>
        <w:t>政策、持仓情况、损益情况、风险指标、估值方法等，并充分揭示股票期权交易对本基金总体风险的影响以及是否符合既定的</w:t>
      </w:r>
      <w:r>
        <w:rPr>
          <w:rFonts w:ascii="仿宋" w:eastAsia="仿宋" w:hAnsi="仿宋" w:cs="宋体" w:hint="eastAsia"/>
          <w:kern w:val="0"/>
          <w:sz w:val="24"/>
          <w:szCs w:val="24"/>
        </w:rPr>
        <w:t>交易</w:t>
      </w:r>
      <w:r w:rsidRPr="00F11DCC">
        <w:rPr>
          <w:rFonts w:ascii="仿宋" w:eastAsia="仿宋" w:hAnsi="仿宋" w:cs="宋体" w:hint="eastAsia"/>
          <w:kern w:val="0"/>
          <w:sz w:val="24"/>
          <w:szCs w:val="24"/>
        </w:rPr>
        <w:t>政策和</w:t>
      </w:r>
      <w:r>
        <w:rPr>
          <w:rFonts w:ascii="仿宋" w:eastAsia="仿宋" w:hAnsi="仿宋" w:cs="宋体" w:hint="eastAsia"/>
          <w:kern w:val="0"/>
          <w:sz w:val="24"/>
          <w:szCs w:val="24"/>
        </w:rPr>
        <w:t>交易</w:t>
      </w:r>
      <w:r w:rsidRPr="00F11DCC">
        <w:rPr>
          <w:rFonts w:ascii="仿宋" w:eastAsia="仿宋" w:hAnsi="仿宋" w:cs="宋体" w:hint="eastAsia"/>
          <w:kern w:val="0"/>
          <w:sz w:val="24"/>
          <w:szCs w:val="24"/>
        </w:rPr>
        <w:t>目标。</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kern w:val="0"/>
          <w:sz w:val="24"/>
          <w:szCs w:val="24"/>
        </w:rPr>
        <w:t>（十二）</w:t>
      </w:r>
      <w:r>
        <w:rPr>
          <w:rFonts w:ascii="仿宋" w:eastAsia="仿宋" w:hAnsi="仿宋" w:cs="宋体" w:hint="eastAsia"/>
          <w:bCs/>
          <w:kern w:val="0"/>
          <w:sz w:val="24"/>
          <w:szCs w:val="24"/>
        </w:rPr>
        <w:t>基金管理人应在基金</w:t>
      </w:r>
      <w:r>
        <w:rPr>
          <w:rFonts w:ascii="仿宋" w:eastAsia="仿宋" w:hAnsi="仿宋" w:cs="宋体" w:hint="eastAsia"/>
          <w:kern w:val="0"/>
          <w:sz w:val="24"/>
          <w:szCs w:val="24"/>
        </w:rPr>
        <w:t>中期报告、年度报告</w:t>
      </w:r>
      <w:r>
        <w:rPr>
          <w:rFonts w:ascii="仿宋" w:eastAsia="仿宋" w:hAnsi="仿宋" w:cs="宋体" w:hint="eastAsia"/>
          <w:bCs/>
          <w:kern w:val="0"/>
          <w:sz w:val="24"/>
          <w:szCs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（十三）基金应当在季度报告、中期报告、年度报告等定期报告和招募说明书（更新）等文件中披露本基金参与港股通交易的相关情况。</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（十四）</w:t>
      </w:r>
      <w:r>
        <w:rPr>
          <w:rFonts w:ascii="仿宋" w:eastAsia="仿宋" w:hAnsi="仿宋" w:cs="宋体"/>
          <w:bCs/>
          <w:kern w:val="0"/>
          <w:sz w:val="24"/>
          <w:szCs w:val="24"/>
        </w:rPr>
        <w:t>基金管理</w:t>
      </w:r>
      <w:r>
        <w:rPr>
          <w:rFonts w:ascii="仿宋" w:eastAsia="仿宋" w:hAnsi="仿宋" w:cs="宋体" w:hint="eastAsia"/>
          <w:bCs/>
          <w:kern w:val="0"/>
          <w:sz w:val="24"/>
          <w:szCs w:val="24"/>
        </w:rPr>
        <w:t>人</w:t>
      </w:r>
      <w:r>
        <w:rPr>
          <w:rFonts w:ascii="仿宋" w:eastAsia="仿宋" w:hAnsi="仿宋" w:cs="宋体"/>
          <w:bCs/>
          <w:kern w:val="0"/>
          <w:sz w:val="24"/>
          <w:szCs w:val="24"/>
        </w:rPr>
        <w:t>应在基金投资非公开发行股票后两个交易日内, 在中国证监会规定媒介披露所投资非公开发行股票的名称、数量、总成本、账面价值, 以及总成本和账面价值占基金资产净值的比例、锁定期等信息。</w:t>
      </w:r>
    </w:p>
    <w:p w:rsidR="00E45E2B"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（十五）基金管理人应当在季度报告、中期报告、年度报告等定期报告和招募说明书（更新）等文件中披露</w:t>
      </w:r>
      <w:r w:rsidRPr="0014161D">
        <w:rPr>
          <w:rFonts w:ascii="仿宋" w:eastAsia="仿宋" w:hAnsi="仿宋" w:cs="宋体" w:hint="eastAsia"/>
          <w:bCs/>
          <w:kern w:val="0"/>
          <w:sz w:val="24"/>
          <w:szCs w:val="24"/>
        </w:rPr>
        <w:t>本基金参与融资业务情况，包括投资策略、业务开展情况、损益情况、风险及其管理情况等。</w:t>
      </w:r>
    </w:p>
    <w:p w:rsidR="00E45E2B" w:rsidRPr="00AD7D05"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sidRPr="00AD7D05">
        <w:rPr>
          <w:rFonts w:ascii="仿宋" w:eastAsia="仿宋" w:hAnsi="仿宋" w:cs="宋体" w:hint="eastAsia"/>
          <w:bCs/>
          <w:kern w:val="0"/>
          <w:sz w:val="24"/>
          <w:szCs w:val="24"/>
        </w:rPr>
        <w:t>（十</w:t>
      </w:r>
      <w:r>
        <w:rPr>
          <w:rFonts w:ascii="仿宋" w:eastAsia="仿宋" w:hAnsi="仿宋" w:cs="宋体" w:hint="eastAsia"/>
          <w:bCs/>
          <w:kern w:val="0"/>
          <w:sz w:val="24"/>
          <w:szCs w:val="24"/>
        </w:rPr>
        <w:t>六</w:t>
      </w:r>
      <w:r w:rsidRPr="00AD7D05">
        <w:rPr>
          <w:rFonts w:ascii="仿宋" w:eastAsia="仿宋" w:hAnsi="仿宋" w:cs="宋体" w:hint="eastAsia"/>
          <w:bCs/>
          <w:kern w:val="0"/>
          <w:sz w:val="24"/>
          <w:szCs w:val="24"/>
        </w:rPr>
        <w:t>）信用衍生品的投资情况</w:t>
      </w:r>
    </w:p>
    <w:p w:rsidR="00E45E2B"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sidRPr="00AD7D05">
        <w:rPr>
          <w:rFonts w:ascii="仿宋" w:eastAsia="仿宋" w:hAnsi="仿宋" w:cs="宋体" w:hint="eastAsia"/>
          <w:bCs/>
          <w:kern w:val="0"/>
          <w:sz w:val="24"/>
          <w:szCs w:val="24"/>
        </w:rPr>
        <w:t>基金管理人应当在定期报告和招募说明书（更新）等文件中详细披露信用衍生品的投资情况，包括投资策略、持仓情况等，并充分揭示投资信用衍生品对基金总体风险的影响，以及是否符合既定的投资目标及策略。</w:t>
      </w:r>
    </w:p>
    <w:p w:rsidR="00E45E2B" w:rsidRPr="0014161D"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w:t>
      </w:r>
      <w:r>
        <w:rPr>
          <w:rFonts w:ascii="仿宋" w:eastAsia="仿宋" w:hAnsi="仿宋" w:cs="宋体" w:hint="eastAsia"/>
          <w:kern w:val="0"/>
          <w:sz w:val="24"/>
          <w:szCs w:val="24"/>
        </w:rPr>
        <w:t>七</w:t>
      </w:r>
      <w:r>
        <w:rPr>
          <w:rFonts w:ascii="仿宋" w:eastAsia="仿宋" w:hAnsi="仿宋" w:cs="宋体" w:hint="eastAsia"/>
          <w:bCs/>
          <w:kern w:val="0"/>
          <w:sz w:val="24"/>
          <w:szCs w:val="24"/>
        </w:rPr>
        <w:t>）</w:t>
      </w:r>
      <w:r w:rsidRPr="0014161D">
        <w:rPr>
          <w:rFonts w:ascii="仿宋" w:eastAsia="仿宋" w:hAnsi="仿宋" w:cs="宋体" w:hint="eastAsia"/>
          <w:bCs/>
          <w:kern w:val="0"/>
          <w:sz w:val="24"/>
          <w:szCs w:val="24"/>
        </w:rPr>
        <w:t>实施侧袋机制期间的信息披露</w:t>
      </w:r>
    </w:p>
    <w:p w:rsidR="00E45E2B" w:rsidRPr="0014161D"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sidRPr="0014161D">
        <w:rPr>
          <w:rFonts w:ascii="仿宋" w:eastAsia="仿宋" w:hAnsi="仿宋" w:cs="宋体" w:hint="eastAsia"/>
          <w:bCs/>
          <w:kern w:val="0"/>
          <w:sz w:val="24"/>
          <w:szCs w:val="24"/>
        </w:rPr>
        <w:t>本基金实施侧袋机制的，相关信息披露义务人应当根据法律法规、基金合同和招募说明书的规定进行信息披露，详见招募说明书的规定。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（十八）中国证监会规定的其他信息。</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六、信息披露事务管理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基金管理人、基金托管人应当建立健全信息披露管理制度，指定专门部门及高级管理人员负责管理信息披露事务。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基金信息披露义务人公开披露基金信息，应当符合中国证监会相关基金信息披露内容与格式准则等法规的规定。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9" w:name="OLE_LINK8"/>
      <w:r>
        <w:rPr>
          <w:rFonts w:ascii="仿宋" w:eastAsia="仿宋" w:hAnsi="仿宋" w:cs="宋体" w:hint="eastAsia"/>
          <w:kern w:val="0"/>
          <w:sz w:val="24"/>
          <w:szCs w:val="24"/>
        </w:rPr>
        <w:t>基金管理人、基金托管人应当在规定报刊中选择一家报刊披露本基金信息。基金管理人、基金托管人应当向中国证监会基金电子披露网站报送拟披露的基金信息，并保证相关报送信息的真实、准确、完整、及时</w:t>
      </w:r>
      <w:bookmarkEnd w:id="209"/>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4161D">
        <w:rPr>
          <w:rFonts w:ascii="仿宋" w:eastAsia="仿宋" w:hAnsi="仿宋" w:cs="宋体" w:hint="eastAsia"/>
          <w:kern w:val="0"/>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为基金信息披露义务人公开披露的基金信息出具审计报告、法律意见书的专业机构，应当制作工作底稿，并将相关档案至少保存到《基金合同》终止后10年。</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七、信息披露文件的存放与查阅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10" w:name="OLE_LINK12"/>
      <w:bookmarkStart w:id="211" w:name="OLE_LINK10"/>
      <w:r>
        <w:rPr>
          <w:rFonts w:ascii="仿宋" w:eastAsia="仿宋" w:hAnsi="仿宋" w:cs="宋体" w:hint="eastAsia"/>
          <w:kern w:val="0"/>
          <w:sz w:val="24"/>
          <w:szCs w:val="24"/>
        </w:rPr>
        <w:t>依法必须披露的信息发布后，基金管理人、基金托管人应当按照相关法律法规规定将信息置备于各自住所，供社会公众查阅、复制</w:t>
      </w:r>
      <w:bookmarkEnd w:id="210"/>
      <w:r>
        <w:rPr>
          <w:rFonts w:ascii="仿宋" w:eastAsia="仿宋" w:hAnsi="仿宋" w:cs="宋体" w:hint="eastAsia"/>
          <w:kern w:val="0"/>
          <w:sz w:val="24"/>
          <w:szCs w:val="24"/>
        </w:rPr>
        <w:t>。</w:t>
      </w:r>
      <w:bookmarkEnd w:id="211"/>
    </w:p>
    <w:p w:rsidR="00E45E2B" w:rsidRPr="002F6703"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212" w:name="_Toc459291257"/>
      <w:r w:rsidRPr="002F6703">
        <w:rPr>
          <w:rFonts w:ascii="仿宋" w:eastAsia="仿宋" w:hAnsi="仿宋" w:cs="宋体" w:hint="eastAsia"/>
          <w:b/>
          <w:kern w:val="0"/>
          <w:sz w:val="24"/>
          <w:szCs w:val="24"/>
        </w:rPr>
        <w:t>八、当出现下述情况时，可暂停或延迟披露基金相关信息：</w:t>
      </w:r>
    </w:p>
    <w:p w:rsidR="00E45E2B" w:rsidRPr="002F6703"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F6703">
        <w:rPr>
          <w:rFonts w:ascii="仿宋" w:eastAsia="仿宋" w:hAnsi="仿宋" w:cs="宋体" w:hint="eastAsia"/>
          <w:kern w:val="0"/>
          <w:sz w:val="24"/>
          <w:szCs w:val="24"/>
        </w:rPr>
        <w:t>1、不可抗力；</w:t>
      </w:r>
    </w:p>
    <w:p w:rsidR="00E45E2B" w:rsidRPr="002F6703"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F6703">
        <w:rPr>
          <w:rFonts w:ascii="仿宋" w:eastAsia="仿宋" w:hAnsi="仿宋" w:cs="宋体" w:hint="eastAsia"/>
          <w:kern w:val="0"/>
          <w:sz w:val="24"/>
          <w:szCs w:val="24"/>
        </w:rPr>
        <w:t>2、发生暂停估值的情形；</w:t>
      </w:r>
    </w:p>
    <w:p w:rsidR="00E45E2B" w:rsidRPr="002F6703"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F6703">
        <w:rPr>
          <w:rFonts w:ascii="仿宋" w:eastAsia="仿宋" w:hAnsi="仿宋" w:cs="宋体" w:hint="eastAsia"/>
          <w:kern w:val="0"/>
          <w:sz w:val="24"/>
          <w:szCs w:val="24"/>
        </w:rPr>
        <w:t>3、法律法规、基金合同或中国证监会规定的</w:t>
      </w:r>
      <w:r>
        <w:rPr>
          <w:rFonts w:ascii="仿宋" w:eastAsia="仿宋" w:hAnsi="仿宋" w:cs="宋体" w:hint="eastAsia"/>
          <w:kern w:val="0"/>
          <w:sz w:val="24"/>
          <w:szCs w:val="24"/>
        </w:rPr>
        <w:t>其他</w:t>
      </w:r>
      <w:r w:rsidRPr="002F6703">
        <w:rPr>
          <w:rFonts w:ascii="仿宋" w:eastAsia="仿宋" w:hAnsi="仿宋" w:cs="宋体" w:hint="eastAsia"/>
          <w:kern w:val="0"/>
          <w:sz w:val="24"/>
          <w:szCs w:val="24"/>
        </w:rPr>
        <w:t>情况。</w:t>
      </w:r>
    </w:p>
    <w:p w:rsidR="00E45E2B" w:rsidRDefault="00E45E2B" w:rsidP="004F6C89">
      <w:pPr>
        <w:pStyle w:val="1"/>
        <w:spacing w:line="360" w:lineRule="auto"/>
        <w:jc w:val="center"/>
        <w:rPr>
          <w:kern w:val="0"/>
        </w:rPr>
      </w:pPr>
      <w:r w:rsidRPr="00AF382F">
        <w:rPr>
          <w:b w:val="0"/>
          <w:kern w:val="0"/>
        </w:rPr>
        <w:br w:type="page"/>
      </w:r>
      <w:bookmarkStart w:id="213" w:name="_Toc377998634"/>
      <w:bookmarkStart w:id="214" w:name="_Toc169163879"/>
      <w:r w:rsidRPr="004F6C89">
        <w:rPr>
          <w:rFonts w:eastAsia="仿宋" w:hint="eastAsia"/>
          <w:sz w:val="30"/>
          <w:szCs w:val="30"/>
          <w:lang w:val="zh-CN"/>
        </w:rPr>
        <w:t>第十九部分</w:t>
      </w:r>
      <w:r w:rsidRPr="004F6C89">
        <w:rPr>
          <w:rFonts w:eastAsia="仿宋" w:hint="eastAsia"/>
          <w:sz w:val="30"/>
          <w:szCs w:val="30"/>
          <w:lang w:val="zh-CN"/>
        </w:rPr>
        <w:t xml:space="preserve">    </w:t>
      </w:r>
      <w:r w:rsidRPr="004F6C89">
        <w:rPr>
          <w:rFonts w:eastAsia="仿宋" w:hint="eastAsia"/>
          <w:sz w:val="30"/>
          <w:szCs w:val="30"/>
          <w:lang w:val="zh-CN"/>
        </w:rPr>
        <w:t>基金合同的变更、终止与基金财产的清算</w:t>
      </w:r>
      <w:bookmarkEnd w:id="212"/>
      <w:bookmarkEnd w:id="213"/>
      <w:bookmarkEnd w:id="214"/>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215" w:name="_Toc79392639"/>
      <w:r>
        <w:rPr>
          <w:rFonts w:ascii="仿宋" w:eastAsia="仿宋" w:hAnsi="仿宋" w:cs="宋体" w:hint="eastAsia"/>
          <w:b/>
          <w:bCs/>
          <w:kern w:val="0"/>
          <w:sz w:val="24"/>
          <w:szCs w:val="24"/>
        </w:rPr>
        <w:t>一、《基金合同》的变更</w:t>
      </w:r>
      <w:bookmarkEnd w:id="21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kern w:val="0"/>
          <w:sz w:val="24"/>
          <w:szCs w:val="24"/>
        </w:rPr>
        <w:t>1、变更基金合同</w:t>
      </w:r>
      <w:r>
        <w:rPr>
          <w:rFonts w:ascii="仿宋" w:eastAsia="仿宋" w:hAnsi="仿宋" w:cs="宋体" w:hint="eastAsia"/>
          <w:kern w:val="0"/>
          <w:sz w:val="24"/>
          <w:szCs w:val="24"/>
        </w:rPr>
        <w:t>涉及</w:t>
      </w:r>
      <w:r>
        <w:rPr>
          <w:rFonts w:ascii="仿宋" w:eastAsia="仿宋" w:hAnsi="仿宋" w:cs="宋体"/>
          <w:kern w:val="0"/>
          <w:sz w:val="24"/>
          <w:szCs w:val="24"/>
        </w:rPr>
        <w:t>法律法规规定或本</w:t>
      </w:r>
      <w:r>
        <w:rPr>
          <w:rFonts w:ascii="仿宋" w:eastAsia="仿宋" w:hAnsi="仿宋" w:cs="宋体" w:hint="eastAsia"/>
          <w:kern w:val="0"/>
          <w:sz w:val="24"/>
          <w:szCs w:val="24"/>
        </w:rPr>
        <w:t>基金</w:t>
      </w:r>
      <w:r>
        <w:rPr>
          <w:rFonts w:ascii="仿宋" w:eastAsia="仿宋" w:hAnsi="仿宋" w:cs="宋体"/>
          <w:kern w:val="0"/>
          <w:sz w:val="24"/>
          <w:szCs w:val="24"/>
        </w:rPr>
        <w:t>合同约定应经基金份额持有人大会决议通过的事项的，应召开基金份额持有人大会决议通过。对于</w:t>
      </w:r>
      <w:r w:rsidRPr="001B517C">
        <w:rPr>
          <w:rFonts w:ascii="仿宋" w:eastAsia="仿宋" w:hAnsi="仿宋" w:cs="宋体" w:hint="eastAsia"/>
          <w:kern w:val="0"/>
          <w:sz w:val="24"/>
          <w:szCs w:val="24"/>
        </w:rPr>
        <w:t>法律法规规定和基金合同约定</w:t>
      </w:r>
      <w:r>
        <w:rPr>
          <w:rFonts w:ascii="仿宋" w:eastAsia="仿宋" w:hAnsi="仿宋" w:cs="宋体"/>
          <w:kern w:val="0"/>
          <w:sz w:val="24"/>
          <w:szCs w:val="24"/>
        </w:rPr>
        <w:t>可不经基金份额持有人大会决议通过的事项，由基金管理人和基金托管人同意后变更并公告。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、关于《基金合同》变更的基金份额持有人大会决议自生效后方可执行，自决议生效后</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二、《基金合同》的终止事由</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有下列情形之一的</w:t>
      </w:r>
      <w:r w:rsidRPr="001B517C">
        <w:rPr>
          <w:rFonts w:ascii="仿宋" w:eastAsia="仿宋" w:hAnsi="仿宋" w:cs="宋体" w:hint="eastAsia"/>
          <w:kern w:val="0"/>
          <w:sz w:val="24"/>
          <w:szCs w:val="24"/>
        </w:rPr>
        <w:t>，经履行相关程序后</w:t>
      </w:r>
      <w:r>
        <w:rPr>
          <w:rFonts w:ascii="仿宋" w:eastAsia="仿宋" w:hAnsi="仿宋" w:cs="宋体" w:hint="eastAsia"/>
          <w:kern w:val="0"/>
          <w:sz w:val="24"/>
          <w:szCs w:val="24"/>
        </w:rPr>
        <w:t>，《基金合同》应当终止：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1、基金份额持有人大会决定终止的；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2、基金管理人、基金托管人职责终止，在</w:t>
      </w:r>
      <w:r>
        <w:rPr>
          <w:rFonts w:ascii="仿宋" w:eastAsia="仿宋" w:hAnsi="仿宋" w:cs="宋体"/>
          <w:kern w:val="0"/>
          <w:sz w:val="24"/>
          <w:szCs w:val="24"/>
        </w:rPr>
        <w:t>6</w:t>
      </w:r>
      <w:r>
        <w:rPr>
          <w:rFonts w:ascii="仿宋" w:eastAsia="仿宋" w:hAnsi="仿宋" w:cs="宋体" w:hint="eastAsia"/>
          <w:kern w:val="0"/>
          <w:sz w:val="24"/>
          <w:szCs w:val="24"/>
        </w:rPr>
        <w:t>个月内没有新基金管理人、新基金托管人承接的；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3、《基金合同》约定的其他情形；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4、相关法律法规和中国证监会规定的其他情况。</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三、基金财产的清算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、基金财产清算小组：自出现《基金合同》终止事由之日起</w:t>
      </w:r>
      <w:r>
        <w:rPr>
          <w:rFonts w:ascii="仿宋" w:eastAsia="仿宋" w:hAnsi="仿宋" w:cs="宋体"/>
          <w:kern w:val="0"/>
          <w:sz w:val="24"/>
          <w:szCs w:val="24"/>
        </w:rPr>
        <w:t>30</w:t>
      </w:r>
      <w:r>
        <w:rPr>
          <w:rFonts w:ascii="仿宋" w:eastAsia="仿宋" w:hAnsi="仿宋" w:cs="宋体" w:hint="eastAsia"/>
          <w:kern w:val="0"/>
          <w:sz w:val="24"/>
          <w:szCs w:val="24"/>
        </w:rPr>
        <w:t>个工作日内成立清算小组，基金管理人组织基金财产清算小组并在中国证监会的监督下进行基金清算。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、基金财产清算小组组成：基金财产清算小组成员由基金管理人、基金托管人、</w:t>
      </w:r>
      <w:r w:rsidRPr="001B517C">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的注册会计师、律师以及中国证监会指定的人员组成。基金财产清算小组可以聘用必要的工作人员。</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、基金财产清算小组职责：基金财产清算小组负责基金财产的保管、清理、估价、变现和分配。基金财产清算小组可以依法进行必要的民事活动。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、基金财产清算程序：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）《基金合同》终止情形出现时，由基金财产清算小组统一接管基金；</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）对基金财产和债权债务进行清理和确认；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）对基金财产进行估值和变现；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）制作清算报告；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）聘请会计师事务所对清算报告进行外部审计，聘请律师事务所对清算报告出具法律意见书；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）将清算报告报中国证监会备案并公告；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）对基金剩余财产进行分配。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、基金财产清算的期限为</w:t>
      </w:r>
      <w:r>
        <w:rPr>
          <w:rFonts w:ascii="仿宋" w:eastAsia="仿宋" w:hAnsi="仿宋" w:cs="宋体"/>
          <w:kern w:val="0"/>
          <w:sz w:val="24"/>
          <w:szCs w:val="24"/>
        </w:rPr>
        <w:t>6</w:t>
      </w:r>
      <w:r>
        <w:rPr>
          <w:rFonts w:ascii="仿宋" w:eastAsia="仿宋" w:hAnsi="仿宋" w:cs="宋体" w:hint="eastAsia"/>
          <w:kern w:val="0"/>
          <w:sz w:val="24"/>
          <w:szCs w:val="24"/>
        </w:rPr>
        <w:t>个月</w:t>
      </w:r>
      <w:r w:rsidRPr="00F4560D">
        <w:rPr>
          <w:rFonts w:ascii="仿宋" w:eastAsia="仿宋" w:hAnsi="仿宋" w:cs="宋体" w:hint="eastAsia"/>
          <w:kern w:val="0"/>
          <w:sz w:val="24"/>
          <w:szCs w:val="24"/>
        </w:rPr>
        <w:t>，但因本基金所持证券的流动性受到限制而不能及时变现的，清算期限相应顺延</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四、清算费用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清算费用是指基金财产清算小组在进行基金财产清算过程中发生的所有合理费用，清算费用由基金财产清算小组优先从基金剩余财产中支付。</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五、基金财产清算剩余资产的分配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六、基金财产清算的公告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清算过程中的有关重大事项须及时公告；基金财产清算报告经</w:t>
      </w:r>
      <w:r w:rsidRPr="00F4560D">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的会计师事务所审计并由律师事务所出具法律意见书后报中国证监会备案并公告。基金财产清算公告于基金财产清算报告报中国证监会备案后</w:t>
      </w:r>
      <w:r>
        <w:rPr>
          <w:rFonts w:ascii="仿宋" w:eastAsia="仿宋" w:hAnsi="仿宋" w:cs="宋体"/>
          <w:kern w:val="0"/>
          <w:sz w:val="24"/>
          <w:szCs w:val="24"/>
        </w:rPr>
        <w:t>5</w:t>
      </w:r>
      <w:r>
        <w:rPr>
          <w:rFonts w:ascii="仿宋" w:eastAsia="仿宋" w:hAnsi="仿宋" w:cs="宋体" w:hint="eastAsia"/>
          <w:kern w:val="0"/>
          <w:sz w:val="24"/>
          <w:szCs w:val="24"/>
        </w:rPr>
        <w:t>个工作日内由基金财产清算小组进行公告</w:t>
      </w:r>
      <w:bookmarkStart w:id="216" w:name="OLE_LINK13"/>
      <w:r>
        <w:rPr>
          <w:rFonts w:ascii="仿宋" w:eastAsia="仿宋" w:hAnsi="仿宋" w:cs="宋体" w:hint="eastAsia"/>
          <w:kern w:val="0"/>
          <w:sz w:val="24"/>
          <w:szCs w:val="24"/>
        </w:rPr>
        <w:t>，基金财产清算小组应当将清算报告登载在规定网站上，并将清算报告提示性公告登载在规定报刊上</w:t>
      </w:r>
      <w:bookmarkEnd w:id="216"/>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217" w:name="OLE_LINK27"/>
      <w:r>
        <w:rPr>
          <w:rFonts w:ascii="仿宋" w:eastAsia="仿宋" w:hAnsi="仿宋" w:cs="宋体" w:hint="eastAsia"/>
          <w:b/>
          <w:bCs/>
          <w:kern w:val="0"/>
          <w:sz w:val="24"/>
          <w:szCs w:val="24"/>
        </w:rPr>
        <w:t>七、基金财产清算账册及文件的保存</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基金财产清算账册及有关文件由基金托管人保存</w:t>
      </w:r>
      <w:bookmarkEnd w:id="217"/>
      <w:r>
        <w:rPr>
          <w:rFonts w:ascii="仿宋" w:eastAsia="仿宋" w:hAnsi="仿宋" w:cs="宋体" w:hint="eastAsia"/>
          <w:kern w:val="0"/>
          <w:sz w:val="24"/>
          <w:szCs w:val="24"/>
        </w:rPr>
        <w:t>，保存期限不少于法定最低期限。</w:t>
      </w: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bookmarkStart w:id="218" w:name="_Toc48649720"/>
      <w:bookmarkStart w:id="219" w:name="_Toc123102467"/>
      <w:bookmarkStart w:id="220" w:name="_Toc98560365"/>
      <w:bookmarkStart w:id="221" w:name="_Toc123112248"/>
      <w:bookmarkStart w:id="222" w:name="_Toc79392641"/>
      <w:bookmarkStart w:id="223" w:name="_Toc123051466"/>
      <w:r>
        <w:rPr>
          <w:kern w:val="0"/>
        </w:rPr>
        <w:br w:type="page"/>
      </w:r>
      <w:bookmarkStart w:id="224" w:name="_Toc9708"/>
      <w:bookmarkStart w:id="225" w:name="_Toc7367"/>
      <w:bookmarkStart w:id="226" w:name="_Toc23166"/>
      <w:bookmarkStart w:id="227" w:name="_Toc13398"/>
      <w:bookmarkStart w:id="228" w:name="_Toc12191"/>
      <w:bookmarkStart w:id="229" w:name="_Toc139991750"/>
      <w:bookmarkStart w:id="230" w:name="_Toc8710"/>
      <w:bookmarkStart w:id="231" w:name="_Toc21240"/>
      <w:bookmarkStart w:id="232" w:name="_Toc377998635"/>
      <w:bookmarkStart w:id="233" w:name="_Toc23022"/>
      <w:bookmarkStart w:id="234" w:name="_Toc30645"/>
      <w:bookmarkStart w:id="235" w:name="_Toc141703901"/>
      <w:bookmarkStart w:id="236" w:name="_Toc28549"/>
      <w:bookmarkStart w:id="237" w:name="_Toc27058"/>
      <w:bookmarkStart w:id="238" w:name="_Toc459291258"/>
      <w:bookmarkStart w:id="239" w:name="_Toc169163880"/>
      <w:r w:rsidRPr="004F6C89">
        <w:rPr>
          <w:rFonts w:eastAsia="仿宋" w:hint="eastAsia"/>
          <w:sz w:val="30"/>
          <w:szCs w:val="30"/>
          <w:lang w:val="zh-CN"/>
        </w:rPr>
        <w:t>第二十部分</w:t>
      </w:r>
      <w:r w:rsidRPr="004F6C89">
        <w:rPr>
          <w:rFonts w:eastAsia="仿宋" w:hint="eastAsia"/>
          <w:sz w:val="30"/>
          <w:szCs w:val="30"/>
          <w:lang w:val="zh-CN"/>
        </w:rPr>
        <w:t xml:space="preserve">    </w:t>
      </w:r>
      <w:r w:rsidRPr="004F6C89">
        <w:rPr>
          <w:rFonts w:eastAsia="仿宋" w:hint="eastAsia"/>
          <w:sz w:val="30"/>
          <w:szCs w:val="30"/>
          <w:lang w:val="zh-CN"/>
        </w:rPr>
        <w:t>违约责任</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E45E2B" w:rsidRPr="00AF382F" w:rsidRDefault="00E45E2B" w:rsidP="00E45E2B">
      <w:pPr>
        <w:pStyle w:val="Default"/>
        <w:spacing w:line="360" w:lineRule="auto"/>
        <w:ind w:firstLine="420"/>
        <w:rPr>
          <w:rFonts w:ascii="仿宋" w:eastAsia="仿宋" w:hAnsi="仿宋"/>
          <w:color w:val="auto"/>
        </w:rPr>
      </w:pPr>
      <w:r w:rsidRPr="00AF382F">
        <w:rPr>
          <w:rFonts w:ascii="仿宋" w:eastAsia="仿宋" w:hAnsi="仿宋" w:hint="eastAsia"/>
          <w:color w:val="auto"/>
        </w:rPr>
        <w:t>一、基金管理人、基金托管人在履行各自职责的过程中，违反《基金法》</w:t>
      </w:r>
      <w:r>
        <w:rPr>
          <w:rFonts w:ascii="仿宋" w:eastAsia="仿宋" w:hAnsi="仿宋" w:hint="eastAsia"/>
          <w:color w:val="auto"/>
        </w:rPr>
        <w:t>等法律法规的</w:t>
      </w:r>
      <w:r w:rsidRPr="00AF382F">
        <w:rPr>
          <w:rFonts w:ascii="仿宋" w:eastAsia="仿宋" w:hAnsi="仿宋" w:hint="eastAsia"/>
          <w:color w:val="auto"/>
        </w:rPr>
        <w:t>规定或者</w:t>
      </w:r>
      <w:r>
        <w:rPr>
          <w:rFonts w:ascii="仿宋" w:eastAsia="仿宋" w:hAnsi="仿宋" w:hint="eastAsia"/>
          <w:color w:val="auto"/>
        </w:rPr>
        <w:t>《基金合同》</w:t>
      </w:r>
      <w:r w:rsidRPr="00AF382F">
        <w:rPr>
          <w:rFonts w:ascii="仿宋" w:eastAsia="仿宋" w:hAnsi="仿宋" w:hint="eastAsia"/>
          <w:color w:val="auto"/>
        </w:rPr>
        <w:t>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rsidR="00E45E2B" w:rsidRPr="00AF382F" w:rsidRDefault="00E45E2B" w:rsidP="00E45E2B">
      <w:pPr>
        <w:pStyle w:val="Default"/>
        <w:spacing w:line="360" w:lineRule="auto"/>
        <w:ind w:firstLine="420"/>
        <w:rPr>
          <w:rFonts w:ascii="仿宋" w:eastAsia="仿宋" w:hAnsi="仿宋"/>
          <w:color w:val="auto"/>
        </w:rPr>
      </w:pPr>
      <w:r w:rsidRPr="00AF382F">
        <w:rPr>
          <w:rFonts w:ascii="仿宋" w:eastAsia="仿宋" w:hAnsi="仿宋"/>
          <w:color w:val="auto"/>
        </w:rPr>
        <w:t>1.不可抗力；</w:t>
      </w:r>
    </w:p>
    <w:p w:rsidR="00E45E2B" w:rsidRPr="00AF382F" w:rsidRDefault="00E45E2B" w:rsidP="00E45E2B">
      <w:pPr>
        <w:pStyle w:val="Default"/>
        <w:spacing w:line="360" w:lineRule="auto"/>
        <w:ind w:firstLine="420"/>
        <w:rPr>
          <w:rFonts w:ascii="仿宋" w:eastAsia="仿宋" w:hAnsi="仿宋"/>
          <w:color w:val="auto"/>
        </w:rPr>
      </w:pPr>
      <w:r w:rsidRPr="00AF382F">
        <w:rPr>
          <w:rFonts w:ascii="仿宋" w:eastAsia="仿宋" w:hAnsi="仿宋"/>
          <w:color w:val="auto"/>
        </w:rPr>
        <w:t>2.基金管理人和/或基金托管人按照当时有效的法律法规或中国证监会</w:t>
      </w:r>
      <w:r>
        <w:rPr>
          <w:rFonts w:ascii="仿宋" w:eastAsia="仿宋" w:hAnsi="仿宋" w:hint="eastAsia"/>
          <w:color w:val="auto"/>
        </w:rPr>
        <w:t>等监管机构</w:t>
      </w:r>
      <w:r w:rsidRPr="00AF382F">
        <w:rPr>
          <w:rFonts w:ascii="仿宋" w:eastAsia="仿宋" w:hAnsi="仿宋" w:hint="eastAsia"/>
          <w:color w:val="auto"/>
        </w:rPr>
        <w:t>的规定作为或不作为而造成的损失等；</w:t>
      </w:r>
    </w:p>
    <w:p w:rsidR="00E45E2B" w:rsidRPr="00D94913" w:rsidRDefault="00E45E2B" w:rsidP="00E45E2B">
      <w:pPr>
        <w:pStyle w:val="Default"/>
        <w:spacing w:line="360" w:lineRule="auto"/>
        <w:ind w:firstLine="420"/>
        <w:jc w:val="both"/>
        <w:rPr>
          <w:rFonts w:ascii="仿宋" w:eastAsia="仿宋" w:hAnsi="仿宋"/>
          <w:color w:val="auto"/>
        </w:rPr>
      </w:pPr>
      <w:r w:rsidRPr="00AF382F">
        <w:rPr>
          <w:rFonts w:ascii="仿宋" w:eastAsia="仿宋" w:hAnsi="仿宋"/>
          <w:color w:val="auto"/>
        </w:rPr>
        <w:t>3.基金管理人由于按照基金合同规定的投资原则行使或不行使投资权造成的损失等。</w:t>
      </w:r>
    </w:p>
    <w:p w:rsidR="00E45E2B" w:rsidRPr="00AF382F" w:rsidRDefault="00E45E2B" w:rsidP="00E45E2B">
      <w:pPr>
        <w:pStyle w:val="Default"/>
        <w:spacing w:before="140" w:after="140" w:line="360" w:lineRule="auto"/>
        <w:ind w:firstLine="420"/>
        <w:rPr>
          <w:rFonts w:ascii="仿宋" w:eastAsia="仿宋" w:hAnsi="仿宋"/>
          <w:color w:val="auto"/>
        </w:rPr>
      </w:pPr>
      <w:r w:rsidRPr="00AF382F">
        <w:rPr>
          <w:rFonts w:ascii="仿宋" w:eastAsia="仿宋" w:hAnsi="仿宋" w:hint="eastAsia"/>
          <w:color w:val="auto"/>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45E2B" w:rsidRPr="00AF382F"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AF382F">
        <w:rPr>
          <w:rFonts w:ascii="仿宋" w:eastAsia="仿宋" w:hAnsi="仿宋" w:cs="宋体" w:hint="eastAsia"/>
          <w:kern w:val="0"/>
          <w:sz w:val="24"/>
          <w:szCs w:val="24"/>
        </w:rPr>
        <w:t>三、由于基金管理人、基金托管人不可控制的因素导致业务出现差错，基金管理人和基金托管人虽然已经采取必要、适当、合理的措施进行检查，但是未能发现错误</w:t>
      </w:r>
      <w:r w:rsidRPr="00151C4B">
        <w:rPr>
          <w:rFonts w:ascii="仿宋" w:eastAsia="仿宋" w:hAnsi="仿宋" w:cs="宋体" w:hint="eastAsia"/>
          <w:kern w:val="0"/>
          <w:sz w:val="24"/>
          <w:szCs w:val="24"/>
        </w:rPr>
        <w:t>或因前述原因未能避免或更正错误</w:t>
      </w:r>
      <w:r w:rsidRPr="00AF382F">
        <w:rPr>
          <w:rFonts w:ascii="仿宋" w:eastAsia="仿宋" w:hAnsi="仿宋" w:cs="宋体" w:hint="eastAsia"/>
          <w:kern w:val="0"/>
          <w:sz w:val="24"/>
          <w:szCs w:val="24"/>
        </w:rPr>
        <w:t>的，由此造成基金财产或投资人损失，基金管理人和基金托管人免除赔偿责任。但是基金管理人和基金托管人应积极采取必要的措施消除或减轻由此造成的影响。</w:t>
      </w: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r>
        <w:rPr>
          <w:kern w:val="0"/>
        </w:rPr>
        <w:br w:type="page"/>
      </w:r>
      <w:bookmarkStart w:id="240" w:name="_Toc377998636"/>
      <w:bookmarkStart w:id="241" w:name="_Toc459291259"/>
      <w:bookmarkStart w:id="242" w:name="_Toc169163881"/>
      <w:r w:rsidRPr="004F6C89">
        <w:rPr>
          <w:rFonts w:eastAsia="仿宋" w:hint="eastAsia"/>
          <w:sz w:val="30"/>
          <w:szCs w:val="30"/>
          <w:lang w:val="zh-CN"/>
        </w:rPr>
        <w:t>第二十一部分</w:t>
      </w:r>
      <w:r w:rsidRPr="004F6C89">
        <w:rPr>
          <w:rFonts w:eastAsia="仿宋" w:hint="eastAsia"/>
          <w:sz w:val="30"/>
          <w:szCs w:val="30"/>
          <w:lang w:val="zh-CN"/>
        </w:rPr>
        <w:t xml:space="preserve">    </w:t>
      </w:r>
      <w:r w:rsidRPr="004F6C89">
        <w:rPr>
          <w:rFonts w:eastAsia="仿宋" w:hint="eastAsia"/>
          <w:sz w:val="30"/>
          <w:szCs w:val="30"/>
          <w:lang w:val="zh-CN"/>
        </w:rPr>
        <w:t>争议的处理和适用的法律</w:t>
      </w:r>
      <w:bookmarkEnd w:id="240"/>
      <w:bookmarkEnd w:id="241"/>
      <w:bookmarkEnd w:id="24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各方当事人同意，因《基金合同》而产生的或与《基金合同》有关的一切争议，如经友好协商、调解未能解决的，应提交</w:t>
      </w:r>
      <w:r w:rsidRPr="000F1DBA">
        <w:rPr>
          <w:rFonts w:ascii="仿宋" w:eastAsia="仿宋" w:hAnsi="仿宋" w:cs="宋体" w:hint="eastAsia"/>
          <w:kern w:val="0"/>
          <w:sz w:val="24"/>
          <w:szCs w:val="24"/>
        </w:rPr>
        <w:t>上海国际经济贸易仲裁委员会</w:t>
      </w:r>
      <w:r>
        <w:rPr>
          <w:rFonts w:ascii="仿宋" w:eastAsia="仿宋" w:hAnsi="仿宋" w:cs="宋体" w:hint="eastAsia"/>
          <w:kern w:val="0"/>
          <w:sz w:val="24"/>
          <w:szCs w:val="24"/>
        </w:rPr>
        <w:t>根据该会当时有效的仲裁规则进行仲裁，仲裁地点为上海市，仲裁裁决是终局性的并对各方当事人具有约束力，除非仲裁裁决另有决定，仲裁费由败诉方承担。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争议处理期间，基金合同当事人应恪守各自的职责，各自继续忠实、勤勉、尽责地履行基金合同规定的义务，维护基金份额持有人的合法权益。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6F66A3">
        <w:rPr>
          <w:rFonts w:ascii="仿宋" w:eastAsia="仿宋" w:hAnsi="仿宋" w:cs="宋体" w:hint="eastAsia"/>
          <w:kern w:val="0"/>
          <w:sz w:val="24"/>
          <w:szCs w:val="24"/>
        </w:rPr>
        <w:t>《基金合同》</w:t>
      </w:r>
      <w:r w:rsidRPr="004B54FB">
        <w:rPr>
          <w:rFonts w:ascii="仿宋" w:eastAsia="仿宋" w:hAnsi="仿宋" w:cs="宋体" w:hint="eastAsia"/>
          <w:kern w:val="0"/>
          <w:sz w:val="24"/>
          <w:szCs w:val="24"/>
        </w:rPr>
        <w:t>受中华人民共和国法律</w:t>
      </w:r>
      <w:r w:rsidRPr="006F66A3">
        <w:rPr>
          <w:rFonts w:ascii="仿宋" w:eastAsia="仿宋" w:hAnsi="仿宋" w:cs="宋体" w:hint="eastAsia"/>
          <w:kern w:val="0"/>
          <w:sz w:val="24"/>
          <w:szCs w:val="24"/>
        </w:rPr>
        <w:t>（为《基金合同》之目的，</w:t>
      </w:r>
      <w:r>
        <w:rPr>
          <w:rFonts w:ascii="仿宋" w:eastAsia="仿宋" w:hAnsi="仿宋" w:cs="宋体" w:hint="eastAsia"/>
          <w:kern w:val="0"/>
          <w:sz w:val="24"/>
          <w:szCs w:val="24"/>
        </w:rPr>
        <w:t>在此</w:t>
      </w:r>
      <w:r w:rsidRPr="006F66A3">
        <w:rPr>
          <w:rFonts w:ascii="仿宋" w:eastAsia="仿宋" w:hAnsi="仿宋" w:cs="宋体" w:hint="eastAsia"/>
          <w:kern w:val="0"/>
          <w:sz w:val="24"/>
          <w:szCs w:val="24"/>
        </w:rPr>
        <w:t>不包括香港特别行政区、澳门特别行政区和台湾地区法律）管辖，</w:t>
      </w:r>
      <w:r>
        <w:rPr>
          <w:rFonts w:ascii="仿宋" w:eastAsia="仿宋" w:hAnsi="仿宋" w:cs="宋体" w:hint="eastAsia"/>
          <w:kern w:val="0"/>
          <w:sz w:val="24"/>
          <w:szCs w:val="24"/>
        </w:rPr>
        <w:t>并从其解释。</w:t>
      </w:r>
    </w:p>
    <w:p w:rsidR="00E45E2B" w:rsidRPr="004B54F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r>
        <w:rPr>
          <w:kern w:val="0"/>
        </w:rPr>
        <w:br w:type="page"/>
      </w:r>
      <w:bookmarkStart w:id="243" w:name="_Toc377998637"/>
      <w:bookmarkStart w:id="244" w:name="_Toc459291260"/>
      <w:bookmarkStart w:id="245" w:name="_Toc169163882"/>
      <w:r w:rsidRPr="004F6C89">
        <w:rPr>
          <w:rFonts w:eastAsia="仿宋" w:hint="eastAsia"/>
          <w:sz w:val="30"/>
          <w:szCs w:val="30"/>
          <w:lang w:val="zh-CN"/>
        </w:rPr>
        <w:t>第二十二部分</w:t>
      </w:r>
      <w:r w:rsidRPr="00B91502">
        <w:rPr>
          <w:rFonts w:eastAsia="仿宋" w:hint="eastAsia"/>
          <w:sz w:val="30"/>
          <w:szCs w:val="30"/>
        </w:rPr>
        <w:t xml:space="preserve">    </w:t>
      </w:r>
      <w:r w:rsidRPr="004F6C89">
        <w:rPr>
          <w:rFonts w:eastAsia="仿宋" w:hint="eastAsia"/>
          <w:sz w:val="30"/>
          <w:szCs w:val="30"/>
          <w:lang w:val="zh-CN"/>
        </w:rPr>
        <w:t>基金合同的效力</w:t>
      </w:r>
      <w:bookmarkEnd w:id="243"/>
      <w:bookmarkEnd w:id="244"/>
      <w:bookmarkEnd w:id="24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《基金合同》是约定基金合同当事人之间权利义务关系的法律文件。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、《基金合同》经基金管理人、基金托管人双方</w:t>
      </w:r>
      <w:r w:rsidRPr="006F66A3">
        <w:rPr>
          <w:rFonts w:ascii="仿宋" w:eastAsia="仿宋" w:hAnsi="仿宋" w:cs="宋体" w:hint="eastAsia"/>
          <w:kern w:val="0"/>
          <w:sz w:val="24"/>
          <w:szCs w:val="24"/>
        </w:rPr>
        <w:t>加盖公章</w:t>
      </w:r>
      <w:r>
        <w:rPr>
          <w:rFonts w:ascii="仿宋" w:eastAsia="仿宋" w:hAnsi="仿宋" w:cs="宋体" w:hint="eastAsia"/>
          <w:kern w:val="0"/>
          <w:sz w:val="24"/>
          <w:szCs w:val="24"/>
        </w:rPr>
        <w:t>、</w:t>
      </w:r>
      <w:r w:rsidRPr="006F66A3">
        <w:rPr>
          <w:rFonts w:ascii="仿宋" w:eastAsia="仿宋" w:hAnsi="仿宋" w:cs="宋体" w:hint="eastAsia"/>
          <w:kern w:val="0"/>
          <w:sz w:val="24"/>
          <w:szCs w:val="24"/>
        </w:rPr>
        <w:t>合同专用章</w:t>
      </w:r>
      <w:r>
        <w:rPr>
          <w:rFonts w:ascii="仿宋" w:eastAsia="仿宋" w:hAnsi="仿宋" w:cs="宋体" w:hint="eastAsia"/>
          <w:kern w:val="0"/>
          <w:sz w:val="24"/>
          <w:szCs w:val="24"/>
        </w:rPr>
        <w:t>或</w:t>
      </w:r>
      <w:r w:rsidRPr="00313836">
        <w:rPr>
          <w:rFonts w:ascii="仿宋" w:eastAsia="仿宋" w:hAnsi="仿宋" w:cs="宋体" w:hint="eastAsia"/>
          <w:kern w:val="0"/>
          <w:sz w:val="24"/>
          <w:szCs w:val="24"/>
        </w:rPr>
        <w:t>经授权的</w:t>
      </w:r>
      <w:r>
        <w:rPr>
          <w:rFonts w:ascii="仿宋" w:eastAsia="仿宋" w:hAnsi="仿宋" w:cs="宋体" w:hint="eastAsia"/>
          <w:kern w:val="0"/>
          <w:sz w:val="24"/>
          <w:szCs w:val="24"/>
        </w:rPr>
        <w:t>业务专用章以及双方法定代表人或授权代表签字或盖章，</w:t>
      </w:r>
      <w:r w:rsidRPr="000F4F48">
        <w:rPr>
          <w:rFonts w:ascii="仿宋" w:eastAsia="仿宋" w:hAnsi="仿宋" w:cs="宋体" w:hint="eastAsia"/>
          <w:kern w:val="0"/>
          <w:sz w:val="24"/>
          <w:szCs w:val="24"/>
        </w:rPr>
        <w:t>经 202</w:t>
      </w:r>
      <w:r>
        <w:rPr>
          <w:rFonts w:ascii="仿宋" w:eastAsia="仿宋" w:hAnsi="仿宋" w:cs="宋体" w:hint="eastAsia"/>
          <w:kern w:val="0"/>
          <w:sz w:val="24"/>
          <w:szCs w:val="24"/>
        </w:rPr>
        <w:t>x</w:t>
      </w:r>
      <w:r w:rsidRPr="000F4F48">
        <w:rPr>
          <w:rFonts w:ascii="仿宋" w:eastAsia="仿宋" w:hAnsi="仿宋" w:cs="宋体" w:hint="eastAsia"/>
          <w:kern w:val="0"/>
          <w:sz w:val="24"/>
          <w:szCs w:val="24"/>
        </w:rPr>
        <w:t xml:space="preserve"> 年 xx 月 xx 日</w:t>
      </w:r>
      <w:r>
        <w:rPr>
          <w:rFonts w:ascii="仿宋" w:eastAsia="仿宋" w:hAnsi="仿宋" w:cs="宋体" w:hint="eastAsia"/>
          <w:kern w:val="0"/>
          <w:sz w:val="24"/>
          <w:szCs w:val="24"/>
        </w:rPr>
        <w:t>东方红恒阳五年</w:t>
      </w:r>
      <w:r w:rsidRPr="000F4F48">
        <w:rPr>
          <w:rFonts w:ascii="仿宋" w:eastAsia="仿宋" w:hAnsi="仿宋" w:cs="宋体" w:hint="eastAsia"/>
          <w:kern w:val="0"/>
          <w:sz w:val="24"/>
          <w:szCs w:val="24"/>
        </w:rPr>
        <w:t>定期开放混合型证券投资基金基金份额持有人大会决议通过，并报中国证监会备案。自 202</w:t>
      </w:r>
      <w:r>
        <w:rPr>
          <w:rFonts w:ascii="仿宋" w:eastAsia="仿宋" w:hAnsi="仿宋" w:cs="宋体"/>
          <w:kern w:val="0"/>
          <w:sz w:val="24"/>
          <w:szCs w:val="24"/>
        </w:rPr>
        <w:t>X</w:t>
      </w:r>
      <w:r w:rsidRPr="000F4F48">
        <w:rPr>
          <w:rFonts w:ascii="仿宋" w:eastAsia="仿宋" w:hAnsi="仿宋" w:cs="宋体" w:hint="eastAsia"/>
          <w:kern w:val="0"/>
          <w:sz w:val="24"/>
          <w:szCs w:val="24"/>
        </w:rPr>
        <w:t xml:space="preserve"> 年 xx 月 xx 日起，《基金合同》生效，原《</w:t>
      </w:r>
      <w:r>
        <w:rPr>
          <w:rFonts w:ascii="仿宋" w:eastAsia="仿宋" w:hAnsi="仿宋" w:cs="宋体" w:hint="eastAsia"/>
          <w:kern w:val="0"/>
          <w:sz w:val="24"/>
          <w:szCs w:val="24"/>
        </w:rPr>
        <w:t>东方红恒阳五年</w:t>
      </w:r>
      <w:r w:rsidRPr="000F4F48">
        <w:rPr>
          <w:rFonts w:ascii="仿宋" w:eastAsia="仿宋" w:hAnsi="仿宋" w:cs="宋体" w:hint="eastAsia"/>
          <w:kern w:val="0"/>
          <w:sz w:val="24"/>
          <w:szCs w:val="24"/>
        </w:rPr>
        <w:t>定期开放混合型证券投资基金基金合同》自同日起失效</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、《基金合同》的有效期自其生效之日起至基金财产清算结果报中国证监会备案并公告之日止。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、《基金合同》自生效之日起对包括基金管理人、基金托管人和基金份额持有人在内的《基金合同》各方当事人具有同等的法律约束力。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、《基金合同》正本</w:t>
      </w:r>
      <w:r w:rsidRPr="00812F97">
        <w:rPr>
          <w:rFonts w:ascii="仿宋" w:eastAsia="仿宋" w:hAnsi="仿宋" w:cs="宋体" w:hint="eastAsia"/>
          <w:kern w:val="0"/>
          <w:sz w:val="24"/>
          <w:szCs w:val="24"/>
        </w:rPr>
        <w:t>一式贰份</w:t>
      </w:r>
      <w:r>
        <w:rPr>
          <w:rFonts w:ascii="仿宋" w:eastAsia="仿宋" w:hAnsi="仿宋" w:cs="宋体" w:hint="eastAsia"/>
          <w:kern w:val="0"/>
          <w:sz w:val="24"/>
          <w:szCs w:val="24"/>
        </w:rPr>
        <w:t>，基金管理人、基金托管人各持有一份，每份具有同等的法律效力。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、《基金合同》可印制成册，供投资者在基金管理人、基金托管人、销售机构的办公场所和营业场所查阅。</w:t>
      </w:r>
    </w:p>
    <w:p w:rsidR="00E45E2B" w:rsidRDefault="00E45E2B" w:rsidP="00E45E2B">
      <w:pPr>
        <w:autoSpaceDE w:val="0"/>
        <w:autoSpaceDN w:val="0"/>
        <w:adjustRightInd w:val="0"/>
        <w:spacing w:line="360" w:lineRule="auto"/>
        <w:jc w:val="left"/>
        <w:rPr>
          <w:rFonts w:ascii="仿宋" w:eastAsia="仿宋" w:hAnsi="仿宋" w:cs="宋体"/>
          <w:kern w:val="0"/>
          <w:sz w:val="18"/>
          <w:szCs w:val="18"/>
        </w:rPr>
      </w:pPr>
    </w:p>
    <w:p w:rsidR="00E45E2B" w:rsidRDefault="00E45E2B" w:rsidP="00E45E2B">
      <w:pPr>
        <w:widowControl/>
        <w:jc w:val="left"/>
        <w:rPr>
          <w:rFonts w:ascii="仿宋" w:eastAsia="仿宋" w:hAnsi="仿宋" w:cs="宋体"/>
          <w:kern w:val="0"/>
          <w:sz w:val="18"/>
          <w:szCs w:val="18"/>
        </w:rPr>
      </w:pPr>
      <w:r>
        <w:rPr>
          <w:rFonts w:ascii="仿宋" w:eastAsia="仿宋" w:hAnsi="仿宋" w:cs="宋体"/>
          <w:kern w:val="0"/>
          <w:sz w:val="18"/>
          <w:szCs w:val="18"/>
        </w:rPr>
        <w:br w:type="page"/>
      </w:r>
    </w:p>
    <w:p w:rsidR="00E45E2B" w:rsidRPr="004F6C89" w:rsidRDefault="00E45E2B" w:rsidP="004F6C89">
      <w:pPr>
        <w:pStyle w:val="1"/>
        <w:spacing w:line="360" w:lineRule="auto"/>
        <w:jc w:val="center"/>
        <w:rPr>
          <w:rFonts w:eastAsia="仿宋"/>
          <w:sz w:val="30"/>
          <w:szCs w:val="30"/>
          <w:lang w:val="zh-CN"/>
        </w:rPr>
      </w:pPr>
      <w:bookmarkStart w:id="246" w:name="_Toc377998638"/>
      <w:bookmarkStart w:id="247" w:name="_Toc459291261"/>
      <w:bookmarkStart w:id="248" w:name="_Toc169163883"/>
      <w:r w:rsidRPr="004F6C89">
        <w:rPr>
          <w:rFonts w:eastAsia="仿宋" w:hint="eastAsia"/>
          <w:sz w:val="30"/>
          <w:szCs w:val="30"/>
          <w:lang w:val="zh-CN"/>
        </w:rPr>
        <w:t>第二十三部分</w:t>
      </w:r>
      <w:r w:rsidRPr="004F6C89">
        <w:rPr>
          <w:rFonts w:eastAsia="仿宋" w:hint="eastAsia"/>
          <w:sz w:val="30"/>
          <w:szCs w:val="30"/>
          <w:lang w:val="zh-CN"/>
        </w:rPr>
        <w:t xml:space="preserve">    </w:t>
      </w:r>
      <w:r w:rsidRPr="004F6C89">
        <w:rPr>
          <w:rFonts w:eastAsia="仿宋" w:hint="eastAsia"/>
          <w:sz w:val="30"/>
          <w:szCs w:val="30"/>
          <w:lang w:val="zh-CN"/>
        </w:rPr>
        <w:t>其他事项</w:t>
      </w:r>
      <w:bookmarkEnd w:id="246"/>
      <w:bookmarkEnd w:id="247"/>
      <w:bookmarkEnd w:id="24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《基金合同》如有未尽事宜，由《基金合同》当事人各方按有关法律法规协商解决。</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972372">
      <w:pPr>
        <w:pStyle w:val="1"/>
        <w:spacing w:line="360" w:lineRule="auto"/>
        <w:jc w:val="center"/>
        <w:rPr>
          <w:kern w:val="0"/>
        </w:rPr>
      </w:pPr>
      <w:r>
        <w:rPr>
          <w:rFonts w:ascii="仿宋" w:hAnsi="仿宋" w:cs="宋体"/>
          <w:b w:val="0"/>
          <w:bCs w:val="0"/>
          <w:kern w:val="0"/>
        </w:rPr>
        <w:br w:type="page"/>
      </w:r>
      <w:bookmarkStart w:id="249" w:name="_Toc459291262"/>
      <w:bookmarkStart w:id="250" w:name="_Toc169163884"/>
      <w:bookmarkStart w:id="251" w:name="_Toc408903631"/>
      <w:bookmarkStart w:id="252" w:name="_Toc405988097"/>
      <w:r w:rsidRPr="00972372">
        <w:rPr>
          <w:rFonts w:eastAsia="仿宋" w:hint="eastAsia"/>
          <w:sz w:val="30"/>
          <w:szCs w:val="30"/>
          <w:lang w:val="zh-CN"/>
        </w:rPr>
        <w:t>第二十四部分</w:t>
      </w:r>
      <w:r w:rsidRPr="00972372">
        <w:rPr>
          <w:rFonts w:eastAsia="仿宋" w:hint="eastAsia"/>
          <w:sz w:val="30"/>
          <w:szCs w:val="30"/>
          <w:lang w:val="zh-CN"/>
        </w:rPr>
        <w:t xml:space="preserve">    </w:t>
      </w:r>
      <w:r w:rsidRPr="00972372">
        <w:rPr>
          <w:rFonts w:eastAsia="仿宋" w:hint="eastAsia"/>
          <w:sz w:val="30"/>
          <w:szCs w:val="30"/>
          <w:lang w:val="zh-CN"/>
        </w:rPr>
        <w:t>基金合同内容摘要</w:t>
      </w:r>
      <w:bookmarkEnd w:id="249"/>
      <w:bookmarkEnd w:id="250"/>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53" w:name="_Toc459291263"/>
      <w:bookmarkStart w:id="254" w:name="_Toc149132963"/>
      <w:bookmarkStart w:id="255" w:name="_Toc169163885"/>
      <w:r>
        <w:rPr>
          <w:rFonts w:ascii="仿宋" w:eastAsia="仿宋" w:hAnsi="仿宋" w:cs="SimSun,Bold" w:hint="eastAsia"/>
          <w:b/>
          <w:bCs/>
          <w:color w:val="000000"/>
          <w:kern w:val="0"/>
          <w:sz w:val="24"/>
          <w:szCs w:val="24"/>
        </w:rPr>
        <w:t>（一）基金份额持有人、基金管理人和基金托管人的权利、义务</w:t>
      </w:r>
      <w:bookmarkEnd w:id="251"/>
      <w:bookmarkEnd w:id="252"/>
      <w:bookmarkEnd w:id="253"/>
      <w:bookmarkEnd w:id="254"/>
      <w:bookmarkEnd w:id="25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、基金管理人的权利与义务</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D778F0">
        <w:rPr>
          <w:rFonts w:ascii="仿宋" w:eastAsia="仿宋" w:hAnsi="仿宋" w:cs="SimSun,Bold" w:hint="eastAsia"/>
          <w:bCs/>
          <w:color w:val="000000"/>
          <w:kern w:val="0"/>
          <w:sz w:val="24"/>
          <w:szCs w:val="24"/>
        </w:rPr>
        <w:t>根据《基金法》、《运作办法》及其他有关规定，基金管理人的权利包括但不限于：</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1）依法募集资金；</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2）自《基金合同》生效之日起，根据法律法规和《基金合同》独立运用并管理基金财产；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3）依照《基金合同》收取基金管理费以及法律法规规定或中国证监会批准的其他费用；</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4）销售基金份额；</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5）按照规定召集基金份额持有人大会；</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6）依据《基金合同》及有关法律规定监督基金托管人，如认为基金托管人违反了《基金合同》及国家有关法律规定，应呈报中国证监会和其他监管部门，并采取必要措施保护基金投资者的利益；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7）在基金托管人更换时，提名新的基金托管人；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8）选择、委托、更换基金销售机构，对基金销售机构的相关行为进行监督和处理；</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9）担任或委托其他符合条件的机构担任基金登记机构办理基金登记业务并获得《基金合同》规定的费用；</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10）依据《基金合同》及有关法律规定决定基金收益的分配方案；</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11）在《基金合同》约定的范围内，拒绝或暂停受理申购与赎回申请；</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12）依照法律法规为基金的利益对被投资公司行使股东权利，为基金的利益行使因基金财产投资于证券所产生的权利；</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13）在法律法规允许的前提下，为基金的利益依法为基金进行融资；</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14）以基金管理人的名义，代表基金份额持有人的利益行使诉讼权利或者实施其他法律行为；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15）选择、更换律师事务所、会计师事务所、证券、期货经纪商或其他为基金提供服务的外部机构；</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16）在符合有关法律、法规的前提下，制订和调整有关基金申购、赎回、转换等的业务规则；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17）法律法规及中国证监会</w:t>
      </w:r>
      <w:r>
        <w:rPr>
          <w:rFonts w:ascii="仿宋" w:eastAsia="仿宋" w:hAnsi="仿宋" w:cs="SimSun,Bold" w:hint="eastAsia"/>
          <w:bCs/>
          <w:color w:val="000000"/>
          <w:kern w:val="0"/>
          <w:sz w:val="24"/>
          <w:szCs w:val="24"/>
        </w:rPr>
        <w:t>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）根据《基金法》、《运作办法》及其他有关规定，基金管理人的义务包括但不限于：</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1）依法募集资金，办理或者委托经中国证监会认定的其他机构代为办理基金份额的申购、赎回和登记事宜；</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2）办理基金备案手续；</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3）自《基金合同》生效之日起,以诚实信用、谨慎勤勉的原则管理和运用基金财产；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4）配备足够的具有专业资格的人员进行基金投资分析、决策，以专业化的经营方式管理和运作基金财产；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5）建立健全内部风险控制、监察与稽核、财务管理及人事管理等制度，保证所管理的基金财产和基金管理人的财产相互独立，对所管理的不同基金分别管理，分别记账，进行证券投资；</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6）除依据《基金法》、《基金合同》及其他有关规定外,不得利用基金财产为自己及任何第三人谋取利益，不得委托第三人运作基金财产；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7）依法接受基金托管人的监督；</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8）采取适当合理的措施使计算基金份额申购、赎回和注销价格的方法符合《基金合同》等法律文件的规定，按有关规定计算并公告基金净值信息，确定基金份额申购、赎回的价格；</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9）进行基金会计核算并编制基金财务会计报告；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10）编制季度报告、中期报告和年度报告；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11）严格按照《基金法》、《基金合同》及其他有关规定，履行信息披露及报告义务；</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12）保守基金商业秘密，不泄露基金投资计划、投资意向等。除《基金法》、《基金合同》及其他有关规定另有规定外，在基金信息公开披露前应予保密，不向他人泄露，向监管机构、司法机关等有权机关及审计、法律等外部专业顾问提供的情况除外；</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13）按《基金合同》的约定确定基金收益分配方案，及时向基金份额持有人分配基金收益；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14）按规定受理申购与赎回申请，及时、足额支付赎回款项；</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15）依据《基金法》、《基金合同》及其他有关规定召集基金份额持有人大会或配合基金托管人、基金份额持有人依法召集基金份额持有人大会；</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16）按规定保存基金财产管理业务活动的会计账册、报表、记录和其他相关资料不少于法定最低期限；</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18）组织并参加基金财产清算小组，参与基金财产的保管、清理、估价、变现和分配；</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19）面临解散、依法被撤销或者被依法宣告破产时，及时报告中国证监会并通知基金托管人；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20）因违反《基金合同》导致基金财产的损失或损害基金份额持有人合法权益时，应当承担赔偿责任，其赔偿责任不因其退任而免除；</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21）监督基金托管人按法律法规和《基金合同》规定履行自己的义务，基金托管人违反《基金合同》造成基金财产损失时，基金管理人应为基金份额持有人利益向基金托管人追偿；</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23）以基金管理人名义，代表基金份额持有人利益行使诉讼权利或实施其他法律行为；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24）执行生效的基金份额持有人大会的决议；</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25）建立并保存基金份额持有人名册；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26</w:t>
      </w:r>
      <w:r>
        <w:rPr>
          <w:rFonts w:ascii="仿宋" w:eastAsia="仿宋" w:hAnsi="仿宋" w:cs="SimSun,Bold" w:hint="eastAsia"/>
          <w:bCs/>
          <w:color w:val="000000"/>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、基金托管人的权利与义务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）根据《基金法》、《运作办法》及其他有关规定，基金托管人的权利包括但不限于：</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1）自《基金合同》生效之日起，依法律法规和《基金合同》的规定安全保管基金财产；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2）依《基金合同》约定获得基金托管费以及法律法规规定或监管部门批准的其他费用；</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4）根据相关市场规则，为基金开设资金账户</w:t>
      </w:r>
      <w:r>
        <w:rPr>
          <w:rFonts w:ascii="仿宋" w:eastAsia="仿宋" w:hAnsi="仿宋" w:cs="SimSun,Bold" w:hint="eastAsia"/>
          <w:bCs/>
          <w:color w:val="000000"/>
          <w:kern w:val="0"/>
          <w:sz w:val="24"/>
          <w:szCs w:val="24"/>
        </w:rPr>
        <w:t>、</w:t>
      </w:r>
      <w:r w:rsidRPr="00D778F0">
        <w:rPr>
          <w:rFonts w:ascii="仿宋" w:eastAsia="仿宋" w:hAnsi="仿宋" w:cs="SimSun,Bold" w:hint="eastAsia"/>
          <w:bCs/>
          <w:color w:val="000000"/>
          <w:kern w:val="0"/>
          <w:sz w:val="24"/>
          <w:szCs w:val="24"/>
        </w:rPr>
        <w:t>证券账户</w:t>
      </w:r>
      <w:r w:rsidRPr="00EE2336">
        <w:rPr>
          <w:rFonts w:ascii="仿宋" w:eastAsia="仿宋" w:hAnsi="仿宋" w:cs="SimSun,Bold" w:hint="eastAsia"/>
          <w:bCs/>
          <w:color w:val="000000"/>
          <w:kern w:val="0"/>
          <w:sz w:val="24"/>
          <w:szCs w:val="24"/>
        </w:rPr>
        <w:t>、期货结算账户</w:t>
      </w:r>
      <w:r w:rsidRPr="00D778F0">
        <w:rPr>
          <w:rFonts w:ascii="仿宋" w:eastAsia="仿宋" w:hAnsi="仿宋" w:cs="SimSun,Bold" w:hint="eastAsia"/>
          <w:bCs/>
          <w:color w:val="000000"/>
          <w:kern w:val="0"/>
          <w:sz w:val="24"/>
          <w:szCs w:val="24"/>
        </w:rPr>
        <w:t>等投资所需账户，为基金办理证券、期货交易资金清算；</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5）以基金的名义在中央国债登记结算有限责任公司和银行间市场清算所股份有限公司开设银行间债券托管账户；</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6）提议召开或召集基金份额持有人大会；</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7）在基金管理人更换时，提名新的基金管理人；</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8）法律法规及中国证监会规定的和《基金合同》约定的其他权利。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）根据《基金法》、《运作办法》及其他有关规定，基金托管人的义务包括但不限于：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）以诚实信用、勤勉尽责的原则持有并安全保管基金财产；</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）设立专门的基金托管部门，具有符合要求的营业场所，配备足够的、合格的熟悉基金托管业务的专职人员，负责基金财产托管事宜；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）除依据《基金法》、《基金合同》及其他有关规定外，不得利用基金财产为自己及任何第三人谋取利益，不得委托第三人托管基金财产；</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）保管由基金管理人代表基金签订的与基金有关的重大合同及有关凭证；</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）按规定开设基金财产的资金账户、证券账户</w:t>
      </w:r>
      <w:r w:rsidRPr="00EE2336">
        <w:rPr>
          <w:rFonts w:ascii="仿宋" w:eastAsia="仿宋" w:hAnsi="仿宋" w:cs="SimSun,Bold" w:hint="eastAsia"/>
          <w:bCs/>
          <w:color w:val="000000"/>
          <w:kern w:val="0"/>
          <w:sz w:val="24"/>
          <w:szCs w:val="24"/>
        </w:rPr>
        <w:t>、期货结算账户</w:t>
      </w:r>
      <w:r>
        <w:rPr>
          <w:rFonts w:ascii="仿宋" w:eastAsia="仿宋" w:hAnsi="仿宋" w:cs="SimSun,Bold" w:hint="eastAsia"/>
          <w:bCs/>
          <w:color w:val="000000"/>
          <w:kern w:val="0"/>
          <w:sz w:val="24"/>
          <w:szCs w:val="24"/>
        </w:rPr>
        <w:t>等投资所需账户</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按照《基金合同》的约定，根据基金管理人的投资指令，及时办理清算、交割事宜；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）保守基金商业秘密，除《基金法》、《基金合同》及其他有关规定另有规定外，在基金信息公开披露前予以保密，不得向他人泄露</w:t>
      </w:r>
      <w:r w:rsidRPr="00D778F0">
        <w:rPr>
          <w:rFonts w:ascii="仿宋" w:eastAsia="仿宋" w:hAnsi="仿宋" w:cs="SimSun,Bold" w:hint="eastAsia"/>
          <w:bCs/>
          <w:color w:val="000000"/>
          <w:kern w:val="0"/>
          <w:sz w:val="24"/>
          <w:szCs w:val="24"/>
        </w:rPr>
        <w:t>，向监管机构、司法机关等有权机关及审计、法律等外部专业顾问提供的情况除外</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）复核、审查基金管理人计算的基金资产净值、基金份额净值、基金份额申购、赎回价格；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）办理与基金托管业务活动有关的信息披露事项；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10</w:t>
      </w:r>
      <w:r>
        <w:rPr>
          <w:rFonts w:ascii="仿宋" w:eastAsia="仿宋" w:hAnsi="仿宋" w:cs="SimSun,Bold" w:hint="eastAsia"/>
          <w:bCs/>
          <w:color w:val="000000"/>
          <w:kern w:val="0"/>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11</w:t>
      </w:r>
      <w:r>
        <w:rPr>
          <w:rFonts w:ascii="仿宋" w:eastAsia="仿宋" w:hAnsi="仿宋" w:cs="SimSun,Bold" w:hint="eastAsia"/>
          <w:bCs/>
          <w:color w:val="000000"/>
          <w:kern w:val="0"/>
          <w:sz w:val="24"/>
          <w:szCs w:val="24"/>
        </w:rPr>
        <w:t>）保存基金托管业务活动的记录、账册、报表和其他相关资料</w:t>
      </w:r>
      <w:r w:rsidRPr="00754452">
        <w:rPr>
          <w:rFonts w:ascii="仿宋" w:eastAsia="仿宋" w:hAnsi="仿宋" w:cs="SimSun,Bold" w:hint="eastAsia"/>
          <w:bCs/>
          <w:color w:val="000000"/>
          <w:kern w:val="0"/>
          <w:sz w:val="24"/>
          <w:szCs w:val="24"/>
        </w:rPr>
        <w:t>不少于法定最低期限</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12</w:t>
      </w:r>
      <w:r>
        <w:rPr>
          <w:rFonts w:ascii="仿宋" w:eastAsia="仿宋" w:hAnsi="仿宋" w:cs="SimSun,Bold" w:hint="eastAsia"/>
          <w:bCs/>
          <w:color w:val="000000"/>
          <w:kern w:val="0"/>
          <w:sz w:val="24"/>
          <w:szCs w:val="24"/>
        </w:rPr>
        <w:t>）</w:t>
      </w:r>
      <w:r w:rsidRPr="00830B82">
        <w:rPr>
          <w:rFonts w:ascii="仿宋" w:eastAsia="仿宋" w:hAnsi="仿宋" w:cs="SimSun,Bold" w:hint="eastAsia"/>
          <w:bCs/>
          <w:color w:val="000000"/>
          <w:kern w:val="0"/>
          <w:sz w:val="24"/>
          <w:szCs w:val="24"/>
        </w:rPr>
        <w:t>从基金管理人或其委托的登记机构处接收并</w:t>
      </w:r>
      <w:r>
        <w:rPr>
          <w:rFonts w:ascii="仿宋" w:eastAsia="仿宋" w:hAnsi="仿宋" w:cs="SimSun,Bold" w:hint="eastAsia"/>
          <w:bCs/>
          <w:color w:val="000000"/>
          <w:kern w:val="0"/>
          <w:sz w:val="24"/>
          <w:szCs w:val="24"/>
        </w:rPr>
        <w:t>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13</w:t>
      </w:r>
      <w:r>
        <w:rPr>
          <w:rFonts w:ascii="仿宋" w:eastAsia="仿宋" w:hAnsi="仿宋" w:cs="SimSun,Bold" w:hint="eastAsia"/>
          <w:bCs/>
          <w:color w:val="000000"/>
          <w:kern w:val="0"/>
          <w:sz w:val="24"/>
          <w:szCs w:val="24"/>
        </w:rPr>
        <w:t>）按规定制作相关账册并与基金管理人核对；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14</w:t>
      </w:r>
      <w:r>
        <w:rPr>
          <w:rFonts w:ascii="仿宋" w:eastAsia="仿宋" w:hAnsi="仿宋" w:cs="SimSun,Bold" w:hint="eastAsia"/>
          <w:bCs/>
          <w:color w:val="000000"/>
          <w:kern w:val="0"/>
          <w:sz w:val="24"/>
          <w:szCs w:val="24"/>
        </w:rPr>
        <w:t>）依据基金管理人的指令或有关规定向基金份额持有人支付基金收益和赎回款项；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15</w:t>
      </w:r>
      <w:r>
        <w:rPr>
          <w:rFonts w:ascii="仿宋" w:eastAsia="仿宋" w:hAnsi="仿宋" w:cs="SimSun,Bold" w:hint="eastAsia"/>
          <w:bCs/>
          <w:color w:val="000000"/>
          <w:kern w:val="0"/>
          <w:sz w:val="24"/>
          <w:szCs w:val="24"/>
        </w:rPr>
        <w:t>）依据《基金法》、《基金合同》及其他有关规定召集基金份额持有人大会或配合基金管理人、基金份额持有人依法召集基金份额持有人大会；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16</w:t>
      </w:r>
      <w:r>
        <w:rPr>
          <w:rFonts w:ascii="仿宋" w:eastAsia="仿宋" w:hAnsi="仿宋" w:cs="SimSun,Bold" w:hint="eastAsia"/>
          <w:bCs/>
          <w:color w:val="000000"/>
          <w:kern w:val="0"/>
          <w:sz w:val="24"/>
          <w:szCs w:val="24"/>
        </w:rPr>
        <w:t>）按照法律法规和《基金合同》的规定监督基金管理人的投资运作；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17</w:t>
      </w:r>
      <w:r>
        <w:rPr>
          <w:rFonts w:ascii="仿宋" w:eastAsia="仿宋" w:hAnsi="仿宋" w:cs="SimSun,Bold" w:hint="eastAsia"/>
          <w:bCs/>
          <w:color w:val="000000"/>
          <w:kern w:val="0"/>
          <w:sz w:val="24"/>
          <w:szCs w:val="24"/>
        </w:rPr>
        <w:t>）参加基金财产清算小组，参与基金财产的保管、清理、估价、变现和分配；</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18</w:t>
      </w:r>
      <w:r>
        <w:rPr>
          <w:rFonts w:ascii="仿宋" w:eastAsia="仿宋" w:hAnsi="仿宋" w:cs="SimSun,Bold" w:hint="eastAsia"/>
          <w:bCs/>
          <w:color w:val="000000"/>
          <w:kern w:val="0"/>
          <w:sz w:val="24"/>
          <w:szCs w:val="24"/>
        </w:rPr>
        <w:t>）面临解散、依法被撤销或者被依法宣告破产时，及时报告中国证监会和银行业监督管理机构，并通知基金管理人；</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19</w:t>
      </w:r>
      <w:r>
        <w:rPr>
          <w:rFonts w:ascii="仿宋" w:eastAsia="仿宋" w:hAnsi="仿宋" w:cs="SimSun,Bold" w:hint="eastAsia"/>
          <w:bCs/>
          <w:color w:val="000000"/>
          <w:kern w:val="0"/>
          <w:sz w:val="24"/>
          <w:szCs w:val="24"/>
        </w:rPr>
        <w:t>）因违反《基金合同》导致基金财产损失时，应承担赔偿责任，其赔偿责任不因其退任而免除；</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20</w:t>
      </w:r>
      <w:r>
        <w:rPr>
          <w:rFonts w:ascii="仿宋" w:eastAsia="仿宋" w:hAnsi="仿宋" w:cs="SimSun,Bold" w:hint="eastAsia"/>
          <w:bCs/>
          <w:color w:val="000000"/>
          <w:kern w:val="0"/>
          <w:sz w:val="24"/>
          <w:szCs w:val="24"/>
        </w:rPr>
        <w:t>）按规定监督基金管理人按法律法规和《基金合同》规定履行自己的义务，基金管理人因违反《基金合同》造成基金财产损失时，应为基金份额持有人利益向基金管理人追偿；</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21</w:t>
      </w:r>
      <w:r>
        <w:rPr>
          <w:rFonts w:ascii="仿宋" w:eastAsia="仿宋" w:hAnsi="仿宋" w:cs="SimSun,Bold" w:hint="eastAsia"/>
          <w:bCs/>
          <w:color w:val="000000"/>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22</w:t>
      </w:r>
      <w:r>
        <w:rPr>
          <w:rFonts w:ascii="仿宋" w:eastAsia="仿宋" w:hAnsi="仿宋" w:cs="SimSun,Bold" w:hint="eastAsia"/>
          <w:bCs/>
          <w:color w:val="000000"/>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基金份额持有人</w:t>
      </w:r>
      <w:r w:rsidRPr="001F3C37">
        <w:rPr>
          <w:rFonts w:ascii="仿宋" w:eastAsia="仿宋" w:hAnsi="仿宋" w:cs="SimSun,Bold" w:hint="eastAsia"/>
          <w:bCs/>
          <w:color w:val="000000"/>
          <w:kern w:val="0"/>
          <w:sz w:val="24"/>
          <w:szCs w:val="24"/>
        </w:rPr>
        <w:t>的权利和义务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每份基金份额具有同等的合法权益。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）根据《基金法》、《运作办法》及其他有关规定，基金份额持有人的权利包括但不限于：</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）分享基金财产收益；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）参与分配清算后的剩余基金财产；</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）依法转让或申请赎回其持有的基金份额；</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）按照规定要求召开基金份额持有人大会或者召集基金份额持有人大会；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）出席或者委派代表出席基金份额持有人大会，对基金份额持有人大会审议事项行使表决权；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）查阅或者复制公开披露的基金信息资料；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）对基金管理人、基金托管人、基金服务机构损害其合法权益的行为依法提起诉讼</w:t>
      </w:r>
      <w:r>
        <w:rPr>
          <w:rFonts w:ascii="仿宋" w:eastAsia="仿宋" w:hAnsi="仿宋" w:cs="SimSun,Bold"/>
          <w:bCs/>
          <w:color w:val="000000"/>
          <w:kern w:val="0"/>
          <w:sz w:val="24"/>
          <w:szCs w:val="24"/>
        </w:rPr>
        <w:t>或仲裁</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）根据《基金法》、《运作办法》及其他有关规定，基金份额持有人的义务包括但不限于：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）认真阅读并遵守《基金合同》、招募说明书等信息披露文件；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）了解所投资基金产品，了解自身风险承受能力，自主判断基金的投资价值，自主做出投资决策，自行承担投资风险；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）关注基金信息披露，及时行使权利和履行义务；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）交纳基金申购款项及法律法规和《基金合同》所规定的费用；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）在其持有的基金份额范围内，承担基金亏损或者《基金合同》终止的有限责任；</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）不从事任何有损基金及其他《基金合同》当事人合法权益的活动；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7）执行生效的基金份额持有人大会的决议；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）返还在基金交易过程中因任何原因获得的不当得利；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56" w:name="_Toc459291264"/>
      <w:bookmarkStart w:id="257" w:name="_Toc149132964"/>
      <w:bookmarkStart w:id="258" w:name="_Toc169163886"/>
      <w:r>
        <w:rPr>
          <w:rFonts w:ascii="仿宋" w:eastAsia="仿宋" w:hAnsi="仿宋" w:cs="SimSun,Bold" w:hint="eastAsia"/>
          <w:b/>
          <w:bCs/>
          <w:color w:val="000000"/>
          <w:kern w:val="0"/>
          <w:sz w:val="24"/>
          <w:szCs w:val="24"/>
        </w:rPr>
        <w:t>（二）基金份额持有人大会召集、议事及表决的程序和规则</w:t>
      </w:r>
      <w:bookmarkEnd w:id="256"/>
      <w:bookmarkEnd w:id="257"/>
      <w:bookmarkEnd w:id="25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9" w:name="_Toc459291265"/>
      <w:r>
        <w:rPr>
          <w:rFonts w:ascii="仿宋" w:eastAsia="仿宋" w:hAnsi="仿宋" w:cs="SimSun,Bold" w:hint="eastAsia"/>
          <w:bCs/>
          <w:color w:val="000000"/>
          <w:kern w:val="0"/>
          <w:sz w:val="24"/>
          <w:szCs w:val="24"/>
        </w:rPr>
        <w:t>基金份额持有人大会由基金份额持有人组成，基金份额持有人的合法授权代表有权代表基金份额持有人出席会议并表决。基金份额持有人持有的每一基金份额拥有平等的投票权。</w:t>
      </w:r>
      <w:bookmarkEnd w:id="259"/>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0" w:name="_Toc459291266"/>
      <w:r>
        <w:rPr>
          <w:rFonts w:ascii="仿宋" w:eastAsia="仿宋" w:hAnsi="仿宋" w:cs="SimSun,Bold" w:hint="eastAsia"/>
          <w:bCs/>
          <w:color w:val="000000"/>
          <w:kern w:val="0"/>
          <w:sz w:val="24"/>
          <w:szCs w:val="24"/>
        </w:rPr>
        <w:t>本基金份额持有人大会不设日常机构。</w:t>
      </w:r>
      <w:bookmarkEnd w:id="260"/>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召开事由</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w:t>
      </w:r>
      <w:r w:rsidRPr="00262642">
        <w:rPr>
          <w:rFonts w:ascii="仿宋" w:eastAsia="仿宋" w:hAnsi="仿宋" w:cs="SimSun,Bold" w:hint="eastAsia"/>
          <w:bCs/>
          <w:color w:val="000000"/>
          <w:kern w:val="0"/>
          <w:sz w:val="24"/>
          <w:szCs w:val="24"/>
        </w:rPr>
        <w:t>除法律法规、中国证监会另有规定</w:t>
      </w:r>
      <w:r w:rsidRPr="00EE2336">
        <w:rPr>
          <w:rFonts w:ascii="仿宋" w:eastAsia="仿宋" w:hAnsi="仿宋" w:cs="SimSun,Bold" w:hint="eastAsia"/>
          <w:bCs/>
          <w:color w:val="000000"/>
          <w:kern w:val="0"/>
          <w:sz w:val="24"/>
          <w:szCs w:val="24"/>
        </w:rPr>
        <w:t>或基金合同另有约定</w:t>
      </w:r>
      <w:r w:rsidRPr="00262642">
        <w:rPr>
          <w:rFonts w:ascii="仿宋" w:eastAsia="仿宋" w:hAnsi="仿宋" w:cs="SimSun,Bold" w:hint="eastAsia"/>
          <w:bCs/>
          <w:color w:val="000000"/>
          <w:kern w:val="0"/>
          <w:sz w:val="24"/>
          <w:szCs w:val="24"/>
        </w:rPr>
        <w:t>外，</w:t>
      </w:r>
      <w:r>
        <w:rPr>
          <w:rFonts w:ascii="仿宋" w:eastAsia="仿宋" w:hAnsi="仿宋" w:cs="SimSun,Bold" w:hint="eastAsia"/>
          <w:bCs/>
          <w:color w:val="000000"/>
          <w:kern w:val="0"/>
          <w:sz w:val="24"/>
          <w:szCs w:val="24"/>
        </w:rPr>
        <w:t>当出现或需要决定下列事由之一的，应当召开基金份额持有人大会：</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1）终止《基金合同》；</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2）更换基金管理人；</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3）更换基金托管人；</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4）转换基金运作方式；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5）调整基金管理人、基金托管人的报酬标准；</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6）变更基金类别；</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7）本基金与其他基金的合并；</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8）变更基金投资目标、范围或策略；</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9）变更基金份额持有人大会程序；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10）基金管理人或基金托管人要求召开基金份额持有人大会；</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11）单独或合计持有本基金总份额10％以上（含10％）基金份额的基金份额持有人（以基金管理人收到提议当日的基金份额计算，下同）就同一事项书面要求召开基金份额持有人大会；</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12）对基金合同当事人权利和义务产生重大影响的其他事项；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13）法律法规、《基</w:t>
      </w:r>
      <w:r>
        <w:rPr>
          <w:rFonts w:ascii="仿宋" w:eastAsia="仿宋" w:hAnsi="仿宋" w:cs="SimSun,Bold" w:hint="eastAsia"/>
          <w:bCs/>
          <w:color w:val="000000"/>
          <w:kern w:val="0"/>
          <w:sz w:val="24"/>
          <w:szCs w:val="24"/>
        </w:rPr>
        <w:t>金合同》或中国证监会规定的其他应当召开基金份额持有人大会的事项。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sidRPr="00262642">
        <w:rPr>
          <w:rFonts w:ascii="仿宋" w:eastAsia="仿宋" w:hAnsi="仿宋" w:cs="SimSun,Bold" w:hint="eastAsia"/>
          <w:bCs/>
          <w:color w:val="000000"/>
          <w:kern w:val="0"/>
          <w:sz w:val="24"/>
          <w:szCs w:val="24"/>
        </w:rPr>
        <w:t>在法律法规规定和《基金合同》约定的范围内且对基金份额持有人利益无实质性不利影响的前提下，以下情况可由基金管理人和基金托管人协商一致</w:t>
      </w:r>
      <w:r w:rsidRPr="00397C20">
        <w:rPr>
          <w:rFonts w:ascii="仿宋" w:eastAsia="仿宋" w:hAnsi="仿宋" w:cs="SimSun,Bold" w:hint="eastAsia"/>
          <w:bCs/>
          <w:color w:val="000000"/>
          <w:kern w:val="0"/>
          <w:sz w:val="24"/>
          <w:szCs w:val="24"/>
        </w:rPr>
        <w:t>并履行适当程序</w:t>
      </w:r>
      <w:r w:rsidRPr="00262642">
        <w:rPr>
          <w:rFonts w:ascii="仿宋" w:eastAsia="仿宋" w:hAnsi="仿宋" w:cs="SimSun,Bold" w:hint="eastAsia"/>
          <w:bCs/>
          <w:color w:val="000000"/>
          <w:kern w:val="0"/>
          <w:sz w:val="24"/>
          <w:szCs w:val="24"/>
        </w:rPr>
        <w:t>后修改，不需召开基金份额持有人大会</w:t>
      </w:r>
      <w:r>
        <w:rPr>
          <w:rFonts w:ascii="仿宋" w:eastAsia="仿宋" w:hAnsi="仿宋" w:cs="SimSun,Bold" w:hint="eastAsia"/>
          <w:bCs/>
          <w:color w:val="000000"/>
          <w:kern w:val="0"/>
          <w:sz w:val="24"/>
          <w:szCs w:val="24"/>
        </w:rPr>
        <w:t>：</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1）法律法规要求增加的基金费用的收取和其他应由基金承担的费用；</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2）调整本基金的申购费率或变更收费方式；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3）因相应的法律法规发生变动而应当对《基金合同》进行修改；</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4）对《基金合同》的修改对基金份额持有人利益无实质性不利影响或修改不涉及《基金合同》当事人权利义务关系发生重大变化；</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5）增加新的基金份额类别或调整基金份额分类规则；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6）按照法律法规和《基金合同》规定不需召开基金份额持有人大会的其他情形。</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2、会议召集人及召集方式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262642">
        <w:rPr>
          <w:rFonts w:ascii="仿宋" w:eastAsia="仿宋" w:hAnsi="仿宋" w:cs="SimSun,Bold" w:hint="eastAsia"/>
          <w:bCs/>
          <w:color w:val="000000"/>
          <w:kern w:val="0"/>
          <w:sz w:val="24"/>
          <w:szCs w:val="24"/>
        </w:rPr>
        <w:t>除法律法规规定或《基金合同》另有约定外，基金份额持有人大会由基金管理人召集。</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Pr="00262642">
        <w:rPr>
          <w:rFonts w:ascii="仿宋" w:eastAsia="仿宋" w:hAnsi="仿宋" w:cs="SimSun,Bold" w:hint="eastAsia"/>
          <w:bCs/>
          <w:color w:val="000000"/>
          <w:kern w:val="0"/>
          <w:sz w:val="24"/>
          <w:szCs w:val="24"/>
        </w:rPr>
        <w:t>基金管理人未按规定召集或不能召集时，由基金托管人召集。</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262642">
        <w:rPr>
          <w:rFonts w:ascii="仿宋" w:eastAsia="仿宋" w:hAnsi="仿宋" w:cs="SimSun,Bold" w:hint="eastAsia"/>
          <w:bCs/>
          <w:color w:val="000000"/>
          <w:kern w:val="0"/>
          <w:sz w:val="24"/>
          <w:szCs w:val="24"/>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 日内召开；基金管理人决定不召集，基金托管人仍认为有必要召开的，应当由基金托管人自行召集，并自出具书面决定之日起六十日内召开并告知基金管理人，基金管理人应当配合。</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262642">
        <w:rPr>
          <w:rFonts w:ascii="仿宋" w:eastAsia="仿宋" w:hAnsi="仿宋" w:cs="SimSun,Bold" w:hint="eastAsia"/>
          <w:bCs/>
          <w:color w:val="000000"/>
          <w:kern w:val="0"/>
          <w:sz w:val="24"/>
          <w:szCs w:val="24"/>
        </w:rPr>
        <w:t>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262642">
        <w:rPr>
          <w:rFonts w:ascii="仿宋" w:eastAsia="仿宋" w:hAnsi="仿宋" w:cs="SimSun,Bold" w:hint="eastAsia"/>
          <w:bCs/>
          <w:color w:val="000000"/>
          <w:kern w:val="0"/>
          <w:sz w:val="24"/>
          <w:szCs w:val="24"/>
        </w:rPr>
        <w:t>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w:t>
      </w:r>
      <w:r w:rsidRPr="00262642">
        <w:rPr>
          <w:rFonts w:ascii="仿宋" w:eastAsia="仿宋" w:hAnsi="仿宋" w:cs="SimSun,Bold" w:hint="eastAsia"/>
          <w:bCs/>
          <w:color w:val="000000"/>
          <w:kern w:val="0"/>
          <w:sz w:val="24"/>
          <w:szCs w:val="24"/>
        </w:rPr>
        <w:t>基金份额持有人会议的召集人负责选择确定开会时间、地点、方式和权益登记日。</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3、召开基金份额持有人大会的通知时间、通知内容、通知方式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）召开基金份额持有人大会，召集人应于会议召开前3</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日，在规定媒介公告。基金份额持有人大会通知应至少载明以下内容：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）会议召开的时间、地点、方式和会议形式；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）会议拟审议的事项、议事程序和表决方式；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）有权出席基金份额持有人大会的基金份额持有人的权益登记日；</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）授权委托证明的内容要求（包括但不限于代理人身份，代理权限和代理有效期限等）、送达时间和地点；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）会务常设联系人姓名及联系电话；</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）出席会议者必须准备的文件和必须履行的手续；</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）召集人需要通知的其他事项。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采取通讯开会方式并进行表决的情况下，由会议召集人决定并在会议通知中说明本次基金份额持有人大会所采取的具体通讯方式及投票方式、委托的公证机关及其联系方式和联系人、表决意见提交的截止时间和收取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4、基金份额持有人出席会议的方式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基金份额持有人大会可通过现场开会方式、通讯开会方式或法律法规、监管机构允许的其他方式召开，会议的召开方式由会议召集人确定</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）现场开会。由基金份额持有人本人出席或以代理投票授权委托</w:t>
      </w:r>
      <w:r w:rsidRPr="00A47361">
        <w:rPr>
          <w:rFonts w:ascii="仿宋" w:eastAsia="仿宋" w:hAnsi="仿宋" w:cs="SimSun,Bold" w:hint="eastAsia"/>
          <w:bCs/>
          <w:color w:val="000000"/>
          <w:kern w:val="0"/>
          <w:sz w:val="24"/>
          <w:szCs w:val="24"/>
        </w:rPr>
        <w:t>证明</w:t>
      </w:r>
      <w:r>
        <w:rPr>
          <w:rFonts w:ascii="仿宋" w:eastAsia="仿宋" w:hAnsi="仿宋" w:cs="SimSun,Bold" w:hint="eastAsia"/>
          <w:bCs/>
          <w:color w:val="000000"/>
          <w:kern w:val="0"/>
          <w:sz w:val="24"/>
          <w:szCs w:val="24"/>
        </w:rPr>
        <w:t>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）亲自出席会议者持有基金份额的凭证、受托出席会议者出具的委托人持有基金份额的凭证及委托人的代理投票授权委托</w:t>
      </w:r>
      <w:r w:rsidRPr="00A47361">
        <w:rPr>
          <w:rFonts w:ascii="仿宋" w:eastAsia="仿宋" w:hAnsi="仿宋" w:cs="SimSun,Bold" w:hint="eastAsia"/>
          <w:bCs/>
          <w:color w:val="000000"/>
          <w:kern w:val="0"/>
          <w:sz w:val="24"/>
          <w:szCs w:val="24"/>
        </w:rPr>
        <w:t>证明</w:t>
      </w:r>
      <w:r>
        <w:rPr>
          <w:rFonts w:ascii="仿宋" w:eastAsia="仿宋" w:hAnsi="仿宋" w:cs="SimSun,Bold" w:hint="eastAsia"/>
          <w:bCs/>
          <w:color w:val="000000"/>
          <w:kern w:val="0"/>
          <w:sz w:val="24"/>
          <w:szCs w:val="24"/>
        </w:rPr>
        <w:t>符合法律法规、《基金合同》和会议通知的规定，并且持有基金份额的凭证与基金管理人持有的登记资料相符；</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sidRPr="00A47361">
        <w:rPr>
          <w:rFonts w:ascii="仿宋" w:eastAsia="仿宋" w:hAnsi="仿宋" w:cs="SimSun,Bold" w:hint="eastAsia"/>
          <w:bCs/>
          <w:color w:val="000000"/>
          <w:kern w:val="0"/>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w:t>
      </w:r>
      <w:r>
        <w:rPr>
          <w:rFonts w:ascii="仿宋" w:eastAsia="仿宋" w:hAnsi="仿宋" w:cs="SimSun,Bold" w:hint="eastAsia"/>
          <w:bCs/>
          <w:color w:val="000000"/>
          <w:kern w:val="0"/>
          <w:sz w:val="24"/>
          <w:szCs w:val="24"/>
        </w:rPr>
        <w:t>额应不少于本基金在权益登记日基金总份额的三分之一（含三分之一）。</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）通讯开会。</w:t>
      </w:r>
      <w:r w:rsidRPr="00A47361">
        <w:rPr>
          <w:rFonts w:ascii="仿宋" w:eastAsia="仿宋" w:hAnsi="仿宋" w:cs="SimSun,Bold" w:hint="eastAsia"/>
          <w:bCs/>
          <w:color w:val="000000"/>
          <w:kern w:val="0"/>
          <w:sz w:val="24"/>
          <w:szCs w:val="24"/>
        </w:rPr>
        <w:t>通讯开会系指基金份额持有人将其对表决事项的投票以书面形式或</w:t>
      </w:r>
      <w:r w:rsidRPr="00C02099">
        <w:rPr>
          <w:rFonts w:ascii="仿宋" w:eastAsia="仿宋" w:hAnsi="仿宋" w:cs="SimSun,Bold" w:hint="eastAsia"/>
          <w:bCs/>
          <w:color w:val="000000"/>
          <w:kern w:val="0"/>
          <w:sz w:val="24"/>
          <w:szCs w:val="24"/>
        </w:rPr>
        <w:t>大会公告载明</w:t>
      </w:r>
      <w:r>
        <w:rPr>
          <w:rFonts w:ascii="仿宋" w:eastAsia="仿宋" w:hAnsi="仿宋" w:cs="SimSun,Bold" w:hint="eastAsia"/>
          <w:bCs/>
          <w:color w:val="000000"/>
          <w:kern w:val="0"/>
          <w:sz w:val="24"/>
          <w:szCs w:val="24"/>
        </w:rPr>
        <w:t>的</w:t>
      </w:r>
      <w:r w:rsidRPr="00A47361">
        <w:rPr>
          <w:rFonts w:ascii="仿宋" w:eastAsia="仿宋" w:hAnsi="仿宋" w:cs="SimSun,Bold" w:hint="eastAsia"/>
          <w:bCs/>
          <w:color w:val="000000"/>
          <w:kern w:val="0"/>
          <w:sz w:val="24"/>
          <w:szCs w:val="24"/>
        </w:rPr>
        <w:t>其他方式在表决截止日以前</w:t>
      </w:r>
      <w:r w:rsidRPr="00C02099">
        <w:rPr>
          <w:rFonts w:ascii="仿宋" w:eastAsia="仿宋" w:hAnsi="仿宋" w:cs="SimSun,Bold" w:hint="eastAsia"/>
          <w:bCs/>
          <w:color w:val="000000"/>
          <w:kern w:val="0"/>
          <w:sz w:val="24"/>
          <w:szCs w:val="24"/>
        </w:rPr>
        <w:t>送达</w:t>
      </w:r>
      <w:r w:rsidRPr="00A47361">
        <w:rPr>
          <w:rFonts w:ascii="仿宋" w:eastAsia="仿宋" w:hAnsi="仿宋" w:cs="SimSun,Bold" w:hint="eastAsia"/>
          <w:bCs/>
          <w:color w:val="000000"/>
          <w:kern w:val="0"/>
          <w:sz w:val="24"/>
          <w:szCs w:val="24"/>
        </w:rPr>
        <w:t>至召集人指定的地址或系统。通讯开会应以书面方式或</w:t>
      </w:r>
      <w:r w:rsidRPr="00C02099">
        <w:rPr>
          <w:rFonts w:ascii="仿宋" w:eastAsia="仿宋" w:hAnsi="仿宋" w:cs="SimSun,Bold" w:hint="eastAsia"/>
          <w:bCs/>
          <w:color w:val="000000"/>
          <w:kern w:val="0"/>
          <w:sz w:val="24"/>
          <w:szCs w:val="24"/>
        </w:rPr>
        <w:t>大会公告载明</w:t>
      </w:r>
      <w:r w:rsidRPr="00A47361">
        <w:rPr>
          <w:rFonts w:ascii="仿宋" w:eastAsia="仿宋" w:hAnsi="仿宋" w:cs="SimSun,Bold" w:hint="eastAsia"/>
          <w:bCs/>
          <w:color w:val="000000"/>
          <w:kern w:val="0"/>
          <w:sz w:val="24"/>
          <w:szCs w:val="24"/>
        </w:rPr>
        <w:t>的其他方式进行表决</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在同时符合以下条件时，通讯开会的方式视为有效：</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1）会议召集人按《基金合同》约定公布会议通知后，在2个工作日内连续公布相关提示性公告；</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需符合法律法规、《基金合同》和会议通知的规定，并与基金登记机构记录相符。</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5、议事内容与程序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）议事内容及提案权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基金份额持有人大会的召集人发出召集会议的通知后，对原有提案的修改应当在基金份额持有人大会召开前及时公告。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基金份额持有人大会不得对未事先公告的议事内容进行表决。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）议事程序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仿宋" w:eastAsia="仿宋" w:hAnsi="仿宋" w:cs="SimSun,Bold"/>
          <w:bCs/>
          <w:color w:val="000000"/>
          <w:kern w:val="0"/>
          <w:sz w:val="24"/>
          <w:szCs w:val="24"/>
        </w:rPr>
        <w:t>二分之一</w:t>
      </w:r>
      <w:r>
        <w:rPr>
          <w:rFonts w:ascii="仿宋" w:eastAsia="仿宋" w:hAnsi="仿宋" w:cs="SimSun,Bold" w:hint="eastAsia"/>
          <w:bCs/>
          <w:color w:val="000000"/>
          <w:kern w:val="0"/>
          <w:sz w:val="24"/>
          <w:szCs w:val="24"/>
        </w:rPr>
        <w:t>以上（含</w:t>
      </w:r>
      <w:r>
        <w:rPr>
          <w:rFonts w:ascii="仿宋" w:eastAsia="仿宋" w:hAnsi="仿宋" w:cs="SimSun,Bold"/>
          <w:bCs/>
          <w:color w:val="000000"/>
          <w:kern w:val="0"/>
          <w:sz w:val="24"/>
          <w:szCs w:val="24"/>
        </w:rPr>
        <w:t>二分之一</w:t>
      </w:r>
      <w:r>
        <w:rPr>
          <w:rFonts w:ascii="仿宋" w:eastAsia="仿宋" w:hAnsi="仿宋" w:cs="SimSun,Bold" w:hint="eastAsia"/>
          <w:bCs/>
          <w:color w:val="000000"/>
          <w:kern w:val="0"/>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会议召集人应当制作出席会议人员的签名册。签名册载明参加会议人员姓名（或单位名称）、身份证明文件号码、持有或代</w:t>
      </w:r>
      <w:r>
        <w:rPr>
          <w:rFonts w:ascii="仿宋" w:eastAsia="仿宋" w:hAnsi="仿宋" w:cs="SimSun,Bold" w:hint="eastAsia"/>
          <w:bCs/>
          <w:color w:val="000000"/>
          <w:kern w:val="0"/>
          <w:sz w:val="24"/>
          <w:szCs w:val="24"/>
        </w:rPr>
        <w:t>表有表决权的基金份额、委托人姓名（或单位名称）和联系方式等事项。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在通讯开会的情况下，首先由召集人提前</w:t>
      </w:r>
      <w:r>
        <w:rPr>
          <w:rFonts w:ascii="仿宋" w:eastAsia="仿宋" w:hAnsi="仿宋" w:cs="SimSun,Bold"/>
          <w:bCs/>
          <w:color w:val="000000"/>
          <w:kern w:val="0"/>
          <w:sz w:val="24"/>
          <w:szCs w:val="24"/>
        </w:rPr>
        <w:t>30</w:t>
      </w:r>
      <w:r>
        <w:rPr>
          <w:rFonts w:ascii="仿宋" w:eastAsia="仿宋" w:hAnsi="仿宋" w:cs="SimSun,Bold" w:hint="eastAsia"/>
          <w:bCs/>
          <w:color w:val="000000"/>
          <w:kern w:val="0"/>
          <w:sz w:val="24"/>
          <w:szCs w:val="24"/>
        </w:rPr>
        <w:t>日公布提案，在所通知的表决截止日期后</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个工作日内在公证机关监督下由召集人统计全部有效表决，在公证机关监督下形成决议。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基金份额持有人所持每份基金份额有一票表决权。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基金份额持有人大会决议分为一般决议和特别决议：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）一般决议，一般决议须经参加大会的基金份额持有人或其代理人所持表决权的</w:t>
      </w:r>
      <w:r w:rsidRPr="00A47361">
        <w:rPr>
          <w:rFonts w:ascii="仿宋" w:eastAsia="仿宋" w:hAnsi="仿宋" w:cs="SimSun,Bold" w:hint="eastAsia"/>
          <w:bCs/>
          <w:color w:val="000000"/>
          <w:kern w:val="0"/>
          <w:sz w:val="24"/>
          <w:szCs w:val="24"/>
        </w:rPr>
        <w:t>二分之一以上（含二分之一）</w:t>
      </w:r>
      <w:r>
        <w:rPr>
          <w:rFonts w:ascii="仿宋" w:eastAsia="仿宋" w:hAnsi="仿宋" w:cs="SimSun,Bold" w:hint="eastAsia"/>
          <w:bCs/>
          <w:color w:val="000000"/>
          <w:kern w:val="0"/>
          <w:sz w:val="24"/>
          <w:szCs w:val="24"/>
        </w:rPr>
        <w:t>通过方为有效；除下列第（</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）项所规定的须以特别决议通过事项以外的其他事项均以一般决议的方式通过。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）特别决议，特别决议应当经参加大会的基金份额持有人或其代理人所持表决权的三分之二以上（含三分之二）通过方可做出。</w:t>
      </w:r>
      <w:r w:rsidRPr="00397C20">
        <w:rPr>
          <w:rFonts w:ascii="仿宋" w:eastAsia="仿宋" w:hAnsi="仿宋" w:cs="SimSun,Bold" w:hint="eastAsia"/>
          <w:bCs/>
          <w:color w:val="000000"/>
          <w:kern w:val="0"/>
          <w:sz w:val="24"/>
          <w:szCs w:val="24"/>
        </w:rPr>
        <w:t>除法律法规另有规定或基金合同另有约定外，</w:t>
      </w:r>
      <w:r>
        <w:rPr>
          <w:rFonts w:ascii="仿宋" w:eastAsia="仿宋" w:hAnsi="仿宋" w:cs="SimSun,Bold" w:hint="eastAsia"/>
          <w:bCs/>
          <w:color w:val="000000"/>
          <w:kern w:val="0"/>
          <w:sz w:val="24"/>
          <w:szCs w:val="24"/>
        </w:rPr>
        <w:t>转换基金运作方式、更换基金管理人或者基金托管人、终止《基金合同》、</w:t>
      </w:r>
      <w:r w:rsidRPr="00A47361">
        <w:rPr>
          <w:rFonts w:ascii="仿宋" w:eastAsia="仿宋" w:hAnsi="仿宋" w:cs="SimSun,Bold" w:hint="eastAsia"/>
          <w:bCs/>
          <w:color w:val="000000"/>
          <w:kern w:val="0"/>
          <w:sz w:val="24"/>
          <w:szCs w:val="24"/>
        </w:rPr>
        <w:t>本基金</w:t>
      </w:r>
      <w:r>
        <w:rPr>
          <w:rFonts w:ascii="仿宋" w:eastAsia="仿宋" w:hAnsi="仿宋" w:cs="SimSun,Bold" w:hint="eastAsia"/>
          <w:bCs/>
          <w:color w:val="000000"/>
          <w:kern w:val="0"/>
          <w:sz w:val="24"/>
          <w:szCs w:val="24"/>
        </w:rPr>
        <w:t>与其他基金合并以特别决议通过方为有效。</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基金份额持有人大会采取记名方式进行投票表决。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采取通讯方式进行表决时，除非在计票时有充分的相反证据证明，否则提交符合会议通知中规定的确认投资者身份文件的表决视</w:t>
      </w:r>
      <w:r>
        <w:rPr>
          <w:rFonts w:ascii="仿宋" w:eastAsia="仿宋" w:hAnsi="仿宋" w:cs="SimSun,Bold" w:hint="eastAsia"/>
          <w:bCs/>
          <w:color w:val="000000"/>
          <w:kern w:val="0"/>
          <w:sz w:val="24"/>
          <w:szCs w:val="24"/>
        </w:rPr>
        <w:t>为有效出席的投资者，表面符合会议通知规定的表决意见视为有效表决，表决意见模糊不清或相互矛盾的视为弃权表决，但应当计入出具表决意见的基金份额持有人所代表的基金份额总数。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基金份额持有人大会的各项提案或同一项提案内并列的各项议题应当分开审议、逐项表决。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7、计票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）监票人应当在基金份额持有人表决后立即进行清点并由大会主持人当场公布计票结果。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）计票过程应由公证机关予以公证</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基金管理人或基金托管人拒不出席大会的，不影响计票的效力。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8、生效与公告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基金份额持有人大会的决议，召集人应当自通过之日起</w:t>
      </w: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日内报中国证监会备案。</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基金份额持有人大会的决议事项自表决通过之日起生效。</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基金份额持有人大会决议自生效之日起</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日内在规定媒介上公告。如果采用通讯方式进行表决，在公告基金份额持有人大会决议时，必须将公证书全文、公证机构、公证员姓名等一同公告。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sidRPr="00A47361">
        <w:rPr>
          <w:rFonts w:ascii="仿宋" w:eastAsia="仿宋" w:hAnsi="仿宋" w:cs="SimSun,Bold" w:hint="eastAsia"/>
          <w:bCs/>
          <w:color w:val="000000"/>
          <w:kern w:val="0"/>
          <w:sz w:val="24"/>
          <w:szCs w:val="24"/>
        </w:rPr>
        <w:t>、实施侧袋机制期间基金份额持有人大会的特殊约定</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1、基金份额持有人行使提议权、召集权、提名权所需单独或合计代表相关基金份额10%以上（含10%）；</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2、现场开会的到会者在权益登记日代表的基金份额不少于本基金在权益登记日相关基金份额的二分之一（含二分之一）；</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3、通讯开会的直接出具表决意见或授权他人代表出具表决意见的基金份额持有人所持有的基金份额不小于在权益登记日相关基金份额的二分之一（含二分之一）；</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5、现场开会由出席大会的基金份额持有人和代理人所持表决权的50%以上（含50%）选举产生一名基金份额持有人作为该次基金份额持有人大会的主持人；</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6、一般决议须经参加大会的基金份额持有人或其代理人所持表决权的二分之一以上（含二分之一）通过；</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7、特别决议应当经参加大会的基金份额持有人或其代理人所持表决权的三分之二以上（含三分之二）通过。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同一主侧袋账户内的每份基金份额具有平等的表决权。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10</w:t>
      </w:r>
      <w:r>
        <w:rPr>
          <w:rFonts w:ascii="仿宋" w:eastAsia="仿宋" w:hAnsi="仿宋" w:cs="SimSun,Bold" w:hint="eastAsia"/>
          <w:bCs/>
          <w:color w:val="000000"/>
          <w:kern w:val="0"/>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w:t>
      </w:r>
      <w:r w:rsidRPr="00A47361">
        <w:rPr>
          <w:rFonts w:ascii="仿宋" w:eastAsia="仿宋" w:hAnsi="仿宋" w:cs="SimSun,Bold" w:hint="eastAsia"/>
          <w:bCs/>
          <w:color w:val="000000"/>
          <w:kern w:val="0"/>
          <w:sz w:val="24"/>
          <w:szCs w:val="24"/>
        </w:rPr>
        <w:t>与基金托管人协商一致并</w:t>
      </w:r>
      <w:r>
        <w:rPr>
          <w:rFonts w:ascii="仿宋" w:eastAsia="仿宋" w:hAnsi="仿宋" w:cs="SimSun,Bold" w:hint="eastAsia"/>
          <w:bCs/>
          <w:color w:val="000000"/>
          <w:kern w:val="0"/>
          <w:sz w:val="24"/>
          <w:szCs w:val="24"/>
        </w:rPr>
        <w:t>提前公告后，可直接对本部分内容进行修改和调整，无需召开基金份额持有人大会审议。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61" w:name="_Toc459291267"/>
      <w:bookmarkStart w:id="262" w:name="_Toc149132965"/>
      <w:bookmarkStart w:id="263" w:name="_Toc169163887"/>
      <w:r>
        <w:rPr>
          <w:rFonts w:ascii="仿宋" w:eastAsia="仿宋" w:hAnsi="仿宋" w:cs="SimSun,Bold" w:hint="eastAsia"/>
          <w:b/>
          <w:bCs/>
          <w:color w:val="000000"/>
          <w:kern w:val="0"/>
          <w:sz w:val="24"/>
          <w:szCs w:val="24"/>
        </w:rPr>
        <w:t>（三）基金收益分配原则、执行方式</w:t>
      </w:r>
      <w:bookmarkEnd w:id="261"/>
      <w:bookmarkEnd w:id="262"/>
      <w:bookmarkEnd w:id="26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4" w:name="_Toc459291268"/>
      <w:r>
        <w:rPr>
          <w:rFonts w:ascii="仿宋" w:eastAsia="仿宋" w:hAnsi="仿宋" w:cs="SimSun,Bold" w:hint="eastAsia"/>
          <w:bCs/>
          <w:color w:val="000000"/>
          <w:kern w:val="0"/>
          <w:sz w:val="24"/>
          <w:szCs w:val="24"/>
        </w:rPr>
        <w:t>1、基金利润的构成</w:t>
      </w:r>
      <w:bookmarkEnd w:id="26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5" w:name="_Toc459291269"/>
      <w:r>
        <w:rPr>
          <w:rFonts w:ascii="仿宋" w:eastAsia="仿宋" w:hAnsi="仿宋" w:cs="SimSun,Bold" w:hint="eastAsia"/>
          <w:bCs/>
          <w:color w:val="000000"/>
          <w:kern w:val="0"/>
          <w:sz w:val="24"/>
          <w:szCs w:val="24"/>
        </w:rPr>
        <w:t>基金利润指基金利息收入、投资收益、公允价值变动收益和其他收入扣除相关费用后的余额。基金已实现收益指基金利润减去公允价值变动收益后的余额。</w:t>
      </w:r>
      <w:bookmarkEnd w:id="26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6" w:name="_Toc459291270"/>
      <w:r>
        <w:rPr>
          <w:rFonts w:ascii="仿宋" w:eastAsia="仿宋" w:hAnsi="仿宋" w:cs="SimSun,Bold" w:hint="eastAsia"/>
          <w:bCs/>
          <w:color w:val="000000"/>
          <w:kern w:val="0"/>
          <w:sz w:val="24"/>
          <w:szCs w:val="24"/>
        </w:rPr>
        <w:t>2、基金可供分配利润</w:t>
      </w:r>
      <w:bookmarkEnd w:id="266"/>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7" w:name="_Toc459291271"/>
      <w:r>
        <w:rPr>
          <w:rFonts w:ascii="仿宋" w:eastAsia="仿宋" w:hAnsi="仿宋" w:cs="SimSun,Bold" w:hint="eastAsia"/>
          <w:bCs/>
          <w:color w:val="000000"/>
          <w:kern w:val="0"/>
          <w:sz w:val="24"/>
          <w:szCs w:val="24"/>
        </w:rPr>
        <w:t>基金可供分配利润指截至收益分配基准日</w:t>
      </w:r>
      <w:r w:rsidRPr="00CC66C3">
        <w:rPr>
          <w:rFonts w:ascii="仿宋" w:eastAsia="仿宋" w:hAnsi="仿宋" w:cs="SimSun,Bold" w:hint="eastAsia"/>
          <w:bCs/>
          <w:color w:val="000000"/>
          <w:kern w:val="0"/>
          <w:sz w:val="24"/>
          <w:szCs w:val="24"/>
        </w:rPr>
        <w:t>基金</w:t>
      </w:r>
      <w:r>
        <w:rPr>
          <w:rFonts w:ascii="仿宋" w:eastAsia="仿宋" w:hAnsi="仿宋" w:cs="SimSun,Bold" w:hint="eastAsia"/>
          <w:bCs/>
          <w:color w:val="000000"/>
          <w:kern w:val="0"/>
          <w:sz w:val="24"/>
          <w:szCs w:val="24"/>
        </w:rPr>
        <w:t>未分配利润与未分配利润中已实现收益的孰低数。</w:t>
      </w:r>
      <w:bookmarkEnd w:id="267"/>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8" w:name="_Toc459291272"/>
      <w:r>
        <w:rPr>
          <w:rFonts w:ascii="仿宋" w:eastAsia="仿宋" w:hAnsi="仿宋" w:cs="SimSun,Bold" w:hint="eastAsia"/>
          <w:bCs/>
          <w:color w:val="000000"/>
          <w:kern w:val="0"/>
          <w:sz w:val="24"/>
          <w:szCs w:val="24"/>
        </w:rPr>
        <w:t>3、基金收益分配原则</w:t>
      </w:r>
      <w:bookmarkEnd w:id="26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9" w:name="_Toc459291273"/>
      <w:r>
        <w:rPr>
          <w:rFonts w:ascii="仿宋" w:eastAsia="仿宋" w:hAnsi="仿宋" w:cs="SimSun,Bold" w:hint="eastAsia"/>
          <w:bCs/>
          <w:color w:val="000000"/>
          <w:kern w:val="0"/>
          <w:sz w:val="24"/>
          <w:szCs w:val="24"/>
        </w:rPr>
        <w:t>本基金收益分配应遵循下列原则：</w:t>
      </w:r>
      <w:bookmarkEnd w:id="269"/>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0" w:name="_Toc459291274"/>
      <w:r>
        <w:rPr>
          <w:rFonts w:ascii="仿宋" w:eastAsia="仿宋" w:hAnsi="仿宋" w:cs="SimSun,Bold" w:hint="eastAsia"/>
          <w:bCs/>
          <w:color w:val="000000"/>
          <w:kern w:val="0"/>
          <w:sz w:val="24"/>
          <w:szCs w:val="24"/>
        </w:rPr>
        <w:t>（1）</w:t>
      </w:r>
      <w:r w:rsidRPr="00CC66C3">
        <w:rPr>
          <w:rFonts w:ascii="仿宋" w:eastAsia="仿宋" w:hAnsi="仿宋" w:cs="SimSun,Bold" w:hint="eastAsia"/>
          <w:bCs/>
          <w:color w:val="000000"/>
          <w:kern w:val="0"/>
          <w:sz w:val="24"/>
          <w:szCs w:val="24"/>
        </w:rPr>
        <w:t>在符合有关基金分红条件的前提下，本基金管理人可以根据实际情况进行收益分配，具体分配方案以公告为准，若《基金合同》生效不满3个月则可不进行收益分配</w:t>
      </w:r>
      <w:r>
        <w:rPr>
          <w:rFonts w:ascii="仿宋" w:eastAsia="仿宋" w:hAnsi="仿宋" w:cs="SimSun,Bold" w:hint="eastAsia"/>
          <w:bCs/>
          <w:color w:val="000000"/>
          <w:kern w:val="0"/>
          <w:sz w:val="24"/>
          <w:szCs w:val="24"/>
        </w:rPr>
        <w:t>；</w:t>
      </w:r>
      <w:bookmarkEnd w:id="270"/>
    </w:p>
    <w:p w:rsidR="00E45E2B" w:rsidRPr="00D27B8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1" w:name="_Toc459291276"/>
      <w:bookmarkStart w:id="272" w:name="_Toc459291275"/>
      <w:r>
        <w:rPr>
          <w:rFonts w:ascii="仿宋" w:eastAsia="仿宋" w:hAnsi="仿宋" w:cs="SimSun,Bold" w:hint="eastAsia"/>
          <w:bCs/>
          <w:color w:val="000000"/>
          <w:kern w:val="0"/>
          <w:sz w:val="24"/>
          <w:szCs w:val="24"/>
        </w:rPr>
        <w:t>（2）</w:t>
      </w:r>
      <w:r w:rsidRPr="00D27B8C">
        <w:rPr>
          <w:rFonts w:ascii="仿宋" w:eastAsia="仿宋" w:hAnsi="仿宋" w:cs="SimSun,Bold" w:hint="eastAsia"/>
          <w:bCs/>
          <w:color w:val="000000"/>
          <w:kern w:val="0"/>
          <w:sz w:val="24"/>
          <w:szCs w:val="24"/>
        </w:rPr>
        <w:t>本基金的收益分配方式分两种：现金分红与红利再投资，投资者可选择现金分红或将现金分红自动转为基金份额进行再投资；若投资者不选择，本基金默认的收益分配方式是现金分红；选择采取红利再投资形式的，红利再投资的份额免收申购费；</w:t>
      </w:r>
      <w:bookmarkEnd w:id="271"/>
    </w:p>
    <w:p w:rsidR="00E45E2B" w:rsidRPr="00D27B8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3" w:name="_Toc459291277"/>
      <w:r>
        <w:rPr>
          <w:rFonts w:ascii="仿宋" w:eastAsia="仿宋" w:hAnsi="仿宋" w:cs="SimSun,Bold" w:hint="eastAsia"/>
          <w:bCs/>
          <w:color w:val="000000"/>
          <w:kern w:val="0"/>
          <w:sz w:val="24"/>
          <w:szCs w:val="24"/>
        </w:rPr>
        <w:t>（3）</w:t>
      </w:r>
      <w:r w:rsidRPr="00D27B8C">
        <w:rPr>
          <w:rFonts w:ascii="仿宋" w:eastAsia="仿宋" w:hAnsi="仿宋" w:cs="SimSun,Bold" w:hint="eastAsia"/>
          <w:bCs/>
          <w:color w:val="000000"/>
          <w:kern w:val="0"/>
          <w:sz w:val="24"/>
          <w:szCs w:val="24"/>
        </w:rPr>
        <w:t>基金收益分配后基金份额净值不能低于面值，即基金收益分配基准日的基金份额净值减去每单位基金份额收益分配金额后不能低于面值；</w:t>
      </w:r>
      <w:bookmarkEnd w:id="27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284CA0">
        <w:rPr>
          <w:rFonts w:ascii="仿宋" w:eastAsia="仿宋" w:hAnsi="仿宋" w:cs="SimSun,Bold" w:hint="eastAsia"/>
          <w:bCs/>
          <w:color w:val="000000"/>
          <w:kern w:val="0"/>
          <w:sz w:val="24"/>
          <w:szCs w:val="24"/>
        </w:rPr>
        <w:t>本基金的每份基金份额享有同等分配权</w:t>
      </w:r>
      <w:r w:rsidRPr="00D27B8C">
        <w:rPr>
          <w:rFonts w:ascii="仿宋" w:eastAsia="仿宋" w:hAnsi="仿宋" w:cs="SimSun,Bold" w:hint="eastAsia"/>
          <w:bCs/>
          <w:color w:val="000000"/>
          <w:kern w:val="0"/>
          <w:sz w:val="24"/>
          <w:szCs w:val="24"/>
        </w:rPr>
        <w:t>；</w:t>
      </w:r>
      <w:bookmarkEnd w:id="272"/>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4" w:name="_Toc459291278"/>
      <w:r>
        <w:rPr>
          <w:rFonts w:ascii="仿宋" w:eastAsia="仿宋" w:hAnsi="仿宋" w:cs="SimSun,Bold" w:hint="eastAsia"/>
          <w:bCs/>
          <w:color w:val="000000"/>
          <w:kern w:val="0"/>
          <w:sz w:val="24"/>
          <w:szCs w:val="24"/>
        </w:rPr>
        <w:t>（5）法律法规或监管机关另有规定的，从其规定</w:t>
      </w:r>
      <w:bookmarkEnd w:id="274"/>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5" w:name="_Toc459291279"/>
      <w:r>
        <w:rPr>
          <w:rFonts w:ascii="仿宋" w:eastAsia="仿宋" w:hAnsi="仿宋" w:cs="SimSun,Bold" w:hint="eastAsia"/>
          <w:bCs/>
          <w:color w:val="000000"/>
          <w:kern w:val="0"/>
          <w:sz w:val="24"/>
          <w:szCs w:val="24"/>
        </w:rPr>
        <w:t>在对基金份额持有人利益无实质性不利影响的前提下</w:t>
      </w:r>
      <w:r w:rsidR="00583100">
        <w:rPr>
          <w:rFonts w:ascii="仿宋" w:eastAsia="仿宋" w:hAnsi="仿宋" w:cs="宋体" w:hint="eastAsia"/>
          <w:kern w:val="0"/>
          <w:sz w:val="24"/>
          <w:szCs w:val="24"/>
        </w:rPr>
        <w:t>并履行适当程序后</w:t>
      </w:r>
      <w:r>
        <w:rPr>
          <w:rFonts w:ascii="仿宋" w:eastAsia="仿宋" w:hAnsi="仿宋" w:cs="SimSun,Bold" w:hint="eastAsia"/>
          <w:bCs/>
          <w:color w:val="000000"/>
          <w:kern w:val="0"/>
          <w:sz w:val="24"/>
          <w:szCs w:val="24"/>
        </w:rPr>
        <w:t>，基金管理人可对基金收益分配原则进行调整。</w:t>
      </w:r>
      <w:bookmarkEnd w:id="27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6" w:name="_Toc459291280"/>
      <w:r>
        <w:rPr>
          <w:rFonts w:ascii="仿宋" w:eastAsia="仿宋" w:hAnsi="仿宋" w:cs="SimSun,Bold" w:hint="eastAsia"/>
          <w:bCs/>
          <w:color w:val="000000"/>
          <w:kern w:val="0"/>
          <w:sz w:val="24"/>
          <w:szCs w:val="24"/>
        </w:rPr>
        <w:t>4、收益分配方案</w:t>
      </w:r>
      <w:bookmarkEnd w:id="276"/>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7" w:name="_Toc459291281"/>
      <w:r>
        <w:rPr>
          <w:rFonts w:ascii="仿宋" w:eastAsia="仿宋" w:hAnsi="仿宋" w:cs="SimSun,Bold" w:hint="eastAsia"/>
          <w:bCs/>
          <w:color w:val="000000"/>
          <w:kern w:val="0"/>
          <w:sz w:val="24"/>
          <w:szCs w:val="24"/>
        </w:rPr>
        <w:t>基金收益分配方案中应载明截至基金收益分配基准日的可供分配利润、基金收益分配对象、分配时间、分配数额及比例、分配方式等内容。</w:t>
      </w:r>
      <w:bookmarkEnd w:id="277"/>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8" w:name="_Toc459291282"/>
      <w:r>
        <w:rPr>
          <w:rFonts w:ascii="仿宋" w:eastAsia="仿宋" w:hAnsi="仿宋" w:cs="SimSun,Bold" w:hint="eastAsia"/>
          <w:bCs/>
          <w:color w:val="000000"/>
          <w:kern w:val="0"/>
          <w:sz w:val="24"/>
          <w:szCs w:val="24"/>
        </w:rPr>
        <w:t>5、收益分配方案的确定、公告与实施</w:t>
      </w:r>
      <w:bookmarkEnd w:id="27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9" w:name="_Toc459291283"/>
      <w:r>
        <w:rPr>
          <w:rFonts w:ascii="仿宋" w:eastAsia="仿宋" w:hAnsi="仿宋" w:cs="SimSun,Bold"/>
          <w:bCs/>
          <w:color w:val="000000"/>
          <w:kern w:val="0"/>
          <w:sz w:val="24"/>
          <w:szCs w:val="24"/>
        </w:rPr>
        <w:t>本基金收益分配方案由基金管理人拟定，并由基金托管人复核，在2日内在规定媒介公告。</w:t>
      </w:r>
      <w:bookmarkEnd w:id="279"/>
    </w:p>
    <w:p w:rsidR="00E45E2B" w:rsidRPr="00D27B8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0" w:name="_Toc459291285"/>
      <w:r>
        <w:rPr>
          <w:rFonts w:ascii="仿宋" w:eastAsia="仿宋" w:hAnsi="仿宋" w:cs="SimSun,Bold" w:hint="eastAsia"/>
          <w:bCs/>
          <w:color w:val="000000"/>
          <w:kern w:val="0"/>
          <w:sz w:val="24"/>
          <w:szCs w:val="24"/>
        </w:rPr>
        <w:t>6</w:t>
      </w:r>
      <w:r w:rsidRPr="00D27B8C">
        <w:rPr>
          <w:rFonts w:ascii="仿宋" w:eastAsia="仿宋" w:hAnsi="仿宋" w:cs="SimSun,Bold" w:hint="eastAsia"/>
          <w:bCs/>
          <w:color w:val="000000"/>
          <w:kern w:val="0"/>
          <w:sz w:val="24"/>
          <w:szCs w:val="24"/>
        </w:rPr>
        <w:t>、实施侧袋机制期间的收益分配</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27B8C">
        <w:rPr>
          <w:rFonts w:ascii="仿宋" w:eastAsia="仿宋" w:hAnsi="仿宋" w:cs="SimSun,Bold" w:hint="eastAsia"/>
          <w:bCs/>
          <w:color w:val="000000"/>
          <w:kern w:val="0"/>
          <w:sz w:val="24"/>
          <w:szCs w:val="24"/>
        </w:rPr>
        <w:t>本基金实施侧袋机制的，侧袋账户不进行收益分配，详见招募说明书的规定。</w:t>
      </w:r>
      <w:bookmarkEnd w:id="280"/>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81" w:name="_Toc459291286"/>
      <w:bookmarkStart w:id="282" w:name="_Toc149132966"/>
      <w:bookmarkStart w:id="283" w:name="_Toc169163888"/>
      <w:r>
        <w:rPr>
          <w:rFonts w:ascii="仿宋" w:eastAsia="仿宋" w:hAnsi="仿宋" w:cs="SimSun,Bold" w:hint="eastAsia"/>
          <w:b/>
          <w:bCs/>
          <w:color w:val="000000"/>
          <w:kern w:val="0"/>
          <w:sz w:val="24"/>
          <w:szCs w:val="24"/>
        </w:rPr>
        <w:t>（四）与基金财产管理、运作有关费用的提取、支付方式与比例</w:t>
      </w:r>
      <w:bookmarkEnd w:id="281"/>
      <w:bookmarkEnd w:id="282"/>
      <w:bookmarkEnd w:id="28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4" w:name="_Toc459291287"/>
      <w:r>
        <w:rPr>
          <w:rFonts w:ascii="仿宋" w:eastAsia="仿宋" w:hAnsi="仿宋" w:cs="SimSun,Bold" w:hint="eastAsia"/>
          <w:bCs/>
          <w:color w:val="000000"/>
          <w:kern w:val="0"/>
          <w:sz w:val="24"/>
          <w:szCs w:val="24"/>
        </w:rPr>
        <w:t>1、基金费用的种类</w:t>
      </w:r>
      <w:bookmarkEnd w:id="284"/>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5" w:name="_Toc459291288"/>
      <w:r>
        <w:rPr>
          <w:rFonts w:ascii="仿宋" w:eastAsia="仿宋" w:hAnsi="仿宋" w:cs="SimSun,Bold" w:hint="eastAsia"/>
          <w:bCs/>
          <w:color w:val="000000"/>
          <w:kern w:val="0"/>
          <w:sz w:val="24"/>
          <w:szCs w:val="24"/>
        </w:rPr>
        <w:t>（1）</w:t>
      </w:r>
      <w:r w:rsidRPr="00CC66C3">
        <w:rPr>
          <w:rFonts w:ascii="仿宋" w:eastAsia="仿宋" w:hAnsi="仿宋" w:cs="SimSun,Bold" w:hint="eastAsia"/>
          <w:bCs/>
          <w:color w:val="000000"/>
          <w:kern w:val="0"/>
          <w:sz w:val="24"/>
          <w:szCs w:val="24"/>
        </w:rPr>
        <w:t>基金管理人的管理费；</w:t>
      </w:r>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6" w:name="_Toc459291289"/>
      <w:r>
        <w:rPr>
          <w:rFonts w:ascii="仿宋" w:eastAsia="仿宋" w:hAnsi="仿宋" w:cs="SimSun,Bold" w:hint="eastAsia"/>
          <w:bCs/>
          <w:color w:val="000000"/>
          <w:kern w:val="0"/>
          <w:sz w:val="24"/>
          <w:szCs w:val="24"/>
        </w:rPr>
        <w:t>（2）</w:t>
      </w:r>
      <w:r w:rsidRPr="00CC66C3">
        <w:rPr>
          <w:rFonts w:ascii="仿宋" w:eastAsia="仿宋" w:hAnsi="仿宋" w:cs="SimSun,Bold" w:hint="eastAsia"/>
          <w:bCs/>
          <w:color w:val="000000"/>
          <w:kern w:val="0"/>
          <w:sz w:val="24"/>
          <w:szCs w:val="24"/>
        </w:rPr>
        <w:t>基金托管人的托管费；</w:t>
      </w:r>
      <w:bookmarkEnd w:id="286"/>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7" w:name="_Toc459291290"/>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《基金合同》生效后与基金相关的信息披露费用，但法律法规、中国证监会另有规定的除外；</w:t>
      </w:r>
      <w:bookmarkEnd w:id="287"/>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8" w:name="_Toc459291291"/>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《基金合同》生效后与基金相关的会计师费、律师费、仲裁费和诉讼费；</w:t>
      </w:r>
      <w:bookmarkEnd w:id="288"/>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9" w:name="_Toc459291292"/>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基金份额持有人大会费用；</w:t>
      </w:r>
      <w:bookmarkEnd w:id="289"/>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0" w:name="_Toc459291293"/>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基金的证券、期货、股票期权等交易或结算费用；</w:t>
      </w:r>
      <w:bookmarkEnd w:id="290"/>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1" w:name="_Toc459291294"/>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基金的银行汇划费用；</w:t>
      </w:r>
      <w:bookmarkEnd w:id="291"/>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2" w:name="_Toc459291295"/>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基金的相关账户开户费和账户维护费；</w:t>
      </w:r>
      <w:bookmarkEnd w:id="292"/>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3" w:name="_Toc459291296"/>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w:t>
      </w:r>
      <w:bookmarkStart w:id="294" w:name="_Toc459291297"/>
      <w:bookmarkEnd w:id="293"/>
      <w:r w:rsidRPr="00CC66C3">
        <w:rPr>
          <w:rFonts w:ascii="仿宋" w:eastAsia="仿宋" w:hAnsi="仿宋" w:cs="SimSun,Bold" w:hint="eastAsia"/>
          <w:bCs/>
          <w:color w:val="000000"/>
          <w:kern w:val="0"/>
          <w:sz w:val="24"/>
          <w:szCs w:val="24"/>
        </w:rPr>
        <w:t>投资港股通标的股票的相关费用；</w:t>
      </w:r>
      <w:bookmarkEnd w:id="29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5" w:name="_Toc459291298"/>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按照国家有关规定和《基金合同》约定，可以在基金财产中列支的其他费用。</w:t>
      </w:r>
      <w:bookmarkEnd w:id="285"/>
      <w:bookmarkEnd w:id="29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2、基金费用计提方法、计提标准和支付方式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）基金管理人的管理费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本基金的管理费按前一日基金资产净值的1</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的年费率计提。管理费的计算方法如下：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H</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E</w:t>
      </w: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H </w:t>
      </w:r>
      <w:r>
        <w:rPr>
          <w:rFonts w:ascii="仿宋" w:eastAsia="仿宋" w:hAnsi="仿宋" w:cs="SimSun,Bold" w:hint="eastAsia"/>
          <w:bCs/>
          <w:color w:val="000000"/>
          <w:kern w:val="0"/>
          <w:sz w:val="24"/>
          <w:szCs w:val="24"/>
        </w:rPr>
        <w:t>为每日应计提的基金管理费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E </w:t>
      </w:r>
      <w:r>
        <w:rPr>
          <w:rFonts w:ascii="仿宋" w:eastAsia="仿宋" w:hAnsi="仿宋" w:cs="SimSun,Bold" w:hint="eastAsia"/>
          <w:bCs/>
          <w:color w:val="000000"/>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B1B2E">
        <w:rPr>
          <w:rFonts w:ascii="仿宋" w:eastAsia="仿宋" w:hAnsi="仿宋" w:cs="SimSun,Bold" w:hint="eastAsia"/>
          <w:bCs/>
          <w:color w:val="000000"/>
          <w:kern w:val="0"/>
          <w:sz w:val="24"/>
          <w:szCs w:val="24"/>
        </w:rPr>
        <w:t>基金管理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）基金托管人的托管费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本基金的托管费按前一日基金资产净值的</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的年费率计提。托管费的计算方法如下：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H</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E</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H </w:t>
      </w:r>
      <w:r>
        <w:rPr>
          <w:rFonts w:ascii="仿宋" w:eastAsia="仿宋" w:hAnsi="仿宋" w:cs="SimSun,Bold" w:hint="eastAsia"/>
          <w:bCs/>
          <w:color w:val="000000"/>
          <w:kern w:val="0"/>
          <w:sz w:val="24"/>
          <w:szCs w:val="24"/>
        </w:rPr>
        <w:t>为每日应计提的基金托管费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E </w:t>
      </w:r>
      <w:r>
        <w:rPr>
          <w:rFonts w:ascii="仿宋" w:eastAsia="仿宋" w:hAnsi="仿宋" w:cs="SimSun,Bold" w:hint="eastAsia"/>
          <w:bCs/>
          <w:color w:val="000000"/>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B1B2E">
        <w:rPr>
          <w:rFonts w:ascii="仿宋" w:eastAsia="仿宋" w:hAnsi="仿宋" w:cs="SimSun,Bold" w:hint="eastAsia"/>
          <w:bCs/>
          <w:color w:val="000000"/>
          <w:kern w:val="0"/>
          <w:sz w:val="24"/>
          <w:szCs w:val="24"/>
        </w:rPr>
        <w:t>基金托管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上述</w:t>
      </w:r>
      <w:r w:rsidRPr="00DB1B2E">
        <w:rPr>
          <w:rFonts w:ascii="仿宋" w:eastAsia="仿宋" w:hAnsi="仿宋" w:cs="SimSun,Bold" w:hint="eastAsia"/>
          <w:bCs/>
          <w:color w:val="000000"/>
          <w:kern w:val="0"/>
          <w:sz w:val="24"/>
          <w:szCs w:val="24"/>
        </w:rPr>
        <w:t>“</w:t>
      </w:r>
      <w:r>
        <w:rPr>
          <w:rFonts w:ascii="仿宋" w:eastAsia="仿宋" w:hAnsi="仿宋" w:cs="SimSun,Bold" w:hint="eastAsia"/>
          <w:bCs/>
          <w:color w:val="000000"/>
          <w:kern w:val="0"/>
          <w:sz w:val="24"/>
          <w:szCs w:val="24"/>
        </w:rPr>
        <w:t>1</w:t>
      </w:r>
      <w:r w:rsidRPr="00DB1B2E">
        <w:rPr>
          <w:rFonts w:ascii="仿宋" w:eastAsia="仿宋" w:hAnsi="仿宋" w:cs="SimSun,Bold" w:hint="eastAsia"/>
          <w:bCs/>
          <w:color w:val="000000"/>
          <w:kern w:val="0"/>
          <w:sz w:val="24"/>
          <w:szCs w:val="24"/>
        </w:rPr>
        <w:t>、基金费用的种类”</w:t>
      </w:r>
      <w:r>
        <w:rPr>
          <w:rFonts w:ascii="仿宋" w:eastAsia="仿宋" w:hAnsi="仿宋" w:cs="SimSun,Bold" w:hint="eastAsia"/>
          <w:bCs/>
          <w:color w:val="000000"/>
          <w:kern w:val="0"/>
          <w:sz w:val="24"/>
          <w:szCs w:val="24"/>
        </w:rPr>
        <w:t>中第（</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10</w:t>
      </w:r>
      <w:r>
        <w:rPr>
          <w:rFonts w:ascii="仿宋" w:eastAsia="仿宋" w:hAnsi="仿宋" w:cs="SimSun,Bold" w:hint="eastAsia"/>
          <w:bCs/>
          <w:color w:val="000000"/>
          <w:kern w:val="0"/>
          <w:sz w:val="24"/>
          <w:szCs w:val="24"/>
        </w:rPr>
        <w:t>）项费用，根据有关法规及相应协议规定，按费用实际支出金额列入当期费用，由基金托管人从基金财产中支付。</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3、不列入基金费用的项目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）基金管理人和基金托管人因未履行或未完全履行义务导致的费用支出或基金财产的损失；</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基金管理人和基金托管人处理与基金运作无关的事项发生的费用；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《基金合同》生效前的相关费用</w:t>
      </w:r>
      <w:r w:rsidRPr="00CC66C3">
        <w:rPr>
          <w:rFonts w:ascii="仿宋" w:eastAsia="仿宋" w:hAnsi="仿宋" w:cs="SimSun,Bold" w:hint="eastAsia"/>
          <w:bCs/>
          <w:color w:val="000000"/>
          <w:kern w:val="0"/>
          <w:sz w:val="24"/>
          <w:szCs w:val="24"/>
        </w:rPr>
        <w:t>根据《东方红</w:t>
      </w:r>
      <w:r>
        <w:rPr>
          <w:rFonts w:ascii="仿宋" w:eastAsia="仿宋" w:hAnsi="仿宋" w:cs="SimSun,Bold" w:hint="eastAsia"/>
          <w:bCs/>
          <w:color w:val="000000"/>
          <w:kern w:val="0"/>
          <w:sz w:val="24"/>
          <w:szCs w:val="24"/>
        </w:rPr>
        <w:t>恒阳五</w:t>
      </w:r>
      <w:r w:rsidRPr="00CC66C3">
        <w:rPr>
          <w:rFonts w:ascii="仿宋" w:eastAsia="仿宋" w:hAnsi="仿宋" w:cs="SimSun,Bold" w:hint="eastAsia"/>
          <w:bCs/>
          <w:color w:val="000000"/>
          <w:kern w:val="0"/>
          <w:sz w:val="24"/>
          <w:szCs w:val="24"/>
        </w:rPr>
        <w:t>年定期开放</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C66C3">
        <w:rPr>
          <w:rFonts w:ascii="仿宋" w:eastAsia="仿宋" w:hAnsi="仿宋" w:cs="SimSun,Bold" w:hint="eastAsia"/>
          <w:bCs/>
          <w:color w:val="000000"/>
          <w:kern w:val="0"/>
          <w:sz w:val="24"/>
          <w:szCs w:val="24"/>
        </w:rPr>
        <w:t>混合型证券投资基金基金合同》的约定执行</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其他根据相关法律法规及中国证监会的有关规定不得列入基金费用的项目。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4、费用调整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1012A">
        <w:rPr>
          <w:rFonts w:ascii="仿宋" w:eastAsia="仿宋" w:hAnsi="仿宋" w:cs="SimSun,Bold" w:hint="eastAsia"/>
          <w:bCs/>
          <w:color w:val="000000"/>
          <w:kern w:val="0"/>
          <w:sz w:val="24"/>
          <w:szCs w:val="24"/>
        </w:rPr>
        <w:t>在对基金份额持有人利益无实质性不利影响的前提下，</w:t>
      </w:r>
      <w:r>
        <w:rPr>
          <w:rFonts w:ascii="仿宋" w:eastAsia="仿宋" w:hAnsi="仿宋" w:cs="SimSun,Bold" w:hint="eastAsia"/>
          <w:bCs/>
          <w:color w:val="000000"/>
          <w:kern w:val="0"/>
          <w:sz w:val="24"/>
          <w:szCs w:val="24"/>
        </w:rPr>
        <w:t>基金管理人和基金托管人协商一致</w:t>
      </w:r>
      <w:r w:rsidRPr="00CC66C3">
        <w:rPr>
          <w:rFonts w:ascii="仿宋" w:eastAsia="仿宋" w:hAnsi="仿宋" w:cs="SimSun,Bold" w:hint="eastAsia"/>
          <w:bCs/>
          <w:color w:val="000000"/>
          <w:kern w:val="0"/>
          <w:sz w:val="24"/>
          <w:szCs w:val="24"/>
        </w:rPr>
        <w:t>并履行适当程序</w:t>
      </w:r>
      <w:r>
        <w:rPr>
          <w:rFonts w:ascii="仿宋" w:eastAsia="仿宋" w:hAnsi="仿宋" w:cs="SimSun,Bold" w:hint="eastAsia"/>
          <w:bCs/>
          <w:color w:val="000000"/>
          <w:kern w:val="0"/>
          <w:sz w:val="24"/>
          <w:szCs w:val="24"/>
        </w:rPr>
        <w:t>后，可根据基金发展情况调整基金管理费率、基金托管费率。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基金管理人必须于新的费率实施日前依照《信息披露办法》的有关规定在规定媒介上公告。</w:t>
      </w:r>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CC66C3">
        <w:rPr>
          <w:rFonts w:ascii="仿宋" w:eastAsia="仿宋" w:hAnsi="仿宋" w:cs="SimSun,Bold" w:hint="eastAsia"/>
          <w:bCs/>
          <w:color w:val="000000"/>
          <w:kern w:val="0"/>
          <w:sz w:val="24"/>
          <w:szCs w:val="24"/>
        </w:rPr>
        <w:t>实施侧袋机制期间的基金费用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C66C3">
        <w:rPr>
          <w:rFonts w:ascii="仿宋" w:eastAsia="仿宋" w:hAnsi="仿宋" w:cs="SimSun,Bold" w:hint="eastAsia"/>
          <w:bCs/>
          <w:color w:val="000000"/>
          <w:kern w:val="0"/>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6、基金税收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C66C3">
        <w:rPr>
          <w:rFonts w:ascii="仿宋" w:eastAsia="仿宋" w:hAnsi="仿宋" w:cs="SimSun,Bold" w:hint="eastAsia"/>
          <w:bCs/>
          <w:color w:val="000000"/>
          <w:kern w:val="0"/>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96" w:name="_Toc459291300"/>
      <w:bookmarkStart w:id="297" w:name="_Toc149132967"/>
      <w:bookmarkStart w:id="298" w:name="_Toc169163889"/>
      <w:r>
        <w:rPr>
          <w:rFonts w:ascii="仿宋" w:eastAsia="仿宋" w:hAnsi="仿宋" w:cs="SimSun,Bold" w:hint="eastAsia"/>
          <w:b/>
          <w:bCs/>
          <w:color w:val="000000"/>
          <w:kern w:val="0"/>
          <w:sz w:val="24"/>
          <w:szCs w:val="24"/>
        </w:rPr>
        <w:t>（五）基金资产的投资方向和投资限制</w:t>
      </w:r>
      <w:bookmarkEnd w:id="296"/>
      <w:bookmarkEnd w:id="297"/>
      <w:bookmarkEnd w:id="29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投资目标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本基金在严格控制投资组合风险的前提下，追求资产净值的长期稳健增值。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投资范围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本基金的投资范围包括国内依法发行上市的股票及存托凭证（含创业板及其他经中国证监会核准或注册上市的股票及存托凭证）、港股通标的股票、债券（包括国内依法发行的国债、地方政府债、政府支持机构债、金融债、</w:t>
      </w:r>
      <w:r w:rsidRPr="00E05A60">
        <w:rPr>
          <w:rFonts w:ascii="仿宋" w:eastAsia="仿宋" w:hAnsi="仿宋" w:cs="SimSun,Bold" w:hint="eastAsia"/>
          <w:bCs/>
          <w:color w:val="000000"/>
          <w:kern w:val="0"/>
          <w:sz w:val="24"/>
          <w:szCs w:val="24"/>
        </w:rPr>
        <w:t>公开发行的次级债券</w:t>
      </w:r>
      <w:r w:rsidRPr="00C07665">
        <w:rPr>
          <w:rFonts w:ascii="仿宋" w:eastAsia="仿宋" w:hAnsi="仿宋" w:cs="SimSun,Bold" w:hint="eastAsia"/>
          <w:bCs/>
          <w:color w:val="000000"/>
          <w:kern w:val="0"/>
          <w:sz w:val="24"/>
          <w:szCs w:val="24"/>
        </w:rPr>
        <w:t>、中央银行票据、企业债、公司债、中期票据、短期融资券、超短期融资券、可转换债券、可分离交易可转债、可交换债券）、债券回购、银行存款、同业存单、货币市场工具、资产支持证券、股指期货、国债期货、股票期权</w:t>
      </w:r>
      <w:r>
        <w:rPr>
          <w:rFonts w:ascii="仿宋" w:eastAsia="仿宋" w:hAnsi="仿宋" w:cs="SimSun,Bold" w:hint="eastAsia"/>
          <w:bCs/>
          <w:color w:val="000000"/>
          <w:kern w:val="0"/>
          <w:sz w:val="24"/>
          <w:szCs w:val="24"/>
        </w:rPr>
        <w:t>、</w:t>
      </w:r>
      <w:r w:rsidRPr="00DB1B2E">
        <w:rPr>
          <w:rFonts w:ascii="仿宋" w:eastAsia="仿宋" w:hAnsi="仿宋" w:cs="SimSun,Bold" w:hint="eastAsia"/>
          <w:bCs/>
          <w:color w:val="000000"/>
          <w:kern w:val="0"/>
          <w:sz w:val="24"/>
          <w:szCs w:val="24"/>
        </w:rPr>
        <w:t>信用衍生品</w:t>
      </w:r>
      <w:r w:rsidRPr="00C07665">
        <w:rPr>
          <w:rFonts w:ascii="仿宋" w:eastAsia="仿宋" w:hAnsi="仿宋" w:cs="SimSun,Bold" w:hint="eastAsia"/>
          <w:bCs/>
          <w:color w:val="000000"/>
          <w:kern w:val="0"/>
          <w:sz w:val="24"/>
          <w:szCs w:val="24"/>
        </w:rPr>
        <w:t>以及经中国证监会允许基金投资的其他金融工具（但须符合中国证监会的相关规定）。本基金可根据法律法规和基金</w:t>
      </w:r>
      <w:r>
        <w:rPr>
          <w:rFonts w:ascii="仿宋" w:eastAsia="仿宋" w:hAnsi="仿宋" w:cs="SimSun,Bold" w:hint="eastAsia"/>
          <w:bCs/>
          <w:color w:val="000000"/>
          <w:kern w:val="0"/>
          <w:sz w:val="24"/>
          <w:szCs w:val="24"/>
        </w:rPr>
        <w:t>合同的约定参与融资业务。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如法律法规或监管机构以后允许基金投资其他品种，基金管理人在履行适当程序后，可以将其纳入投资范围。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本基金的投资比例为：</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本基金投资于股票资产（含存托凭证）的比例为基金资产的60%-95%（其中投资于港股通标的股票的比例占股票资产的0%-50%）。</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本基金每个交易日日终在扣除股指期货、国债期货及股票期权合约需缴纳的交易保证金后，保持现金或者到期日在一年以内的政府债券投资比例合计不低于基金资产净值的5%。前述现金不包括结算备付金、存出保证金、应收申购款等。</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如果法律法规或中国证监会变更投资品种的投资比例限制，基金管理人在履行适当程序后，可以调整上述投资品种的投资比例。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投资限制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）投资组合限制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本基金的投资组合将遵循以下限制：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 xml:space="preserve">1）本基金投资于股票资产（含存托凭证）的比例为基金资产的60%-95%（其中投资于港股通标的股票的比例占股票资产的0%-50%）； </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2）本基金每个交易日日终在扣除股指期货、国债期货和股票期权合约需缴纳的交易保证金后，保持不低于基金资产净值5%的现金或者到期日在一年以内</w:t>
      </w:r>
      <w:r>
        <w:rPr>
          <w:rFonts w:ascii="仿宋" w:eastAsia="仿宋" w:hAnsi="仿宋" w:cs="SimSun,Bold" w:hint="eastAsia"/>
          <w:bCs/>
          <w:color w:val="000000"/>
          <w:kern w:val="0"/>
          <w:sz w:val="24"/>
          <w:szCs w:val="24"/>
        </w:rPr>
        <w:t>的政府债券。前述现金不包括结算备付金、存出保证金、应收申购款等</w:t>
      </w:r>
      <w:r>
        <w:rPr>
          <w:rFonts w:ascii="仿宋" w:eastAsia="仿宋" w:hAnsi="仿宋" w:cs="SimSun,Bold"/>
          <w:bCs/>
          <w:color w:val="000000"/>
          <w:kern w:val="0"/>
          <w:sz w:val="24"/>
          <w:szCs w:val="24"/>
        </w:rPr>
        <w:t>；</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3）基金财产参与股票发行申购，本基金所申报的金额不超过本基金的总资产，本基金所申报的股票数量不超过拟发行股票公司本次发行股票的总量；</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4）本基金持有一家公司发行的证券，其市值（同一家公司在内地和香港同时上市的A+H股合计计算）不超过基金资产净值的10％；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5）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7）本基金投资于同一原始权益人的各类资产支持证券的比例，不得超过基金资产净值的10％；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8）本基金持有的全部资产支持证券，其市值不得超过基金资产净值的20％；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9）本基金持有的同一(指同一信用级别)资产支持证券的比例，不得超过该资产支持证券规模的10％；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10）本基金管理人管理的全部基金投资于同一原始权益人的各类资产支持证券，不得超过其各类资产支持证券合计规模的10％；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11）本基金应投资于信用级别评级为BBB以上(含BBB)的资产支持证券。基金持有资产支持证券期间，如果其信用等级下降、不再符合投资标准，应在评级报告发布之日起3个月内予以全部卖出；</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12）本基金总资产不得超过基金净资产的140%；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13）本基金参与股指期货和/或国债期货交易时，应当遵守下列要求：</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w:t>
      </w:r>
      <w:r w:rsidRPr="00C07665">
        <w:rPr>
          <w:rFonts w:ascii="仿宋" w:eastAsia="仿宋" w:hAnsi="仿宋" w:cs="SimSun,Bold" w:hint="eastAsia"/>
          <w:bCs/>
          <w:color w:val="000000"/>
          <w:kern w:val="0"/>
          <w:sz w:val="24"/>
          <w:szCs w:val="24"/>
        </w:rPr>
        <w:t>基金在任何交易日日终，持有的买入股指期货合约价值不得超过基金资产净值的10%，持有的买入国债期货合约价值，不得超过基金资产净值的15%。</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w:t>
      </w:r>
      <w:r w:rsidRPr="00C07665">
        <w:rPr>
          <w:rFonts w:ascii="仿宋" w:eastAsia="仿宋" w:hAnsi="仿宋" w:cs="SimSun,Bold" w:hint="eastAsia"/>
          <w:bCs/>
          <w:color w:val="000000"/>
          <w:kern w:val="0"/>
          <w:sz w:val="24"/>
          <w:szCs w:val="24"/>
        </w:rPr>
        <w:t>基金在任何交易日日终，持有的卖出股指期货合约价值不得超过基金持有的股票总市值的20%，持有的卖出国债期货合约价值不得超过基金持有的债券总市值的30%。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iii.</w:t>
      </w:r>
      <w:r w:rsidRPr="00C07665">
        <w:rPr>
          <w:rFonts w:ascii="仿宋" w:eastAsia="仿宋" w:hAnsi="仿宋" w:cs="SimSun,Bold" w:hint="eastAsia"/>
          <w:bCs/>
          <w:color w:val="000000"/>
          <w:kern w:val="0"/>
          <w:sz w:val="24"/>
          <w:szCs w:val="24"/>
        </w:rPr>
        <w:t>基金在任何交易日内交易（不包括平仓）的股指期货合约的成交金额不得超过上一交易日基金资产净值的20%，在任何交易日内交易（不包括平仓）的国债期货合约的成交金额不得超过上一交易日基金资产净值的30%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iv.</w:t>
      </w:r>
      <w:r w:rsidRPr="00C07665">
        <w:rPr>
          <w:rFonts w:ascii="仿宋" w:eastAsia="仿宋" w:hAnsi="仿宋" w:cs="SimSun,Bold" w:hint="eastAsia"/>
          <w:bCs/>
          <w:color w:val="000000"/>
          <w:kern w:val="0"/>
          <w:sz w:val="24"/>
          <w:szCs w:val="24"/>
        </w:rPr>
        <w:t>基金在任何交易日日终，持有的买入国债期货和股指期货合约价值与有价证券市值之和，不得超过基金资产净值的95%。</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其中，有价证券指股票、债券（不含到期日在一年以内的政府债券）、资产支持证券、买入返售金融资产（不含质押式回购）等。</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V.</w:t>
      </w:r>
      <w:r w:rsidRPr="00C07665">
        <w:rPr>
          <w:rFonts w:ascii="仿宋" w:eastAsia="仿宋" w:hAnsi="仿宋" w:cs="SimSun,Bold" w:hint="eastAsia"/>
          <w:bCs/>
          <w:color w:val="000000"/>
          <w:kern w:val="0"/>
          <w:sz w:val="24"/>
          <w:szCs w:val="24"/>
        </w:rPr>
        <w:t>基金所持有的股票市值和买入、卖出股指期货合约价值，合计（轧差计算）应当符合基金合同关于股票投资比例的有关约定；</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基金所持有的债券（不含到期日在一年以内的政府债券）市值和买入、卖出国债期货合约价值，合计（轧差计算）应当符合基金合同关于债券投资比例的有关约定；</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14）本基金参与股票期权交易的，应当符合下列要求：</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i.</w:t>
      </w:r>
      <w:r w:rsidRPr="00C07665">
        <w:rPr>
          <w:rFonts w:ascii="仿宋" w:eastAsia="仿宋" w:hAnsi="仿宋" w:cs="SimSun,Bold" w:hint="eastAsia"/>
          <w:bCs/>
          <w:color w:val="000000"/>
          <w:kern w:val="0"/>
          <w:sz w:val="24"/>
          <w:szCs w:val="24"/>
        </w:rPr>
        <w:t>基金因未平仓的期权合约支付和收取的权利金总额不得超过基金资产净值的10%；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w:t>
      </w:r>
      <w:r w:rsidRPr="00C07665">
        <w:rPr>
          <w:rFonts w:ascii="仿宋" w:eastAsia="仿宋" w:hAnsi="仿宋" w:cs="SimSun,Bold" w:hint="eastAsia"/>
          <w:bCs/>
          <w:color w:val="000000"/>
          <w:kern w:val="0"/>
          <w:sz w:val="24"/>
          <w:szCs w:val="24"/>
        </w:rPr>
        <w:t>开仓卖出认购期权的，应持有足额标的证券；开仓卖出认沽期权的，应持有合约行权所需的全额现金或交易所规则认可的可冲抵期权保证金的现金等价物；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iii.</w:t>
      </w:r>
      <w:r w:rsidRPr="00C07665">
        <w:rPr>
          <w:rFonts w:ascii="仿宋" w:eastAsia="仿宋" w:hAnsi="仿宋" w:cs="SimSun,Bold" w:hint="eastAsia"/>
          <w:bCs/>
          <w:color w:val="000000"/>
          <w:kern w:val="0"/>
          <w:sz w:val="24"/>
          <w:szCs w:val="24"/>
        </w:rPr>
        <w:t>未平仓的期权合约面值不得超过基金资产净值的20%，其中，合约面值按照行权价乘以合约乘数计算；</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15）本基金不得持有信用保护卖方属性的信用衍生品，不得持有合约类信用衍生品，持有的信用衍生品的名义本金不得超过本基金对应受保护债券面值的100%；</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16）本基金投资于同一信用保护卖方的各类信用衍生品的名义本金合计不得超过基金资产净值的10%；</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因证券、期货市场波动、证券发行人合并、基金规模变动等基金管理人之外的因素致使基金不符合前述15）、16）所规定比例限制的，基金管理人应在3个月之内进行调整；</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本基金与私募类证券资管产品及中国证监会认定的其他主体为交易对手开展逆回购交易的，可接受质押品的资质要求应当与基金合同约定的投资范围保持一致；</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本基金主动投资于流动性受限资产的市值合计不得超过本基金资产净值的15%；因证券市场波动、上市公司股票停牌、基金规模变动等基金管理人之外的因素致使基金不符合前款所规定的比例限制的，基金管理人不得主动新增流动性受限资产的投资；</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9</w:t>
      </w:r>
      <w:r w:rsidRPr="00C07665">
        <w:rPr>
          <w:rFonts w:ascii="仿宋" w:eastAsia="仿宋" w:hAnsi="仿宋" w:cs="SimSun,Bold" w:hint="eastAsia"/>
          <w:bCs/>
          <w:color w:val="000000"/>
          <w:kern w:val="0"/>
          <w:sz w:val="24"/>
          <w:szCs w:val="24"/>
        </w:rPr>
        <w:t>）参与融资业务后，在任何交易日日终，本基金持有的融资买入股票与其他有价证券市值之和，不得超过基金资产净值的95%；</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20</w:t>
      </w:r>
      <w:r w:rsidRPr="00C07665">
        <w:rPr>
          <w:rFonts w:ascii="仿宋" w:eastAsia="仿宋" w:hAnsi="仿宋" w:cs="SimSun,Bold" w:hint="eastAsia"/>
          <w:bCs/>
          <w:color w:val="000000"/>
          <w:kern w:val="0"/>
          <w:sz w:val="24"/>
          <w:szCs w:val="24"/>
        </w:rPr>
        <w:t>）本基金投资存托凭证的比例限制依照内地上市交易的股票执行；</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21</w:t>
      </w:r>
      <w:r w:rsidRPr="00C07665">
        <w:rPr>
          <w:rFonts w:ascii="仿宋" w:eastAsia="仿宋" w:hAnsi="仿宋" w:cs="SimSun,Bold" w:hint="eastAsia"/>
          <w:bCs/>
          <w:color w:val="000000"/>
          <w:kern w:val="0"/>
          <w:sz w:val="24"/>
          <w:szCs w:val="24"/>
        </w:rPr>
        <w:t>）法律法规及中国证监会规定的和《基金合同》约定的其他投资限制。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法律法规或监管部门取消或调整上述限制，如适用于本基金，则在履行适当程序后，本基金投资不再受相关限制或按照调整后的规定执行,基金管理人及时根据《信息披露办法》规定在规定媒介公告。</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除</w:t>
      </w:r>
      <w:r w:rsidRPr="00C07665">
        <w:rPr>
          <w:rFonts w:ascii="仿宋" w:eastAsia="仿宋" w:hAnsi="仿宋" w:cs="SimSun,Bold" w:hint="eastAsia"/>
          <w:bCs/>
          <w:color w:val="000000"/>
          <w:kern w:val="0"/>
          <w:sz w:val="24"/>
          <w:szCs w:val="24"/>
        </w:rPr>
        <w:t>2</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11</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15</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16）</w:t>
      </w:r>
      <w:r>
        <w:rPr>
          <w:rFonts w:ascii="仿宋" w:eastAsia="仿宋" w:hAnsi="仿宋" w:cs="SimSun,Bold" w:hint="eastAsia"/>
          <w:bCs/>
          <w:color w:val="000000"/>
          <w:kern w:val="0"/>
          <w:sz w:val="24"/>
          <w:szCs w:val="24"/>
        </w:rPr>
        <w:t>、</w:t>
      </w:r>
      <w:r w:rsidRPr="00130ACC">
        <w:rPr>
          <w:rFonts w:ascii="仿宋" w:eastAsia="仿宋" w:hAnsi="仿宋" w:cs="SimSun,Bold" w:hint="eastAsia"/>
          <w:bCs/>
          <w:color w:val="000000"/>
          <w:kern w:val="0"/>
          <w:sz w:val="24"/>
          <w:szCs w:val="24"/>
        </w:rPr>
        <w:t>17</w:t>
      </w:r>
      <w:r>
        <w:rPr>
          <w:rFonts w:ascii="仿宋" w:eastAsia="仿宋" w:hAnsi="仿宋" w:cs="SimSun,Bold" w:hint="eastAsia"/>
          <w:bCs/>
          <w:color w:val="000000"/>
          <w:kern w:val="0"/>
          <w:sz w:val="24"/>
          <w:szCs w:val="24"/>
        </w:rPr>
        <w:t>）、</w:t>
      </w:r>
      <w:r w:rsidRPr="00130ACC">
        <w:rPr>
          <w:rFonts w:ascii="仿宋" w:eastAsia="仿宋" w:hAnsi="仿宋" w:cs="SimSun,Bold" w:hint="eastAsia"/>
          <w:bCs/>
          <w:color w:val="000000"/>
          <w:kern w:val="0"/>
          <w:sz w:val="24"/>
          <w:szCs w:val="24"/>
        </w:rPr>
        <w:t>18）</w:t>
      </w:r>
      <w:r w:rsidRPr="00C07665">
        <w:rPr>
          <w:rFonts w:ascii="仿宋" w:eastAsia="仿宋" w:hAnsi="仿宋" w:cs="SimSun,Bold" w:hint="eastAsia"/>
          <w:bCs/>
          <w:color w:val="000000"/>
          <w:kern w:val="0"/>
          <w:sz w:val="24"/>
          <w:szCs w:val="24"/>
        </w:rPr>
        <w:t>条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禁止行为</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为维护基金份额持有人的合法权益，基金财产不得用于下列投资或者活动：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1）承销证券；</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2）违反规定向他人贷款或提供担保；</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3）从事承担无限责任的投资；</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4）买卖其他基金份额，但法律法规或中国证监会另有规定的除外；</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5）向</w:t>
      </w:r>
      <w:r>
        <w:rPr>
          <w:rFonts w:ascii="仿宋" w:eastAsia="仿宋" w:hAnsi="仿宋" w:cs="宋体" w:hint="eastAsia"/>
          <w:kern w:val="0"/>
          <w:sz w:val="24"/>
          <w:szCs w:val="24"/>
        </w:rPr>
        <w:t>其</w:t>
      </w:r>
      <w:r>
        <w:rPr>
          <w:rFonts w:ascii="仿宋" w:eastAsia="仿宋" w:hAnsi="仿宋" w:cs="SimSun,Bold" w:hint="eastAsia"/>
          <w:bCs/>
          <w:color w:val="000000"/>
          <w:kern w:val="0"/>
          <w:sz w:val="24"/>
          <w:szCs w:val="24"/>
        </w:rPr>
        <w:t>基金管理人、基金托管人出资；</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6）从事内幕交易、操纵证券交易价格及其他不正当的证券交易活动；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w:t>
      </w:r>
      <w:r w:rsidRPr="00C07665">
        <w:rPr>
          <w:rFonts w:ascii="仿宋" w:eastAsia="仿宋" w:hAnsi="仿宋" w:cs="SimSun,Bold" w:hint="eastAsia"/>
          <w:bCs/>
          <w:color w:val="000000"/>
          <w:kern w:val="0"/>
          <w:sz w:val="24"/>
          <w:szCs w:val="24"/>
        </w:rPr>
        <w:t>法律、行政法规和中国证监会规定禁止的其他活动</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如法律、行政法规或监管部门取消或调整上述禁止性规定，如适用于本基金，基金管理人在</w:t>
      </w:r>
      <w:r>
        <w:rPr>
          <w:rFonts w:ascii="仿宋" w:eastAsia="仿宋" w:hAnsi="仿宋" w:cs="SimSun,Bold" w:hint="eastAsia"/>
          <w:bCs/>
          <w:color w:val="000000"/>
          <w:kern w:val="0"/>
          <w:sz w:val="24"/>
          <w:szCs w:val="24"/>
        </w:rPr>
        <w:t>履行适当程序后，本基金可不受上述规定的限制或以调整后的规定为准。</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（3）关联交易原则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法律法规或监管部门取消或变更上述限制，如适用于本基金，基金管理人在履行适当程序后，则本基金投资不再受相关限制或按变更后的规定执行。</w:t>
      </w:r>
    </w:p>
    <w:p w:rsidR="00E45E2B" w:rsidRPr="00F9291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w:t>
      </w:r>
      <w:r w:rsidRPr="00F9291C">
        <w:rPr>
          <w:rFonts w:ascii="仿宋" w:eastAsia="仿宋" w:hAnsi="仿宋" w:cs="SimSun,Bold" w:hint="eastAsia"/>
          <w:bCs/>
          <w:color w:val="000000"/>
          <w:kern w:val="0"/>
          <w:sz w:val="24"/>
          <w:szCs w:val="24"/>
        </w:rPr>
        <w:t>侧袋机制的实施和投资运作安排</w:t>
      </w:r>
    </w:p>
    <w:p w:rsidR="00E45E2B" w:rsidRPr="00F9291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9291C">
        <w:rPr>
          <w:rFonts w:ascii="仿宋" w:eastAsia="仿宋" w:hAnsi="仿宋" w:cs="SimSun,Bold" w:hint="eastAsia"/>
          <w:bCs/>
          <w:color w:val="000000"/>
          <w:kern w:val="0"/>
          <w:sz w:val="24"/>
          <w:szCs w:val="24"/>
        </w:rPr>
        <w:t>当基金持有特定资产且存在或潜在大额赎回申请时，</w:t>
      </w:r>
      <w:r w:rsidRPr="00422560">
        <w:rPr>
          <w:rFonts w:ascii="仿宋" w:eastAsia="仿宋" w:hAnsi="仿宋" w:cs="SimSun,Bold" w:hint="eastAsia"/>
          <w:bCs/>
          <w:color w:val="000000"/>
          <w:kern w:val="0"/>
          <w:sz w:val="24"/>
          <w:szCs w:val="24"/>
        </w:rPr>
        <w:t>综合考虑投资组合的流动性、特定资产的估值公允性、潜在的赎回压力等因素，</w:t>
      </w:r>
      <w:r w:rsidRPr="00F9291C">
        <w:rPr>
          <w:rFonts w:ascii="仿宋" w:eastAsia="仿宋" w:hAnsi="仿宋" w:cs="SimSun,Bold" w:hint="eastAsia"/>
          <w:bCs/>
          <w:color w:val="000000"/>
          <w:kern w:val="0"/>
          <w:sz w:val="24"/>
          <w:szCs w:val="24"/>
        </w:rPr>
        <w:t>根据最大限度保护基金份额持有人利益的原则，基金管理人经与基金托管人协商一致，并咨询会计师事务所意见后，可以依照法律法规及基金合同的约定启用侧袋机制。</w:t>
      </w:r>
    </w:p>
    <w:p w:rsidR="00E45E2B" w:rsidRPr="00F9291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9291C">
        <w:rPr>
          <w:rFonts w:ascii="仿宋" w:eastAsia="仿宋" w:hAnsi="仿宋" w:cs="SimSun,Bold" w:hint="eastAsia"/>
          <w:bCs/>
          <w:color w:val="000000"/>
          <w:kern w:val="0"/>
          <w:sz w:val="24"/>
          <w:szCs w:val="24"/>
        </w:rPr>
        <w:t>侧袋机制实施期间，本部分约定的投资组合比例、投资策略、组合限制、业绩比较基准、风险收益特征等约定仅适用于主袋账户。</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9291C">
        <w:rPr>
          <w:rFonts w:ascii="仿宋" w:eastAsia="仿宋" w:hAnsi="仿宋" w:cs="SimSun,Bold" w:hint="eastAsia"/>
          <w:bCs/>
          <w:color w:val="000000"/>
          <w:kern w:val="0"/>
          <w:sz w:val="24"/>
          <w:szCs w:val="24"/>
        </w:rPr>
        <w:t>侧袋账户的实施条件、实施程序、运作安排、投资安排、特定资产的处置变现和支付等对投资者权益有重大影响的事项详见招募说明书的规定。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299" w:name="_Toc405988102"/>
      <w:bookmarkStart w:id="300" w:name="_Toc408903636"/>
      <w:bookmarkStart w:id="301" w:name="_Toc459291301"/>
      <w:bookmarkStart w:id="302" w:name="_Toc400726035"/>
      <w:bookmarkStart w:id="303" w:name="_Toc149132968"/>
      <w:bookmarkStart w:id="304" w:name="_Toc169163890"/>
      <w:r>
        <w:rPr>
          <w:rFonts w:ascii="仿宋" w:eastAsia="仿宋" w:hAnsi="仿宋" w:cs="SimSun,Bold" w:hint="eastAsia"/>
          <w:b/>
          <w:bCs/>
          <w:kern w:val="0"/>
          <w:sz w:val="24"/>
          <w:szCs w:val="24"/>
        </w:rPr>
        <w:t>（六）基金资产净值的计算方法和公告方式</w:t>
      </w:r>
      <w:bookmarkEnd w:id="299"/>
      <w:bookmarkEnd w:id="300"/>
      <w:bookmarkEnd w:id="301"/>
      <w:bookmarkEnd w:id="302"/>
      <w:bookmarkEnd w:id="303"/>
      <w:bookmarkEnd w:id="30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305" w:name="_Toc459291302"/>
      <w:r>
        <w:rPr>
          <w:rFonts w:ascii="仿宋" w:eastAsia="仿宋" w:hAnsi="仿宋" w:cs="SimSun,Bold" w:hint="eastAsia"/>
          <w:bCs/>
          <w:color w:val="000000"/>
          <w:kern w:val="0"/>
          <w:sz w:val="24"/>
          <w:szCs w:val="24"/>
        </w:rPr>
        <w:t>1、基金资产净值</w:t>
      </w:r>
      <w:bookmarkEnd w:id="30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306" w:name="_Toc459291303"/>
      <w:r>
        <w:rPr>
          <w:rFonts w:ascii="仿宋" w:eastAsia="仿宋" w:hAnsi="仿宋" w:cs="SimSun,Bold" w:hint="eastAsia"/>
          <w:bCs/>
          <w:color w:val="000000"/>
          <w:kern w:val="0"/>
          <w:sz w:val="24"/>
          <w:szCs w:val="24"/>
        </w:rPr>
        <w:t>基金资产净值是指基金资产总值减去基金负债后的价值。</w:t>
      </w:r>
      <w:bookmarkEnd w:id="306"/>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307" w:name="_Toc459291304"/>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估值方法</w:t>
      </w:r>
      <w:bookmarkEnd w:id="307"/>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9F0E31">
        <w:rPr>
          <w:rFonts w:ascii="仿宋" w:eastAsia="仿宋" w:hAnsi="仿宋" w:cs="SimSun,Bold" w:hint="eastAsia"/>
          <w:bCs/>
          <w:color w:val="000000"/>
          <w:kern w:val="0"/>
          <w:sz w:val="24"/>
          <w:szCs w:val="24"/>
        </w:rPr>
        <w:t>上市或挂牌转让的有价证券的估值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2）已上市交易或挂牌转让的不含权固定收益品种</w:t>
      </w:r>
      <w:r w:rsidRPr="00422560">
        <w:rPr>
          <w:rFonts w:ascii="仿宋" w:eastAsia="仿宋" w:hAnsi="仿宋" w:cs="SimSun,Bold" w:hint="eastAsia"/>
          <w:bCs/>
          <w:color w:val="000000"/>
          <w:kern w:val="0"/>
          <w:sz w:val="24"/>
          <w:szCs w:val="24"/>
        </w:rPr>
        <w:t>（另有规定的除外）</w:t>
      </w:r>
      <w:r w:rsidRPr="009F0E31">
        <w:rPr>
          <w:rFonts w:ascii="仿宋" w:eastAsia="仿宋" w:hAnsi="仿宋" w:cs="SimSun,Bold" w:hint="eastAsia"/>
          <w:bCs/>
          <w:color w:val="000000"/>
          <w:kern w:val="0"/>
          <w:sz w:val="24"/>
          <w:szCs w:val="24"/>
        </w:rPr>
        <w:t>，选取估值日第三方估值基准服务机构提供的相应品种当日的估值全价进行估值；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3）已上市交易或挂牌转让的含权固定收益品种</w:t>
      </w:r>
      <w:r w:rsidRPr="00422560">
        <w:rPr>
          <w:rFonts w:ascii="仿宋" w:eastAsia="仿宋" w:hAnsi="仿宋" w:cs="SimSun,Bold" w:hint="eastAsia"/>
          <w:bCs/>
          <w:color w:val="000000"/>
          <w:kern w:val="0"/>
          <w:sz w:val="24"/>
          <w:szCs w:val="24"/>
        </w:rPr>
        <w:t>（另有规定的除外）</w:t>
      </w:r>
      <w:r w:rsidRPr="009F0E31">
        <w:rPr>
          <w:rFonts w:ascii="仿宋" w:eastAsia="仿宋" w:hAnsi="仿宋" w:cs="SimSun,Bold" w:hint="eastAsia"/>
          <w:bCs/>
          <w:color w:val="000000"/>
          <w:kern w:val="0"/>
          <w:sz w:val="24"/>
          <w:szCs w:val="24"/>
        </w:rPr>
        <w:t>，选取估值日第三方估值基准服务机构提供的相应品种当日的唯一估值全价或推荐估值全价进行估值；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4）对于交易所上市交易的公开发行的可转债等有活跃市场的含转股权的债券，实行全价交易的债券以估值日收盘价作为估值全价；实行净价交易的债券以估值日收盘价并加计每百元税前应计利息作为估值全价；</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5）对于含投资人回售权的固定收益品种，行使回售权的，在回售登记日至实际收款日期间以第三方估值基准服务机构提供的相应品种当日的唯一估值全价或推荐估值全价进行估值，同时充分考虑发行人的信用风险变化对公允价值的影响。回售登记期截止日（含当日）后未行使回售权的按照长待偿期所对应的价格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6）已上市或挂牌转让且不存在活跃市场的有价证券，采用估值技术确定公允价值。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Pr="009F0E31">
        <w:rPr>
          <w:rFonts w:ascii="仿宋" w:eastAsia="仿宋" w:hAnsi="仿宋" w:cs="SimSun,Bold" w:hint="eastAsia"/>
          <w:bCs/>
          <w:color w:val="000000"/>
          <w:kern w:val="0"/>
          <w:sz w:val="24"/>
          <w:szCs w:val="24"/>
        </w:rPr>
        <w:t>处于未上市或未挂牌转让期间的有价证券应区分如下情况处理：</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1）送股、转增股、配股和公开增发的新股，按估值日在证券交易所挂牌的同一股票的估值方法估值；该日无交易的，以最近一日的市价（收盘价）估值；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2）首次公开发行未上市的股票，采用估值技术确定公允价值；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4）对于未上市或未挂牌转让且不存在活跃市场的固定收益品种，应采用在当前情况下适用并且有足够可利用数据和其他信息支持的估值技术确定其公允价值。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9F0E31">
        <w:rPr>
          <w:rFonts w:ascii="仿宋" w:eastAsia="仿宋" w:hAnsi="仿宋" w:cs="SimSun,Bold" w:hint="eastAsia"/>
          <w:bCs/>
          <w:color w:val="000000"/>
          <w:kern w:val="0"/>
          <w:sz w:val="24"/>
          <w:szCs w:val="24"/>
        </w:rPr>
        <w:t>对于发行人已破产、发行人未能按时足额偿付本金或利息，或者有其它可靠信息表明本金或利息无法按时足额偿付的债券投资品种，第三方估值基准服务机构如在提供推荐价格的同时提供价格区间作为公允价值的参考范围以及公允价值存在重大不确定性的相关提示的，基金管理人在与基金托管人协商一致后，可采用价格区间中的数据作为该债券投资品种的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9F0E31">
        <w:rPr>
          <w:rFonts w:ascii="仿宋" w:eastAsia="仿宋" w:hAnsi="仿宋" w:cs="SimSun,Bold" w:hint="eastAsia"/>
          <w:bCs/>
          <w:color w:val="000000"/>
          <w:kern w:val="0"/>
          <w:sz w:val="24"/>
          <w:szCs w:val="24"/>
        </w:rPr>
        <w:t>同一证券同时在两个或两个以上市场交易的，按证券所处的市场分别估值。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9F0E31">
        <w:rPr>
          <w:rFonts w:ascii="仿宋" w:eastAsia="仿宋" w:hAnsi="仿宋" w:cs="SimSun,Bold" w:hint="eastAsia"/>
          <w:bCs/>
          <w:color w:val="000000"/>
          <w:kern w:val="0"/>
          <w:sz w:val="24"/>
          <w:szCs w:val="24"/>
        </w:rPr>
        <w:t>投资证券衍生品的估值方法</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1）股指期货合约，一般以估值当日结算价进行估值，估值当日无结算价的， 且最近交易日后经济环境未发生重大变化的，采用最近交易日结算价估值。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2）国债期货合约，一般以估值当日结算价进行估值，估值当日无结算价的，且最近交易日后经济环境未发生重大变化的，采用最近交易日结算价估值。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3）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BC1DEB">
        <w:rPr>
          <w:rFonts w:ascii="仿宋" w:eastAsia="仿宋" w:hAnsi="仿宋" w:cs="SimSun,Bold" w:hint="eastAsia"/>
          <w:bCs/>
          <w:color w:val="000000"/>
          <w:kern w:val="0"/>
          <w:sz w:val="24"/>
          <w:szCs w:val="24"/>
        </w:rPr>
        <w:t>4）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w:t>
      </w:r>
      <w:r w:rsidRPr="009F0E31">
        <w:rPr>
          <w:rFonts w:ascii="仿宋" w:eastAsia="仿宋" w:hAnsi="仿宋" w:cs="SimSun,Bold" w:hint="eastAsia"/>
          <w:bCs/>
          <w:color w:val="000000"/>
          <w:kern w:val="0"/>
          <w:sz w:val="24"/>
          <w:szCs w:val="24"/>
        </w:rPr>
        <w:t>存款的估值方法</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持有的银行定期存款或通知存款以本金列示，按协议或合同利率逐日确认利息收入。如提前支取或利率发生变化，基金管理人应及时进行账务调整。</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w:t>
      </w:r>
      <w:r w:rsidRPr="009F0E31">
        <w:rPr>
          <w:rFonts w:ascii="仿宋" w:eastAsia="仿宋" w:hAnsi="仿宋" w:cs="SimSun,Bold" w:hint="eastAsia"/>
          <w:bCs/>
          <w:color w:val="000000"/>
          <w:kern w:val="0"/>
          <w:sz w:val="24"/>
          <w:szCs w:val="24"/>
        </w:rPr>
        <w:t>汇率</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本基金外币资产价值计算中，涉及外币对人民币汇率的，应当以基金估值日中国人民银行或其授权机构公布的人民币汇率中间价为准。</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（8）</w:t>
      </w:r>
      <w:r w:rsidRPr="009F0E31">
        <w:rPr>
          <w:rFonts w:ascii="仿宋" w:eastAsia="仿宋" w:hAnsi="仿宋" w:cs="SimSun,Bold" w:hint="eastAsia"/>
          <w:bCs/>
          <w:color w:val="000000"/>
          <w:kern w:val="0"/>
          <w:sz w:val="24"/>
          <w:szCs w:val="24"/>
        </w:rPr>
        <w:t>本基金参与融资业务的，按照相关法律法规和监管部门的规定估值。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（9）</w:t>
      </w:r>
      <w:r w:rsidRPr="009F0E31">
        <w:rPr>
          <w:rFonts w:ascii="仿宋" w:eastAsia="仿宋" w:hAnsi="仿宋" w:cs="SimSun,Bold" w:hint="eastAsia"/>
          <w:bCs/>
          <w:color w:val="000000"/>
          <w:kern w:val="0"/>
          <w:sz w:val="24"/>
          <w:szCs w:val="24"/>
        </w:rPr>
        <w:t>本基金投资存托凭证的估值核算依照内地上市交易的股票执行。</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税收</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如有确凿证据表明按上述方法进行估值不能客观反映其公允价值的，基金管理人可根据具体情况与基金托管人商定后，按最能反映公允价值的价格估值。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当发生大额申购或赎回情形时，基金管理人可以采用摆动定价机制，以确保基金估值的公平性</w:t>
      </w:r>
      <w:r w:rsidRPr="00143C92">
        <w:rPr>
          <w:rFonts w:ascii="仿宋" w:eastAsia="仿宋" w:hAnsi="仿宋" w:cs="SimSun,Bold" w:hint="eastAsia"/>
          <w:bCs/>
          <w:color w:val="000000"/>
          <w:kern w:val="0"/>
          <w:sz w:val="24"/>
          <w:szCs w:val="24"/>
        </w:rPr>
        <w:t>，并履行相关信息披露义务。</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相关法律法规以及监管部门有强制规定的，从其规定。如有新增事项，按国家最新规定估值。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sidRPr="009F0E31">
        <w:rPr>
          <w:rFonts w:ascii="仿宋" w:eastAsia="仿宋" w:hAnsi="仿宋" w:cs="SimSun,Bold" w:hint="eastAsia"/>
          <w:bCs/>
          <w:color w:val="000000"/>
          <w:kern w:val="0"/>
          <w:sz w:val="24"/>
          <w:szCs w:val="24"/>
        </w:rPr>
        <w:t>根据有关法律法规，基金管理人计算基金资产净值，基金托管人复核、审查基金管理人计算的基金资产净值。基金资产净值计算、基金份额净值计算和基金会计核算的义务由基金管理人承担。本基金的基金会计责任方由基金管理人担任，因此，就与本基金有关的会计问题，如经相关各方在平等基础上充分讨论后，仍无法达成一致的意见，</w:t>
      </w:r>
      <w:r w:rsidRPr="00143C92">
        <w:rPr>
          <w:rFonts w:ascii="仿宋" w:eastAsia="仿宋" w:hAnsi="仿宋" w:cs="SimSun,Bold" w:hint="eastAsia"/>
          <w:bCs/>
          <w:color w:val="000000"/>
          <w:kern w:val="0"/>
          <w:sz w:val="24"/>
          <w:szCs w:val="24"/>
        </w:rPr>
        <w:t>基金管理人向基金托管人出具盖章的书面说明后，</w:t>
      </w:r>
      <w:r w:rsidRPr="009F0E31">
        <w:rPr>
          <w:rFonts w:ascii="仿宋" w:eastAsia="仿宋" w:hAnsi="仿宋" w:cs="SimSun,Bold" w:hint="eastAsia"/>
          <w:bCs/>
          <w:color w:val="000000"/>
          <w:kern w:val="0"/>
          <w:sz w:val="24"/>
          <w:szCs w:val="24"/>
        </w:rPr>
        <w:t>按照基金管理人对基金净值信息的计算结果对外予以公布。</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kern w:val="0"/>
          <w:sz w:val="24"/>
          <w:szCs w:val="24"/>
        </w:rPr>
        <w:t>基金净值</w:t>
      </w:r>
      <w:r>
        <w:rPr>
          <w:rFonts w:ascii="仿宋" w:eastAsia="仿宋" w:hAnsi="仿宋" w:cs="宋体" w:hint="eastAsia"/>
          <w:kern w:val="0"/>
          <w:sz w:val="24"/>
          <w:szCs w:val="24"/>
        </w:rPr>
        <w:t>信息</w:t>
      </w:r>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8" w:name="_Toc459291305"/>
      <w:r w:rsidRPr="00123D36">
        <w:rPr>
          <w:rFonts w:ascii="仿宋" w:eastAsia="仿宋" w:hAnsi="仿宋" w:cs="宋体" w:hint="eastAsia"/>
          <w:kern w:val="0"/>
          <w:sz w:val="24"/>
          <w:szCs w:val="24"/>
        </w:rPr>
        <w:t>基金合同生效后，在开始办理基金份额申购或者赎回前，基金管理人应当至少每周在规定网站披露一次基金份额净值和基金份额累计净值。</w:t>
      </w:r>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sidRPr="00123D36">
        <w:rPr>
          <w:rFonts w:ascii="仿宋" w:eastAsia="仿宋" w:hAnsi="仿宋" w:cs="宋体" w:hint="eastAsia"/>
          <w:kern w:val="0"/>
          <w:sz w:val="24"/>
          <w:szCs w:val="24"/>
        </w:rPr>
        <w:t>在开始办理基金份额申购或者赎回后，基金管理人应当在不晚于每个开放日的次日，通过规定网站、基金销售机构网站或营业网点，披露开放日</w:t>
      </w:r>
      <w:r>
        <w:rPr>
          <w:rFonts w:ascii="仿宋" w:eastAsia="仿宋" w:hAnsi="仿宋" w:cs="宋体" w:hint="eastAsia"/>
          <w:kern w:val="0"/>
          <w:sz w:val="24"/>
          <w:szCs w:val="24"/>
        </w:rPr>
        <w:t>的</w:t>
      </w:r>
      <w:r w:rsidRPr="00123D36">
        <w:rPr>
          <w:rFonts w:ascii="仿宋" w:eastAsia="仿宋" w:hAnsi="仿宋" w:cs="宋体" w:hint="eastAsia"/>
          <w:kern w:val="0"/>
          <w:sz w:val="24"/>
          <w:szCs w:val="24"/>
        </w:rPr>
        <w:t>基金份额净值和基金份额累计净值。</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sidRPr="00123D36">
        <w:rPr>
          <w:rFonts w:ascii="仿宋" w:eastAsia="仿宋" w:hAnsi="仿宋" w:cs="宋体" w:hint="eastAsia"/>
          <w:kern w:val="0"/>
          <w:sz w:val="24"/>
          <w:szCs w:val="24"/>
        </w:rPr>
        <w:t>基金管理人应当在不晚于半年度和年度最后一日的次日，在规定网站披露半年度和年度最后一日</w:t>
      </w:r>
      <w:r w:rsidRPr="002B2D87">
        <w:rPr>
          <w:rFonts w:ascii="仿宋" w:eastAsia="仿宋" w:hAnsi="仿宋" w:cs="宋体" w:hint="eastAsia"/>
          <w:kern w:val="0"/>
          <w:sz w:val="24"/>
          <w:szCs w:val="24"/>
        </w:rPr>
        <w:t>的</w:t>
      </w:r>
      <w:r w:rsidRPr="00123D36">
        <w:rPr>
          <w:rFonts w:ascii="仿宋" w:eastAsia="仿宋" w:hAnsi="仿宋" w:cs="宋体" w:hint="eastAsia"/>
          <w:kern w:val="0"/>
          <w:sz w:val="24"/>
          <w:szCs w:val="24"/>
        </w:rPr>
        <w:t>基金份额净值和基金份额累计净值</w:t>
      </w:r>
      <w:bookmarkStart w:id="309" w:name="_Toc459291307"/>
      <w:bookmarkEnd w:id="308"/>
      <w:r>
        <w:rPr>
          <w:rFonts w:ascii="仿宋" w:eastAsia="仿宋" w:hAnsi="仿宋" w:cs="宋体" w:hint="eastAsia"/>
          <w:kern w:val="0"/>
          <w:sz w:val="24"/>
          <w:szCs w:val="24"/>
        </w:rPr>
        <w:t>。</w:t>
      </w:r>
      <w:bookmarkEnd w:id="309"/>
    </w:p>
    <w:p w:rsidR="00E45E2B" w:rsidRPr="00313836"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313836">
        <w:rPr>
          <w:rFonts w:ascii="仿宋" w:eastAsia="仿宋" w:hAnsi="仿宋" w:cs="SimSun,Bold" w:hint="eastAsia"/>
          <w:bCs/>
          <w:color w:val="000000"/>
          <w:kern w:val="0"/>
          <w:sz w:val="24"/>
          <w:szCs w:val="24"/>
        </w:rPr>
        <w:t>如法律法规将来另有规定的，本基金按照新规定执行。如需据此相应修改基金合同的，</w:t>
      </w:r>
      <w:r w:rsidRPr="00EE5418">
        <w:rPr>
          <w:rFonts w:ascii="仿宋" w:eastAsia="仿宋" w:hAnsi="仿宋" w:cs="SimSun,Bold" w:hint="eastAsia"/>
          <w:bCs/>
          <w:color w:val="000000"/>
          <w:kern w:val="0"/>
          <w:sz w:val="24"/>
          <w:szCs w:val="24"/>
        </w:rPr>
        <w:t>基金管理人与基金托管人协商一致，并提前公告后，可直接对相应内容进行修改和调整，</w:t>
      </w:r>
      <w:r w:rsidRPr="00313836">
        <w:rPr>
          <w:rFonts w:ascii="仿宋" w:eastAsia="仿宋" w:hAnsi="仿宋" w:cs="SimSun,Bold" w:hint="eastAsia"/>
          <w:bCs/>
          <w:color w:val="000000"/>
          <w:kern w:val="0"/>
          <w:sz w:val="24"/>
          <w:szCs w:val="24"/>
        </w:rPr>
        <w:t>无须召开基金份额持有人大会。</w:t>
      </w: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10" w:name="_Toc459291308"/>
      <w:bookmarkStart w:id="311" w:name="_Toc149132969"/>
      <w:bookmarkStart w:id="312" w:name="_Toc169163891"/>
      <w:r>
        <w:rPr>
          <w:rFonts w:ascii="仿宋" w:eastAsia="仿宋" w:hAnsi="仿宋" w:cs="SimSun,Bold" w:hint="eastAsia"/>
          <w:b/>
          <w:bCs/>
          <w:kern w:val="0"/>
          <w:sz w:val="24"/>
          <w:szCs w:val="24"/>
        </w:rPr>
        <w:t>（七）基金合同的变更、终止与基金财产的清算</w:t>
      </w:r>
      <w:bookmarkEnd w:id="310"/>
      <w:bookmarkEnd w:id="311"/>
      <w:bookmarkEnd w:id="312"/>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3" w:name="_Toc459291309"/>
      <w:r>
        <w:rPr>
          <w:rFonts w:ascii="仿宋" w:eastAsia="仿宋" w:hAnsi="仿宋" w:cs="宋体" w:hint="eastAsia"/>
          <w:kern w:val="0"/>
          <w:sz w:val="24"/>
          <w:szCs w:val="24"/>
        </w:rPr>
        <w:t>1、《基金合同》的变更</w:t>
      </w:r>
      <w:bookmarkEnd w:id="313"/>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4" w:name="_Toc459291310"/>
      <w:r>
        <w:rPr>
          <w:rFonts w:ascii="仿宋" w:eastAsia="仿宋" w:hAnsi="仿宋" w:cs="宋体" w:hint="eastAsia"/>
          <w:kern w:val="0"/>
          <w:sz w:val="24"/>
          <w:szCs w:val="24"/>
        </w:rPr>
        <w:t>（1）</w:t>
      </w:r>
      <w:r w:rsidRPr="00123D36">
        <w:rPr>
          <w:rFonts w:ascii="仿宋" w:eastAsia="仿宋" w:hAnsi="仿宋" w:cs="宋体" w:hint="eastAsia"/>
          <w:kern w:val="0"/>
          <w:sz w:val="24"/>
          <w:szCs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（2）</w:t>
      </w:r>
      <w:r w:rsidRPr="00123D36">
        <w:rPr>
          <w:rFonts w:ascii="仿宋" w:eastAsia="仿宋" w:hAnsi="仿宋" w:cs="宋体" w:hint="eastAsia"/>
          <w:kern w:val="0"/>
          <w:sz w:val="24"/>
          <w:szCs w:val="24"/>
        </w:rPr>
        <w:t>关于《基金合同》变更的基金份额持有人大会决议自生效后方可执行，自决议生效后2日内在规定媒介公告</w:t>
      </w:r>
      <w:bookmarkStart w:id="315" w:name="_Toc459291311"/>
      <w:bookmarkEnd w:id="314"/>
      <w:r>
        <w:rPr>
          <w:rFonts w:ascii="仿宋" w:eastAsia="仿宋" w:hAnsi="仿宋" w:cs="宋体" w:hint="eastAsia"/>
          <w:kern w:val="0"/>
          <w:sz w:val="24"/>
          <w:szCs w:val="24"/>
        </w:rPr>
        <w:t>。</w:t>
      </w:r>
      <w:bookmarkEnd w:id="31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6" w:name="_Toc459291312"/>
      <w:r>
        <w:rPr>
          <w:rFonts w:ascii="仿宋" w:eastAsia="仿宋" w:hAnsi="仿宋" w:cs="宋体" w:hint="eastAsia"/>
          <w:kern w:val="0"/>
          <w:sz w:val="24"/>
          <w:szCs w:val="24"/>
        </w:rPr>
        <w:t>2、《基金合同》的终止事由</w:t>
      </w:r>
      <w:bookmarkEnd w:id="316"/>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7" w:name="_Toc459291313"/>
      <w:r>
        <w:rPr>
          <w:rFonts w:ascii="仿宋" w:eastAsia="仿宋" w:hAnsi="仿宋" w:cs="宋体" w:hint="eastAsia"/>
          <w:kern w:val="0"/>
          <w:sz w:val="24"/>
          <w:szCs w:val="24"/>
        </w:rPr>
        <w:t>有下列情形之一的，</w:t>
      </w:r>
      <w:r w:rsidRPr="00123D36">
        <w:rPr>
          <w:rFonts w:ascii="仿宋" w:eastAsia="仿宋" w:hAnsi="仿宋" w:cs="宋体" w:hint="eastAsia"/>
          <w:kern w:val="0"/>
          <w:sz w:val="24"/>
          <w:szCs w:val="24"/>
        </w:rPr>
        <w:t>经履行相关程序后，</w:t>
      </w:r>
      <w:r>
        <w:rPr>
          <w:rFonts w:ascii="仿宋" w:eastAsia="仿宋" w:hAnsi="仿宋" w:cs="宋体" w:hint="eastAsia"/>
          <w:kern w:val="0"/>
          <w:sz w:val="24"/>
          <w:szCs w:val="24"/>
        </w:rPr>
        <w:t>《基金合同》应当终止：</w:t>
      </w:r>
      <w:bookmarkEnd w:id="317"/>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8" w:name="_Toc459291314"/>
      <w:r>
        <w:rPr>
          <w:rFonts w:ascii="仿宋" w:eastAsia="仿宋" w:hAnsi="仿宋" w:cs="宋体" w:hint="eastAsia"/>
          <w:kern w:val="0"/>
          <w:sz w:val="24"/>
          <w:szCs w:val="24"/>
        </w:rPr>
        <w:t>（1）基金份额持有人大会决定终止的；</w:t>
      </w:r>
      <w:bookmarkEnd w:id="318"/>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9" w:name="_Toc459291315"/>
      <w:r>
        <w:rPr>
          <w:rFonts w:ascii="仿宋" w:eastAsia="仿宋" w:hAnsi="仿宋" w:cs="宋体" w:hint="eastAsia"/>
          <w:kern w:val="0"/>
          <w:sz w:val="24"/>
          <w:szCs w:val="24"/>
        </w:rPr>
        <w:t>（2）基金管理人、基金托管人职责终止，在</w:t>
      </w:r>
      <w:r>
        <w:rPr>
          <w:rFonts w:ascii="仿宋" w:eastAsia="仿宋" w:hAnsi="仿宋" w:cs="宋体"/>
          <w:kern w:val="0"/>
          <w:sz w:val="24"/>
          <w:szCs w:val="24"/>
        </w:rPr>
        <w:t>6</w:t>
      </w:r>
      <w:r>
        <w:rPr>
          <w:rFonts w:ascii="仿宋" w:eastAsia="仿宋" w:hAnsi="仿宋" w:cs="宋体" w:hint="eastAsia"/>
          <w:kern w:val="0"/>
          <w:sz w:val="24"/>
          <w:szCs w:val="24"/>
        </w:rPr>
        <w:t>个月内没有新基金管理人、新基金托管人承接的；</w:t>
      </w:r>
      <w:bookmarkEnd w:id="319"/>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0" w:name="_Toc459291316"/>
      <w:r>
        <w:rPr>
          <w:rFonts w:ascii="仿宋" w:eastAsia="仿宋" w:hAnsi="仿宋" w:cs="宋体" w:hint="eastAsia"/>
          <w:kern w:val="0"/>
          <w:sz w:val="24"/>
          <w:szCs w:val="24"/>
        </w:rPr>
        <w:t>（3）《基金合同》约定的其他情形；</w:t>
      </w:r>
      <w:bookmarkEnd w:id="320"/>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1" w:name="_Toc459291317"/>
      <w:r>
        <w:rPr>
          <w:rFonts w:ascii="仿宋" w:eastAsia="仿宋" w:hAnsi="仿宋" w:cs="宋体" w:hint="eastAsia"/>
          <w:kern w:val="0"/>
          <w:sz w:val="24"/>
          <w:szCs w:val="24"/>
        </w:rPr>
        <w:t>（4）相关法律法规和中国证监会规定的其他情况。</w:t>
      </w:r>
      <w:bookmarkEnd w:id="32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2" w:name="_Toc459291318"/>
      <w:r>
        <w:rPr>
          <w:rFonts w:ascii="仿宋" w:eastAsia="仿宋" w:hAnsi="仿宋" w:cs="宋体" w:hint="eastAsia"/>
          <w:kern w:val="0"/>
          <w:sz w:val="24"/>
          <w:szCs w:val="24"/>
        </w:rPr>
        <w:t>3、基金财产的清算</w:t>
      </w:r>
      <w:bookmarkEnd w:id="322"/>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3" w:name="_Toc459291319"/>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）基金财产清算小组：自出现《基金合同》终止事由之日起</w:t>
      </w:r>
      <w:r>
        <w:rPr>
          <w:rFonts w:ascii="仿宋" w:eastAsia="仿宋" w:hAnsi="仿宋" w:cs="宋体"/>
          <w:kern w:val="0"/>
          <w:sz w:val="24"/>
          <w:szCs w:val="24"/>
        </w:rPr>
        <w:t>30</w:t>
      </w:r>
      <w:r>
        <w:rPr>
          <w:rFonts w:ascii="仿宋" w:eastAsia="仿宋" w:hAnsi="仿宋" w:cs="宋体" w:hint="eastAsia"/>
          <w:kern w:val="0"/>
          <w:sz w:val="24"/>
          <w:szCs w:val="24"/>
        </w:rPr>
        <w:t>个工作日内成立清算小组，基金管理人组织基金财产清算小组并在中国证监会的监督下进行基金清算。</w:t>
      </w:r>
      <w:bookmarkEnd w:id="323"/>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4" w:name="_Toc459291320"/>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）基金财产清算小组组成：基金财产清算小组成员由基金管理人、基金托管人、</w:t>
      </w:r>
      <w:r w:rsidRPr="001B517C">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的注册会计师、律师以及中国证监会指定的人员组成。基金财产清算小组可以聘用必要的工作人员。</w:t>
      </w:r>
      <w:bookmarkEnd w:id="324"/>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5" w:name="_Toc459291321"/>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）基金财产清算小组职责：基金财产清算小组负责基金财产的保管、清理、估价、变现和分配。基金财产清算小组可以依法进行必要的民事活动。</w:t>
      </w:r>
      <w:bookmarkEnd w:id="32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6" w:name="_Toc459291322"/>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）基金财产清算程序：</w:t>
      </w:r>
      <w:bookmarkEnd w:id="326"/>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7" w:name="_Toc459291324"/>
      <w:bookmarkStart w:id="328" w:name="_Toc459291323"/>
      <w:r w:rsidRPr="00123D36">
        <w:rPr>
          <w:rFonts w:ascii="仿宋" w:eastAsia="仿宋" w:hAnsi="仿宋" w:cs="宋体" w:hint="eastAsia"/>
          <w:kern w:val="0"/>
          <w:sz w:val="24"/>
          <w:szCs w:val="24"/>
        </w:rPr>
        <w:t>1）《基金合同》终止情形出现时，由基金财产清算小组统一接管基金；</w:t>
      </w:r>
      <w:bookmarkEnd w:id="327"/>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9" w:name="_Toc459291325"/>
      <w:r w:rsidRPr="00123D36">
        <w:rPr>
          <w:rFonts w:ascii="仿宋" w:eastAsia="仿宋" w:hAnsi="仿宋" w:cs="宋体" w:hint="eastAsia"/>
          <w:kern w:val="0"/>
          <w:sz w:val="24"/>
          <w:szCs w:val="24"/>
        </w:rPr>
        <w:t>2）对基金财产和债权债务进行清理和确认；</w:t>
      </w:r>
      <w:bookmarkEnd w:id="329"/>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0" w:name="_Toc459291326"/>
      <w:r w:rsidRPr="00123D36">
        <w:rPr>
          <w:rFonts w:ascii="仿宋" w:eastAsia="仿宋" w:hAnsi="仿宋" w:cs="宋体" w:hint="eastAsia"/>
          <w:kern w:val="0"/>
          <w:sz w:val="24"/>
          <w:szCs w:val="24"/>
        </w:rPr>
        <w:t>3）对基金财产进行估值和变现；</w:t>
      </w:r>
      <w:bookmarkEnd w:id="330"/>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1" w:name="_Toc459291327"/>
      <w:r w:rsidRPr="00123D36">
        <w:rPr>
          <w:rFonts w:ascii="仿宋" w:eastAsia="仿宋" w:hAnsi="仿宋" w:cs="宋体" w:hint="eastAsia"/>
          <w:kern w:val="0"/>
          <w:sz w:val="24"/>
          <w:szCs w:val="24"/>
        </w:rPr>
        <w:t>4）制作清算报告；</w:t>
      </w:r>
      <w:bookmarkEnd w:id="331"/>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2" w:name="_Toc459291328"/>
      <w:r w:rsidRPr="00123D36">
        <w:rPr>
          <w:rFonts w:ascii="仿宋" w:eastAsia="仿宋" w:hAnsi="仿宋" w:cs="宋体" w:hint="eastAsia"/>
          <w:kern w:val="0"/>
          <w:sz w:val="24"/>
          <w:szCs w:val="24"/>
        </w:rPr>
        <w:t>5）聘请会计师事务所对清算报告进行外部审计，聘请律师事务所对清算报告出具法律意见书；</w:t>
      </w:r>
      <w:bookmarkEnd w:id="332"/>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3" w:name="_Toc459291329"/>
      <w:r w:rsidRPr="00123D36">
        <w:rPr>
          <w:rFonts w:ascii="仿宋" w:eastAsia="仿宋" w:hAnsi="仿宋" w:cs="宋体" w:hint="eastAsia"/>
          <w:kern w:val="0"/>
          <w:sz w:val="24"/>
          <w:szCs w:val="24"/>
        </w:rPr>
        <w:t>6）将清算报告报中国证监会备案并公告</w:t>
      </w:r>
      <w:bookmarkEnd w:id="333"/>
      <w:r w:rsidRPr="00123D36">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4" w:name="_Toc459291330"/>
      <w:r w:rsidRPr="00123D36">
        <w:rPr>
          <w:rFonts w:ascii="仿宋" w:eastAsia="仿宋" w:hAnsi="仿宋" w:cs="宋体" w:hint="eastAsia"/>
          <w:kern w:val="0"/>
          <w:sz w:val="24"/>
          <w:szCs w:val="24"/>
        </w:rPr>
        <w:t>7）对基金剩余财产进行分配。</w:t>
      </w:r>
      <w:bookmarkEnd w:id="334"/>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5" w:name="_Toc459291331"/>
      <w:bookmarkEnd w:id="328"/>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）基金财产清算的期限为</w:t>
      </w:r>
      <w:r>
        <w:rPr>
          <w:rFonts w:ascii="仿宋" w:eastAsia="仿宋" w:hAnsi="仿宋" w:cs="宋体"/>
          <w:kern w:val="0"/>
          <w:sz w:val="24"/>
          <w:szCs w:val="24"/>
        </w:rPr>
        <w:t>6</w:t>
      </w:r>
      <w:r>
        <w:rPr>
          <w:rFonts w:ascii="仿宋" w:eastAsia="仿宋" w:hAnsi="仿宋" w:cs="宋体" w:hint="eastAsia"/>
          <w:kern w:val="0"/>
          <w:sz w:val="24"/>
          <w:szCs w:val="24"/>
        </w:rPr>
        <w:t>个月</w:t>
      </w:r>
      <w:r w:rsidRPr="00F4560D">
        <w:rPr>
          <w:rFonts w:ascii="仿宋" w:eastAsia="仿宋" w:hAnsi="仿宋" w:cs="宋体" w:hint="eastAsia"/>
          <w:kern w:val="0"/>
          <w:sz w:val="24"/>
          <w:szCs w:val="24"/>
        </w:rPr>
        <w:t>，但因本基金所持证券的流动性受到限制而不能及时变现的，清算期限相应顺延</w:t>
      </w:r>
      <w:r>
        <w:rPr>
          <w:rFonts w:ascii="仿宋" w:eastAsia="仿宋" w:hAnsi="仿宋" w:cs="宋体" w:hint="eastAsia"/>
          <w:kern w:val="0"/>
          <w:sz w:val="24"/>
          <w:szCs w:val="24"/>
        </w:rPr>
        <w:t>。</w:t>
      </w:r>
      <w:bookmarkEnd w:id="33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6" w:name="_Toc459291332"/>
      <w:r>
        <w:rPr>
          <w:rFonts w:ascii="仿宋" w:eastAsia="仿宋" w:hAnsi="仿宋" w:cs="宋体" w:hint="eastAsia"/>
          <w:kern w:val="0"/>
          <w:sz w:val="24"/>
          <w:szCs w:val="24"/>
        </w:rPr>
        <w:t>4、清算费用</w:t>
      </w:r>
      <w:bookmarkEnd w:id="336"/>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7" w:name="_Toc459291333"/>
      <w:r>
        <w:rPr>
          <w:rFonts w:ascii="仿宋" w:eastAsia="仿宋" w:hAnsi="仿宋" w:cs="宋体" w:hint="eastAsia"/>
          <w:kern w:val="0"/>
          <w:sz w:val="24"/>
          <w:szCs w:val="24"/>
        </w:rPr>
        <w:t>清算费用是指基金财产清算小组在进行基金财产清算过程中发生的所有合理费用，清算费用由基金财产清算小组优先从基金剩余财产中支付。</w:t>
      </w:r>
      <w:bookmarkEnd w:id="337"/>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8" w:name="_Toc459291334"/>
      <w:r>
        <w:rPr>
          <w:rFonts w:ascii="仿宋" w:eastAsia="仿宋" w:hAnsi="仿宋" w:cs="宋体" w:hint="eastAsia"/>
          <w:kern w:val="0"/>
          <w:sz w:val="24"/>
          <w:szCs w:val="24"/>
        </w:rPr>
        <w:t>5、基金财产清算剩余资产的分配</w:t>
      </w:r>
      <w:bookmarkEnd w:id="338"/>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9" w:name="_Toc459291335"/>
      <w:r>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bookmarkEnd w:id="339"/>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0" w:name="_Toc459291336"/>
      <w:r>
        <w:rPr>
          <w:rFonts w:ascii="仿宋" w:eastAsia="仿宋" w:hAnsi="仿宋" w:cs="宋体" w:hint="eastAsia"/>
          <w:kern w:val="0"/>
          <w:sz w:val="24"/>
          <w:szCs w:val="24"/>
        </w:rPr>
        <w:t>6、基金财产清算的公告</w:t>
      </w:r>
      <w:bookmarkEnd w:id="340"/>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1" w:name="_Toc459291337"/>
      <w:r>
        <w:rPr>
          <w:rFonts w:ascii="仿宋" w:eastAsia="仿宋" w:hAnsi="仿宋" w:cs="宋体" w:hint="eastAsia"/>
          <w:kern w:val="0"/>
          <w:sz w:val="24"/>
          <w:szCs w:val="24"/>
        </w:rPr>
        <w:t>清算过程中的有关重大事项须及时公告；基金财产清算报告经</w:t>
      </w:r>
      <w:r w:rsidRPr="00F4560D">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的会计师事务所审计并由律师事务所出具法律意见书后报中国证监会备案并公告。基金财产清算公告于基金财产清算报告报中国证监会备案后</w:t>
      </w:r>
      <w:r>
        <w:rPr>
          <w:rFonts w:ascii="仿宋" w:eastAsia="仿宋" w:hAnsi="仿宋" w:cs="宋体"/>
          <w:kern w:val="0"/>
          <w:sz w:val="24"/>
          <w:szCs w:val="24"/>
        </w:rPr>
        <w:t>5</w:t>
      </w:r>
      <w:r>
        <w:rPr>
          <w:rFonts w:ascii="仿宋" w:eastAsia="仿宋" w:hAnsi="仿宋" w:cs="宋体" w:hint="eastAsia"/>
          <w:kern w:val="0"/>
          <w:sz w:val="24"/>
          <w:szCs w:val="24"/>
        </w:rPr>
        <w:t>个工作日内由基金财产清算小组进行公告，基金财产清算小组应当将清算报告登载在规定网站上，并将清算报告提示性公告登载在规定报刊上。</w:t>
      </w:r>
      <w:bookmarkEnd w:id="34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2" w:name="_Toc459291338"/>
      <w:r>
        <w:rPr>
          <w:rFonts w:ascii="仿宋" w:eastAsia="仿宋" w:hAnsi="仿宋" w:cs="宋体" w:hint="eastAsia"/>
          <w:kern w:val="0"/>
          <w:sz w:val="24"/>
          <w:szCs w:val="24"/>
        </w:rPr>
        <w:t>7、基金财产清算账册及文件的保存</w:t>
      </w:r>
      <w:bookmarkEnd w:id="342"/>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3" w:name="_Toc459291339"/>
      <w:r>
        <w:rPr>
          <w:rFonts w:ascii="仿宋" w:eastAsia="仿宋" w:hAnsi="仿宋" w:cs="宋体" w:hint="eastAsia"/>
          <w:kern w:val="0"/>
          <w:sz w:val="24"/>
          <w:szCs w:val="24"/>
        </w:rPr>
        <w:t>基金财产清算账册及有关文件由基金托管人保存，保存期限不少于法定最低期限。</w:t>
      </w:r>
      <w:bookmarkEnd w:id="34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44" w:name="_Toc459291340"/>
      <w:bookmarkStart w:id="345" w:name="_Toc149132970"/>
      <w:bookmarkStart w:id="346" w:name="_Toc169163892"/>
      <w:r>
        <w:rPr>
          <w:rFonts w:ascii="仿宋" w:eastAsia="仿宋" w:hAnsi="仿宋" w:cs="SimSun,Bold" w:hint="eastAsia"/>
          <w:b/>
          <w:bCs/>
          <w:kern w:val="0"/>
          <w:sz w:val="24"/>
          <w:szCs w:val="24"/>
        </w:rPr>
        <w:t>（八）争议解决方式</w:t>
      </w:r>
      <w:bookmarkEnd w:id="344"/>
      <w:bookmarkEnd w:id="345"/>
      <w:bookmarkEnd w:id="346"/>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7" w:name="_Toc459291341"/>
      <w:r>
        <w:rPr>
          <w:rFonts w:ascii="仿宋" w:eastAsia="仿宋" w:hAnsi="仿宋" w:cs="宋体" w:hint="eastAsia"/>
          <w:kern w:val="0"/>
          <w:sz w:val="24"/>
          <w:szCs w:val="24"/>
        </w:rPr>
        <w:t>各方当事人同意，因《基金合同》而产生的或与《基金合同》有关的一切争议，如经友好协商</w:t>
      </w:r>
      <w:r w:rsidRPr="004A4054">
        <w:rPr>
          <w:rFonts w:ascii="仿宋" w:eastAsia="仿宋" w:hAnsi="仿宋" w:cs="宋体" w:hint="eastAsia"/>
          <w:kern w:val="0"/>
          <w:sz w:val="24"/>
          <w:szCs w:val="24"/>
        </w:rPr>
        <w:t>、调解</w:t>
      </w:r>
      <w:r>
        <w:rPr>
          <w:rFonts w:ascii="仿宋" w:eastAsia="仿宋" w:hAnsi="仿宋" w:cs="宋体" w:hint="eastAsia"/>
          <w:kern w:val="0"/>
          <w:sz w:val="24"/>
          <w:szCs w:val="24"/>
        </w:rPr>
        <w:t>未能解决的，</w:t>
      </w:r>
      <w:r w:rsidRPr="00E05A60">
        <w:rPr>
          <w:rFonts w:ascii="仿宋" w:eastAsia="仿宋" w:hAnsi="仿宋" w:cs="宋体" w:hint="eastAsia"/>
          <w:kern w:val="0"/>
          <w:sz w:val="24"/>
          <w:szCs w:val="24"/>
        </w:rPr>
        <w:t>应提交上海国际经济贸易仲裁委员会根据该会当时有效的仲裁规则进行仲裁，仲裁地点为上海市</w:t>
      </w:r>
      <w:r>
        <w:rPr>
          <w:rFonts w:ascii="仿宋" w:eastAsia="仿宋" w:hAnsi="仿宋" w:cs="宋体" w:hint="eastAsia"/>
          <w:kern w:val="0"/>
          <w:sz w:val="24"/>
          <w:szCs w:val="24"/>
        </w:rPr>
        <w:t>，仲裁裁决是终局性的并对各方当事人具有约束力，除非仲裁裁决另有决定，仲裁费由败诉方承担。</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争议处理期间，基金合同当事人应恪守各自的职责，各自继续忠实、勤勉、尽责地履行基金合同规定的义务，维护基金份额持有人的合法权益。</w:t>
      </w:r>
    </w:p>
    <w:p w:rsidR="00E45E2B" w:rsidRDefault="00E45E2B" w:rsidP="00E45E2B">
      <w:pPr>
        <w:autoSpaceDE w:val="0"/>
        <w:autoSpaceDN w:val="0"/>
        <w:adjustRightInd w:val="0"/>
        <w:spacing w:line="360" w:lineRule="auto"/>
        <w:ind w:firstLineChars="200" w:firstLine="480"/>
        <w:jc w:val="left"/>
        <w:rPr>
          <w:rFonts w:ascii="仿宋" w:eastAsia="仿宋" w:hAnsi="仿宋" w:cs="宋体"/>
          <w:kern w:val="0"/>
          <w:sz w:val="24"/>
          <w:szCs w:val="24"/>
        </w:rPr>
      </w:pPr>
      <w:r w:rsidRPr="006F66A3">
        <w:rPr>
          <w:rFonts w:ascii="仿宋" w:eastAsia="仿宋" w:hAnsi="仿宋" w:cs="宋体" w:hint="eastAsia"/>
          <w:kern w:val="0"/>
          <w:sz w:val="24"/>
          <w:szCs w:val="24"/>
        </w:rPr>
        <w:t>《基金合同》</w:t>
      </w:r>
      <w:r w:rsidRPr="00EE2336">
        <w:rPr>
          <w:rFonts w:ascii="仿宋" w:eastAsia="仿宋" w:hAnsi="仿宋" w:cs="宋体" w:hint="eastAsia"/>
          <w:kern w:val="0"/>
          <w:sz w:val="24"/>
          <w:szCs w:val="24"/>
        </w:rPr>
        <w:t>受中华人民共和国法律</w:t>
      </w:r>
      <w:r w:rsidRPr="006F66A3">
        <w:rPr>
          <w:rFonts w:ascii="仿宋" w:eastAsia="仿宋" w:hAnsi="仿宋" w:cs="宋体" w:hint="eastAsia"/>
          <w:kern w:val="0"/>
          <w:sz w:val="24"/>
          <w:szCs w:val="24"/>
        </w:rPr>
        <w:t>（为《基金合同》之目的，</w:t>
      </w:r>
      <w:r>
        <w:rPr>
          <w:rFonts w:ascii="仿宋" w:eastAsia="仿宋" w:hAnsi="仿宋" w:cs="宋体" w:hint="eastAsia"/>
          <w:kern w:val="0"/>
          <w:sz w:val="24"/>
          <w:szCs w:val="24"/>
        </w:rPr>
        <w:t>在此</w:t>
      </w:r>
      <w:r w:rsidRPr="006F66A3">
        <w:rPr>
          <w:rFonts w:ascii="仿宋" w:eastAsia="仿宋" w:hAnsi="仿宋" w:cs="宋体" w:hint="eastAsia"/>
          <w:kern w:val="0"/>
          <w:sz w:val="24"/>
          <w:szCs w:val="24"/>
        </w:rPr>
        <w:t>不包括香港特别行政区、澳门特别行政区和台湾地区法律）管辖，</w:t>
      </w:r>
      <w:r>
        <w:rPr>
          <w:rFonts w:ascii="仿宋" w:eastAsia="仿宋" w:hAnsi="仿宋" w:cs="宋体" w:hint="eastAsia"/>
          <w:kern w:val="0"/>
          <w:sz w:val="24"/>
          <w:szCs w:val="24"/>
        </w:rPr>
        <w:t>并从其解释。</w:t>
      </w:r>
    </w:p>
    <w:bookmarkEnd w:id="347"/>
    <w:p w:rsidR="00E45E2B" w:rsidRDefault="00E45E2B" w:rsidP="00E45E2B">
      <w:pPr>
        <w:autoSpaceDE w:val="0"/>
        <w:autoSpaceDN w:val="0"/>
        <w:adjustRightInd w:val="0"/>
        <w:spacing w:line="360" w:lineRule="auto"/>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48" w:name="_Toc459291344"/>
      <w:bookmarkStart w:id="349" w:name="_Toc149132971"/>
      <w:bookmarkStart w:id="350" w:name="_Toc169163893"/>
      <w:r>
        <w:rPr>
          <w:rFonts w:ascii="仿宋" w:eastAsia="仿宋" w:hAnsi="仿宋" w:cs="SimSun,Bold" w:hint="eastAsia"/>
          <w:b/>
          <w:bCs/>
          <w:kern w:val="0"/>
          <w:sz w:val="24"/>
          <w:szCs w:val="24"/>
        </w:rPr>
        <w:t>（九）基金合同存放地和投资者取得合同的方式</w:t>
      </w:r>
      <w:bookmarkEnd w:id="348"/>
      <w:bookmarkEnd w:id="349"/>
      <w:bookmarkEnd w:id="350"/>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51" w:name="_Toc459291345"/>
      <w:r>
        <w:rPr>
          <w:rFonts w:ascii="仿宋" w:eastAsia="仿宋" w:hAnsi="仿宋" w:cs="宋体" w:hint="eastAsia"/>
          <w:kern w:val="0"/>
          <w:sz w:val="24"/>
          <w:szCs w:val="24"/>
        </w:rPr>
        <w:t>《基金合同》可印制成册，供投资者在基金管理人、基金托管人、销售机构的办公场所和营业场所查阅。</w:t>
      </w:r>
      <w:bookmarkStart w:id="352" w:name="_Toc355967957"/>
      <w:bookmarkStart w:id="353" w:name="_Toc357503841"/>
      <w:bookmarkStart w:id="354" w:name="_Toc382415399"/>
      <w:bookmarkStart w:id="355" w:name="_Toc374711046"/>
      <w:bookmarkStart w:id="356" w:name="_Toc374710883"/>
      <w:bookmarkStart w:id="357" w:name="_Toc377998642"/>
      <w:bookmarkStart w:id="358" w:name="_Toc365494997"/>
      <w:bookmarkStart w:id="359" w:name="_Toc364683223"/>
      <w:bookmarkStart w:id="360" w:name="_Toc364682647"/>
      <w:bookmarkStart w:id="361" w:name="_Toc381868501"/>
      <w:bookmarkStart w:id="362" w:name="_Toc357502727"/>
      <w:bookmarkStart w:id="363" w:name="_Toc356335617"/>
      <w:bookmarkEnd w:id="52"/>
      <w:bookmarkEnd w:id="53"/>
      <w:bookmarkEnd w:id="35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p>
    <w:bookmarkEnd w:id="352"/>
    <w:bookmarkEnd w:id="353"/>
    <w:bookmarkEnd w:id="354"/>
    <w:bookmarkEnd w:id="355"/>
    <w:bookmarkEnd w:id="356"/>
    <w:bookmarkEnd w:id="357"/>
    <w:bookmarkEnd w:id="358"/>
    <w:bookmarkEnd w:id="359"/>
    <w:bookmarkEnd w:id="360"/>
    <w:bookmarkEnd w:id="361"/>
    <w:bookmarkEnd w:id="362"/>
    <w:bookmarkEnd w:id="363"/>
    <w:p w:rsidR="006833A7" w:rsidRPr="00F42FE1" w:rsidRDefault="006833A7" w:rsidP="00E45E2B">
      <w:pPr>
        <w:autoSpaceDE w:val="0"/>
        <w:autoSpaceDN w:val="0"/>
        <w:adjustRightInd w:val="0"/>
        <w:spacing w:line="360" w:lineRule="auto"/>
        <w:jc w:val="left"/>
        <w:rPr>
          <w:rFonts w:ascii="Arial Unicode MS" w:hAnsi="Arial Unicode MS"/>
          <w:b/>
          <w:szCs w:val="21"/>
        </w:rPr>
      </w:pPr>
    </w:p>
    <w:sectPr w:rsidR="006833A7" w:rsidRPr="00F42FE1" w:rsidSect="003378CF">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7E11D" w16cid:durableId="2B0477E1"/>
  <w16cid:commentId w16cid:paraId="61F3DB83" w16cid:durableId="2B0476A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93C" w:rsidRDefault="0010593C" w:rsidP="00DC1F06">
      <w:r>
        <w:separator/>
      </w:r>
    </w:p>
  </w:endnote>
  <w:endnote w:type="continuationSeparator" w:id="0">
    <w:p w:rsidR="0010593C" w:rsidRDefault="0010593C" w:rsidP="00DC1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仿宋简体">
    <w:altName w:val="Malgun Gothic Semilight"/>
    <w:charset w:val="86"/>
    <w:family w:val="auto"/>
    <w:pitch w:val="default"/>
    <w:sig w:usb0="00000000" w:usb1="00000000" w:usb2="00000000" w:usb3="00000000" w:csb0="00040000" w:csb1="00000000"/>
  </w:font>
  <w:font w:name="新宋体-18030">
    <w:altName w:val="Arial Unicode MS"/>
    <w:charset w:val="86"/>
    <w:family w:val="modern"/>
    <w:pitch w:val="default"/>
    <w:sig w:usb0="00000000" w:usb1="00000000" w:usb2="000A005E"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SimSun,Bold">
    <w:altName w:val="宋体"/>
    <w:charset w:val="86"/>
    <w:family w:val="auto"/>
    <w:pitch w:val="default"/>
    <w:sig w:usb0="00000000" w:usb1="00000000" w:usb2="00000010" w:usb3="00000000" w:csb0="00040000" w:csb1="00000000"/>
  </w:font>
  <w:font w:name="等线">
    <w:altName w:val="DengXian"/>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97" w:rsidRDefault="005D5B9A" w:rsidP="0043118D">
    <w:pPr>
      <w:pStyle w:val="a5"/>
      <w:jc w:val="center"/>
    </w:pPr>
    <w:r>
      <w:fldChar w:fldCharType="begin"/>
    </w:r>
    <w:r w:rsidR="00C46997">
      <w:instrText xml:space="preserve"> PAGE   \* MERGEFORMAT </w:instrText>
    </w:r>
    <w:r>
      <w:fldChar w:fldCharType="separate"/>
    </w:r>
    <w:r w:rsidR="00B37EC7" w:rsidRPr="00B37EC7">
      <w:rPr>
        <w:noProof/>
        <w:lang w:val="zh-CN"/>
      </w:rPr>
      <w:t>1</w:t>
    </w:r>
    <w:r>
      <w:fldChar w:fldCharType="end"/>
    </w:r>
  </w:p>
  <w:p w:rsidR="00C46997" w:rsidRDefault="00C469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97" w:rsidRDefault="005D5B9A">
    <w:pPr>
      <w:pStyle w:val="a5"/>
      <w:jc w:val="center"/>
    </w:pPr>
    <w:r>
      <w:fldChar w:fldCharType="begin"/>
    </w:r>
    <w:r w:rsidR="00C46997">
      <w:instrText>PAGE   \* MERGEFORMAT</w:instrText>
    </w:r>
    <w:r>
      <w:fldChar w:fldCharType="separate"/>
    </w:r>
    <w:r w:rsidR="003378CF">
      <w:rPr>
        <w:noProof/>
      </w:rPr>
      <w:t>1</w:t>
    </w:r>
    <w:r>
      <w:fldChar w:fldCharType="end"/>
    </w:r>
  </w:p>
  <w:p w:rsidR="00C46997" w:rsidRDefault="00C469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93C" w:rsidRDefault="0010593C" w:rsidP="00DC1F06">
      <w:r>
        <w:separator/>
      </w:r>
    </w:p>
  </w:footnote>
  <w:footnote w:type="continuationSeparator" w:id="0">
    <w:p w:rsidR="0010593C" w:rsidRDefault="0010593C" w:rsidP="00DC1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97" w:rsidRDefault="00C46997" w:rsidP="000D2857">
    <w:pPr>
      <w:pStyle w:val="a4"/>
      <w:pBdr>
        <w:bottom w:val="none" w:sz="0" w:space="0" w:color="auto"/>
      </w:pBdr>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97" w:rsidRDefault="00C46997" w:rsidP="00F42FE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3E46E16"/>
    <w:multiLevelType w:val="hybridMultilevel"/>
    <w:tmpl w:val="DA00C94A"/>
    <w:lvl w:ilvl="0" w:tplc="192052F4">
      <w:start w:val="1"/>
      <w:numFmt w:val="decimal"/>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690450"/>
    <w:multiLevelType w:val="hybridMultilevel"/>
    <w:tmpl w:val="FCBAEEBA"/>
    <w:lvl w:ilvl="0" w:tplc="F6E6903E">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BE9212A"/>
    <w:multiLevelType w:val="hybridMultilevel"/>
    <w:tmpl w:val="FCBAEEBA"/>
    <w:lvl w:ilvl="0" w:tplc="F6E6903E">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1FA5052"/>
    <w:multiLevelType w:val="hybridMultilevel"/>
    <w:tmpl w:val="7FD69EEE"/>
    <w:lvl w:ilvl="0" w:tplc="3E2A20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27C53A4"/>
    <w:multiLevelType w:val="hybridMultilevel"/>
    <w:tmpl w:val="C65685FE"/>
    <w:lvl w:ilvl="0" w:tplc="AD82EC2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6E60D8B"/>
    <w:multiLevelType w:val="hybridMultilevel"/>
    <w:tmpl w:val="E4AE6F9C"/>
    <w:lvl w:ilvl="0" w:tplc="01A21B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A967F0"/>
    <w:multiLevelType w:val="hybridMultilevel"/>
    <w:tmpl w:val="2B6C12BA"/>
    <w:lvl w:ilvl="0" w:tplc="347AB19C">
      <w:start w:val="1"/>
      <w:numFmt w:val="decimal"/>
      <w:lvlText w:val="%1、"/>
      <w:lvlJc w:val="left"/>
      <w:pPr>
        <w:ind w:left="1565" w:hanging="1005"/>
      </w:pPr>
      <w:rPr>
        <w:rFonts w:ascii="Arial Unicode MS" w:eastAsia="Arial Unicode MS" w:cs="Arial Unicode M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5AD734A"/>
    <w:multiLevelType w:val="hybridMultilevel"/>
    <w:tmpl w:val="F6524E9E"/>
    <w:lvl w:ilvl="0" w:tplc="A7920E9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376F6F05"/>
    <w:multiLevelType w:val="hybridMultilevel"/>
    <w:tmpl w:val="F61C3066"/>
    <w:lvl w:ilvl="0" w:tplc="0EC2A9E6">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0">
    <w:nsid w:val="3B3105E1"/>
    <w:multiLevelType w:val="multilevel"/>
    <w:tmpl w:val="3B3105E1"/>
    <w:lvl w:ilvl="0">
      <w:start w:val="1"/>
      <w:numFmt w:val="decimal"/>
      <w:suff w:val="nothing"/>
      <w:lvlText w:val="%1、"/>
      <w:lvlJc w:val="left"/>
      <w:pPr>
        <w:ind w:left="709" w:hanging="284"/>
      </w:pPr>
      <w:rPr>
        <w:rFonts w:ascii="仿宋" w:eastAsia="仿宋" w:hAnsi="仿宋" w:hint="eastAsia"/>
        <w:b w:val="0"/>
        <w:sz w:val="24"/>
        <w:szCs w:val="24"/>
      </w:rPr>
    </w:lvl>
    <w:lvl w:ilvl="1">
      <w:start w:val="1"/>
      <w:numFmt w:val="lowerLetter"/>
      <w:lvlText w:val="%2)"/>
      <w:lvlJc w:val="left"/>
      <w:pPr>
        <w:ind w:left="-1004" w:hanging="420"/>
      </w:pPr>
    </w:lvl>
    <w:lvl w:ilvl="2">
      <w:start w:val="1"/>
      <w:numFmt w:val="lowerRoman"/>
      <w:lvlText w:val="%3."/>
      <w:lvlJc w:val="right"/>
      <w:pPr>
        <w:ind w:left="-584" w:hanging="420"/>
      </w:pPr>
    </w:lvl>
    <w:lvl w:ilvl="3">
      <w:start w:val="1"/>
      <w:numFmt w:val="decimal"/>
      <w:lvlText w:val="%4."/>
      <w:lvlJc w:val="left"/>
      <w:pPr>
        <w:ind w:left="-164" w:hanging="420"/>
      </w:pPr>
    </w:lvl>
    <w:lvl w:ilvl="4">
      <w:start w:val="1"/>
      <w:numFmt w:val="lowerLetter"/>
      <w:lvlText w:val="%5)"/>
      <w:lvlJc w:val="left"/>
      <w:pPr>
        <w:ind w:left="256" w:hanging="420"/>
      </w:pPr>
    </w:lvl>
    <w:lvl w:ilvl="5">
      <w:start w:val="1"/>
      <w:numFmt w:val="lowerRoman"/>
      <w:lvlText w:val="%6."/>
      <w:lvlJc w:val="right"/>
      <w:pPr>
        <w:ind w:left="676" w:hanging="420"/>
      </w:pPr>
    </w:lvl>
    <w:lvl w:ilvl="6">
      <w:start w:val="1"/>
      <w:numFmt w:val="decimal"/>
      <w:lvlText w:val="%7."/>
      <w:lvlJc w:val="left"/>
      <w:pPr>
        <w:ind w:left="1096" w:hanging="420"/>
      </w:pPr>
    </w:lvl>
    <w:lvl w:ilvl="7">
      <w:start w:val="1"/>
      <w:numFmt w:val="lowerLetter"/>
      <w:lvlText w:val="%8)"/>
      <w:lvlJc w:val="left"/>
      <w:pPr>
        <w:ind w:left="1516" w:hanging="420"/>
      </w:pPr>
    </w:lvl>
    <w:lvl w:ilvl="8">
      <w:start w:val="1"/>
      <w:numFmt w:val="lowerRoman"/>
      <w:lvlText w:val="%9."/>
      <w:lvlJc w:val="right"/>
      <w:pPr>
        <w:ind w:left="1936" w:hanging="420"/>
      </w:pPr>
    </w:lvl>
  </w:abstractNum>
  <w:abstractNum w:abstractNumId="11">
    <w:nsid w:val="3E2F5592"/>
    <w:multiLevelType w:val="hybridMultilevel"/>
    <w:tmpl w:val="F6524E9E"/>
    <w:lvl w:ilvl="0" w:tplc="A7920E9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455F1562"/>
    <w:multiLevelType w:val="multilevel"/>
    <w:tmpl w:val="455F1562"/>
    <w:lvl w:ilvl="0">
      <w:start w:val="1"/>
      <w:numFmt w:val="decimal"/>
      <w:lvlText w:val="(%1)"/>
      <w:lvlJc w:val="left"/>
      <w:pPr>
        <w:ind w:left="274" w:firstLine="147"/>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7F72461"/>
    <w:multiLevelType w:val="hybridMultilevel"/>
    <w:tmpl w:val="962E013C"/>
    <w:lvl w:ilvl="0" w:tplc="0409001B">
      <w:start w:val="1"/>
      <w:numFmt w:val="lowerRoman"/>
      <w:lvlText w:val="%1."/>
      <w:lvlJc w:val="righ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nsid w:val="4F0705B0"/>
    <w:multiLevelType w:val="hybridMultilevel"/>
    <w:tmpl w:val="F61C3066"/>
    <w:lvl w:ilvl="0" w:tplc="0EC2A9E6">
      <w:start w:val="1"/>
      <w:numFmt w:val="decimal"/>
      <w:lvlText w:val="(%1)"/>
      <w:lvlJc w:val="left"/>
      <w:pPr>
        <w:ind w:left="420" w:firstLine="147"/>
      </w:pPr>
      <w:rPr>
        <w:rFonts w:hint="eastAsia"/>
        <w:b w:val="0"/>
        <w:color w:val="auto"/>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15">
    <w:nsid w:val="51C07EE4"/>
    <w:multiLevelType w:val="hybridMultilevel"/>
    <w:tmpl w:val="516068A4"/>
    <w:lvl w:ilvl="0" w:tplc="C2CE040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5848BBD0"/>
    <w:multiLevelType w:val="singleLevel"/>
    <w:tmpl w:val="5848BBD0"/>
    <w:lvl w:ilvl="0">
      <w:start w:val="3"/>
      <w:numFmt w:val="chineseCounting"/>
      <w:suff w:val="nothing"/>
      <w:lvlText w:val="%1、"/>
      <w:lvlJc w:val="left"/>
    </w:lvl>
  </w:abstractNum>
  <w:abstractNum w:abstractNumId="17">
    <w:nsid w:val="5848BF71"/>
    <w:multiLevelType w:val="singleLevel"/>
    <w:tmpl w:val="5848BF71"/>
    <w:lvl w:ilvl="0">
      <w:start w:val="5"/>
      <w:numFmt w:val="chineseCounting"/>
      <w:suff w:val="nothing"/>
      <w:lvlText w:val="%1、"/>
      <w:lvlJc w:val="left"/>
    </w:lvl>
  </w:abstractNum>
  <w:abstractNum w:abstractNumId="18">
    <w:nsid w:val="588D5F4D"/>
    <w:multiLevelType w:val="hybridMultilevel"/>
    <w:tmpl w:val="8F02A478"/>
    <w:lvl w:ilvl="0" w:tplc="04090019">
      <w:start w:val="1"/>
      <w:numFmt w:val="lowerLetter"/>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5B6626A6"/>
    <w:multiLevelType w:val="hybridMultilevel"/>
    <w:tmpl w:val="7218A008"/>
    <w:lvl w:ilvl="0" w:tplc="558E8658">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nsid w:val="65373705"/>
    <w:multiLevelType w:val="hybridMultilevel"/>
    <w:tmpl w:val="643CD6D2"/>
    <w:lvl w:ilvl="0" w:tplc="04090013">
      <w:start w:val="1"/>
      <w:numFmt w:val="chineseCountingThousand"/>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CC0B47"/>
    <w:multiLevelType w:val="hybridMultilevel"/>
    <w:tmpl w:val="FCBAEEBA"/>
    <w:lvl w:ilvl="0" w:tplc="F6E6903E">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53A75E3"/>
    <w:multiLevelType w:val="hybridMultilevel"/>
    <w:tmpl w:val="F8AEC864"/>
    <w:lvl w:ilvl="0" w:tplc="867477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61E2993"/>
    <w:multiLevelType w:val="hybridMultilevel"/>
    <w:tmpl w:val="E716E116"/>
    <w:lvl w:ilvl="0" w:tplc="54F00CD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7"/>
  </w:num>
  <w:num w:numId="3">
    <w:abstractNumId w:val="16"/>
  </w:num>
  <w:num w:numId="4">
    <w:abstractNumId w:val="17"/>
  </w:num>
  <w:num w:numId="5">
    <w:abstractNumId w:val="15"/>
  </w:num>
  <w:num w:numId="6">
    <w:abstractNumId w:val="14"/>
  </w:num>
  <w:num w:numId="7">
    <w:abstractNumId w:val="11"/>
  </w:num>
  <w:num w:numId="8">
    <w:abstractNumId w:val="8"/>
  </w:num>
  <w:num w:numId="9">
    <w:abstractNumId w:val="9"/>
  </w:num>
  <w:num w:numId="10">
    <w:abstractNumId w:val="4"/>
  </w:num>
  <w:num w:numId="11">
    <w:abstractNumId w:val="13"/>
  </w:num>
  <w:num w:numId="12">
    <w:abstractNumId w:val="18"/>
  </w:num>
  <w:num w:numId="13">
    <w:abstractNumId w:val="2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6"/>
  </w:num>
  <w:num w:numId="17">
    <w:abstractNumId w:val="2"/>
  </w:num>
  <w:num w:numId="18">
    <w:abstractNumId w:val="5"/>
  </w:num>
  <w:num w:numId="19">
    <w:abstractNumId w:val="21"/>
  </w:num>
  <w:num w:numId="20">
    <w:abstractNumId w:val="3"/>
  </w:num>
  <w:num w:numId="21">
    <w:abstractNumId w:val="1"/>
  </w:num>
  <w:num w:numId="22">
    <w:abstractNumId w:val="0"/>
  </w:num>
  <w:num w:numId="23">
    <w:abstractNumId w:val="12"/>
  </w:num>
  <w:num w:numId="24">
    <w:abstractNumId w:val="1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E13"/>
    <w:rsid w:val="00005CED"/>
    <w:rsid w:val="0000666F"/>
    <w:rsid w:val="00006E88"/>
    <w:rsid w:val="00007197"/>
    <w:rsid w:val="000073B5"/>
    <w:rsid w:val="00007B0A"/>
    <w:rsid w:val="00007BBE"/>
    <w:rsid w:val="00010D13"/>
    <w:rsid w:val="00010E7C"/>
    <w:rsid w:val="00011002"/>
    <w:rsid w:val="00011485"/>
    <w:rsid w:val="000124A3"/>
    <w:rsid w:val="00012555"/>
    <w:rsid w:val="00013009"/>
    <w:rsid w:val="0001464C"/>
    <w:rsid w:val="00014D7B"/>
    <w:rsid w:val="00014DA3"/>
    <w:rsid w:val="00016201"/>
    <w:rsid w:val="000174E2"/>
    <w:rsid w:val="0001797B"/>
    <w:rsid w:val="00020B4A"/>
    <w:rsid w:val="0002120B"/>
    <w:rsid w:val="00021847"/>
    <w:rsid w:val="00023818"/>
    <w:rsid w:val="00023BEC"/>
    <w:rsid w:val="00025696"/>
    <w:rsid w:val="00025704"/>
    <w:rsid w:val="00032312"/>
    <w:rsid w:val="00032A1A"/>
    <w:rsid w:val="00033E10"/>
    <w:rsid w:val="000349AF"/>
    <w:rsid w:val="00036707"/>
    <w:rsid w:val="00037CD3"/>
    <w:rsid w:val="000415D7"/>
    <w:rsid w:val="00045313"/>
    <w:rsid w:val="00045B4A"/>
    <w:rsid w:val="0004674F"/>
    <w:rsid w:val="00047B99"/>
    <w:rsid w:val="00050671"/>
    <w:rsid w:val="000526C2"/>
    <w:rsid w:val="00052C2A"/>
    <w:rsid w:val="00055E82"/>
    <w:rsid w:val="00056ABD"/>
    <w:rsid w:val="00057A7F"/>
    <w:rsid w:val="0006042F"/>
    <w:rsid w:val="00062AC6"/>
    <w:rsid w:val="00062ED8"/>
    <w:rsid w:val="000634A0"/>
    <w:rsid w:val="00063D0E"/>
    <w:rsid w:val="0006449A"/>
    <w:rsid w:val="00067548"/>
    <w:rsid w:val="00067CCF"/>
    <w:rsid w:val="00070EA0"/>
    <w:rsid w:val="00071830"/>
    <w:rsid w:val="00072003"/>
    <w:rsid w:val="00073B8D"/>
    <w:rsid w:val="00073C23"/>
    <w:rsid w:val="00073E10"/>
    <w:rsid w:val="00074DC8"/>
    <w:rsid w:val="00082CAC"/>
    <w:rsid w:val="00082E0B"/>
    <w:rsid w:val="00083E6E"/>
    <w:rsid w:val="000857D8"/>
    <w:rsid w:val="00086A6D"/>
    <w:rsid w:val="000870FA"/>
    <w:rsid w:val="00087812"/>
    <w:rsid w:val="000909AB"/>
    <w:rsid w:val="000913A5"/>
    <w:rsid w:val="00091828"/>
    <w:rsid w:val="00092C04"/>
    <w:rsid w:val="00093A48"/>
    <w:rsid w:val="000958BA"/>
    <w:rsid w:val="000A2406"/>
    <w:rsid w:val="000A4359"/>
    <w:rsid w:val="000A69CF"/>
    <w:rsid w:val="000B0BB3"/>
    <w:rsid w:val="000B1080"/>
    <w:rsid w:val="000B124E"/>
    <w:rsid w:val="000B3BE1"/>
    <w:rsid w:val="000B5625"/>
    <w:rsid w:val="000B59CC"/>
    <w:rsid w:val="000B692C"/>
    <w:rsid w:val="000B6B63"/>
    <w:rsid w:val="000C2401"/>
    <w:rsid w:val="000C3571"/>
    <w:rsid w:val="000C3716"/>
    <w:rsid w:val="000C5C17"/>
    <w:rsid w:val="000D102F"/>
    <w:rsid w:val="000D18E9"/>
    <w:rsid w:val="000D2857"/>
    <w:rsid w:val="000D5134"/>
    <w:rsid w:val="000D62C8"/>
    <w:rsid w:val="000E0688"/>
    <w:rsid w:val="000E0AC6"/>
    <w:rsid w:val="000E1199"/>
    <w:rsid w:val="000E17FF"/>
    <w:rsid w:val="000E3041"/>
    <w:rsid w:val="000E3BF7"/>
    <w:rsid w:val="000E49E7"/>
    <w:rsid w:val="000E78D1"/>
    <w:rsid w:val="000F0108"/>
    <w:rsid w:val="000F2691"/>
    <w:rsid w:val="000F2973"/>
    <w:rsid w:val="000F4BFB"/>
    <w:rsid w:val="000F5D44"/>
    <w:rsid w:val="000F6A4F"/>
    <w:rsid w:val="000F6C24"/>
    <w:rsid w:val="000F7F0D"/>
    <w:rsid w:val="000F7FBB"/>
    <w:rsid w:val="00101228"/>
    <w:rsid w:val="00102B27"/>
    <w:rsid w:val="0010593C"/>
    <w:rsid w:val="00106034"/>
    <w:rsid w:val="00107FD6"/>
    <w:rsid w:val="001121E1"/>
    <w:rsid w:val="00112EF3"/>
    <w:rsid w:val="001141DA"/>
    <w:rsid w:val="00114479"/>
    <w:rsid w:val="00114DFA"/>
    <w:rsid w:val="00114F34"/>
    <w:rsid w:val="00117A4D"/>
    <w:rsid w:val="001212FA"/>
    <w:rsid w:val="00121D7C"/>
    <w:rsid w:val="00121FC6"/>
    <w:rsid w:val="0012214E"/>
    <w:rsid w:val="00123141"/>
    <w:rsid w:val="001239CC"/>
    <w:rsid w:val="00126DBB"/>
    <w:rsid w:val="001308C6"/>
    <w:rsid w:val="00132250"/>
    <w:rsid w:val="00133286"/>
    <w:rsid w:val="0013358B"/>
    <w:rsid w:val="00133DC1"/>
    <w:rsid w:val="00135B16"/>
    <w:rsid w:val="001377EE"/>
    <w:rsid w:val="0014151B"/>
    <w:rsid w:val="00142152"/>
    <w:rsid w:val="00142E89"/>
    <w:rsid w:val="0014414D"/>
    <w:rsid w:val="00144AE6"/>
    <w:rsid w:val="001455BC"/>
    <w:rsid w:val="00145870"/>
    <w:rsid w:val="00146928"/>
    <w:rsid w:val="00146EDE"/>
    <w:rsid w:val="00147F3D"/>
    <w:rsid w:val="00150537"/>
    <w:rsid w:val="00150A0C"/>
    <w:rsid w:val="00153275"/>
    <w:rsid w:val="00153707"/>
    <w:rsid w:val="0015548F"/>
    <w:rsid w:val="0015676A"/>
    <w:rsid w:val="00161B97"/>
    <w:rsid w:val="0016305D"/>
    <w:rsid w:val="00163349"/>
    <w:rsid w:val="00163514"/>
    <w:rsid w:val="001637D9"/>
    <w:rsid w:val="001637FD"/>
    <w:rsid w:val="001658A6"/>
    <w:rsid w:val="00165A5E"/>
    <w:rsid w:val="00167004"/>
    <w:rsid w:val="00167D5D"/>
    <w:rsid w:val="00172502"/>
    <w:rsid w:val="00173BEF"/>
    <w:rsid w:val="001758A2"/>
    <w:rsid w:val="00177E86"/>
    <w:rsid w:val="001819A1"/>
    <w:rsid w:val="00181E47"/>
    <w:rsid w:val="0018306E"/>
    <w:rsid w:val="00185143"/>
    <w:rsid w:val="0018657A"/>
    <w:rsid w:val="00190E75"/>
    <w:rsid w:val="00193191"/>
    <w:rsid w:val="001941ED"/>
    <w:rsid w:val="00195973"/>
    <w:rsid w:val="001961D2"/>
    <w:rsid w:val="00197F12"/>
    <w:rsid w:val="001A052E"/>
    <w:rsid w:val="001A1050"/>
    <w:rsid w:val="001A1C39"/>
    <w:rsid w:val="001A2626"/>
    <w:rsid w:val="001A2D1C"/>
    <w:rsid w:val="001A30B3"/>
    <w:rsid w:val="001A31BE"/>
    <w:rsid w:val="001A53CF"/>
    <w:rsid w:val="001A5910"/>
    <w:rsid w:val="001A65EF"/>
    <w:rsid w:val="001A743C"/>
    <w:rsid w:val="001B005A"/>
    <w:rsid w:val="001B102D"/>
    <w:rsid w:val="001B2409"/>
    <w:rsid w:val="001B30D1"/>
    <w:rsid w:val="001B333C"/>
    <w:rsid w:val="001B4FA3"/>
    <w:rsid w:val="001B689E"/>
    <w:rsid w:val="001B785B"/>
    <w:rsid w:val="001B7FB0"/>
    <w:rsid w:val="001C1B0A"/>
    <w:rsid w:val="001C2172"/>
    <w:rsid w:val="001C2812"/>
    <w:rsid w:val="001C2CBB"/>
    <w:rsid w:val="001C345B"/>
    <w:rsid w:val="001C4084"/>
    <w:rsid w:val="001C4536"/>
    <w:rsid w:val="001C47A2"/>
    <w:rsid w:val="001C72E9"/>
    <w:rsid w:val="001D1E47"/>
    <w:rsid w:val="001D30AD"/>
    <w:rsid w:val="001D3EB0"/>
    <w:rsid w:val="001D7330"/>
    <w:rsid w:val="001E13A6"/>
    <w:rsid w:val="001E3DFE"/>
    <w:rsid w:val="001E4B00"/>
    <w:rsid w:val="001E7D98"/>
    <w:rsid w:val="001F1BB1"/>
    <w:rsid w:val="001F4C3A"/>
    <w:rsid w:val="001F5999"/>
    <w:rsid w:val="001F751D"/>
    <w:rsid w:val="00200335"/>
    <w:rsid w:val="00201996"/>
    <w:rsid w:val="002029DB"/>
    <w:rsid w:val="002031DF"/>
    <w:rsid w:val="0020328D"/>
    <w:rsid w:val="00205449"/>
    <w:rsid w:val="002068F4"/>
    <w:rsid w:val="00206C2D"/>
    <w:rsid w:val="00207591"/>
    <w:rsid w:val="00207C6C"/>
    <w:rsid w:val="0021123F"/>
    <w:rsid w:val="00211639"/>
    <w:rsid w:val="00211DB2"/>
    <w:rsid w:val="00214314"/>
    <w:rsid w:val="002154C5"/>
    <w:rsid w:val="0021697B"/>
    <w:rsid w:val="0021790C"/>
    <w:rsid w:val="00222701"/>
    <w:rsid w:val="002269A7"/>
    <w:rsid w:val="00230218"/>
    <w:rsid w:val="00230F54"/>
    <w:rsid w:val="00233CC8"/>
    <w:rsid w:val="002347F4"/>
    <w:rsid w:val="00234D4E"/>
    <w:rsid w:val="002355FF"/>
    <w:rsid w:val="00237AD2"/>
    <w:rsid w:val="002400D0"/>
    <w:rsid w:val="00240BEF"/>
    <w:rsid w:val="0024112A"/>
    <w:rsid w:val="002451C8"/>
    <w:rsid w:val="002453DD"/>
    <w:rsid w:val="002467AA"/>
    <w:rsid w:val="002478E3"/>
    <w:rsid w:val="00247AC9"/>
    <w:rsid w:val="00247E74"/>
    <w:rsid w:val="00251099"/>
    <w:rsid w:val="00251285"/>
    <w:rsid w:val="002514CA"/>
    <w:rsid w:val="00251D12"/>
    <w:rsid w:val="002523B0"/>
    <w:rsid w:val="00252A40"/>
    <w:rsid w:val="00252E8A"/>
    <w:rsid w:val="002562BE"/>
    <w:rsid w:val="00256749"/>
    <w:rsid w:val="00260240"/>
    <w:rsid w:val="002602FB"/>
    <w:rsid w:val="00260B4B"/>
    <w:rsid w:val="00261AE0"/>
    <w:rsid w:val="002638FE"/>
    <w:rsid w:val="00264310"/>
    <w:rsid w:val="00264D54"/>
    <w:rsid w:val="00266722"/>
    <w:rsid w:val="0027010B"/>
    <w:rsid w:val="002711DC"/>
    <w:rsid w:val="0027176C"/>
    <w:rsid w:val="00271FAF"/>
    <w:rsid w:val="00273875"/>
    <w:rsid w:val="00273D2E"/>
    <w:rsid w:val="00274DBC"/>
    <w:rsid w:val="00275D0C"/>
    <w:rsid w:val="00276580"/>
    <w:rsid w:val="00276E0B"/>
    <w:rsid w:val="0027702B"/>
    <w:rsid w:val="00281D26"/>
    <w:rsid w:val="00282190"/>
    <w:rsid w:val="0028488B"/>
    <w:rsid w:val="00286F26"/>
    <w:rsid w:val="002877E7"/>
    <w:rsid w:val="00290722"/>
    <w:rsid w:val="00291601"/>
    <w:rsid w:val="002971F8"/>
    <w:rsid w:val="002973B4"/>
    <w:rsid w:val="0029767E"/>
    <w:rsid w:val="002A02DE"/>
    <w:rsid w:val="002A0B7A"/>
    <w:rsid w:val="002A1044"/>
    <w:rsid w:val="002A1BED"/>
    <w:rsid w:val="002A20B4"/>
    <w:rsid w:val="002A2C6D"/>
    <w:rsid w:val="002A670C"/>
    <w:rsid w:val="002A685C"/>
    <w:rsid w:val="002A7671"/>
    <w:rsid w:val="002A7AC7"/>
    <w:rsid w:val="002B14B2"/>
    <w:rsid w:val="002B226E"/>
    <w:rsid w:val="002B244A"/>
    <w:rsid w:val="002B2499"/>
    <w:rsid w:val="002B2797"/>
    <w:rsid w:val="002B2FB3"/>
    <w:rsid w:val="002B3FE2"/>
    <w:rsid w:val="002B4D22"/>
    <w:rsid w:val="002B6432"/>
    <w:rsid w:val="002B6E02"/>
    <w:rsid w:val="002C2368"/>
    <w:rsid w:val="002C23CC"/>
    <w:rsid w:val="002C47E5"/>
    <w:rsid w:val="002C4EA9"/>
    <w:rsid w:val="002C7DC2"/>
    <w:rsid w:val="002D1273"/>
    <w:rsid w:val="002D3AF7"/>
    <w:rsid w:val="002D3E90"/>
    <w:rsid w:val="002D47B1"/>
    <w:rsid w:val="002D555F"/>
    <w:rsid w:val="002D7223"/>
    <w:rsid w:val="002D7ACD"/>
    <w:rsid w:val="002E328D"/>
    <w:rsid w:val="002E4082"/>
    <w:rsid w:val="002E4FC5"/>
    <w:rsid w:val="002E5DEB"/>
    <w:rsid w:val="002E6A93"/>
    <w:rsid w:val="002E70CE"/>
    <w:rsid w:val="002F035F"/>
    <w:rsid w:val="002F1604"/>
    <w:rsid w:val="002F1A3A"/>
    <w:rsid w:val="002F23E8"/>
    <w:rsid w:val="002F2531"/>
    <w:rsid w:val="002F2E4F"/>
    <w:rsid w:val="002F5E0A"/>
    <w:rsid w:val="002F6789"/>
    <w:rsid w:val="003044A3"/>
    <w:rsid w:val="00311A3A"/>
    <w:rsid w:val="00312302"/>
    <w:rsid w:val="003135A7"/>
    <w:rsid w:val="00313D24"/>
    <w:rsid w:val="003165AF"/>
    <w:rsid w:val="00316C54"/>
    <w:rsid w:val="00320568"/>
    <w:rsid w:val="00320D4D"/>
    <w:rsid w:val="00321626"/>
    <w:rsid w:val="00321F2C"/>
    <w:rsid w:val="00322B0F"/>
    <w:rsid w:val="00325D7C"/>
    <w:rsid w:val="00325D97"/>
    <w:rsid w:val="00326F65"/>
    <w:rsid w:val="003276D2"/>
    <w:rsid w:val="0033148E"/>
    <w:rsid w:val="00333558"/>
    <w:rsid w:val="00333DAF"/>
    <w:rsid w:val="0033494C"/>
    <w:rsid w:val="003378CF"/>
    <w:rsid w:val="00340485"/>
    <w:rsid w:val="00341E23"/>
    <w:rsid w:val="00342488"/>
    <w:rsid w:val="00343C4C"/>
    <w:rsid w:val="003445E1"/>
    <w:rsid w:val="0034650D"/>
    <w:rsid w:val="00346AE0"/>
    <w:rsid w:val="00346FFF"/>
    <w:rsid w:val="00347B66"/>
    <w:rsid w:val="00347B85"/>
    <w:rsid w:val="00350AB3"/>
    <w:rsid w:val="00351F45"/>
    <w:rsid w:val="00354649"/>
    <w:rsid w:val="00355926"/>
    <w:rsid w:val="00355978"/>
    <w:rsid w:val="003562DE"/>
    <w:rsid w:val="00357F67"/>
    <w:rsid w:val="00360BCD"/>
    <w:rsid w:val="00362B27"/>
    <w:rsid w:val="00365368"/>
    <w:rsid w:val="00365932"/>
    <w:rsid w:val="003661C6"/>
    <w:rsid w:val="003666BF"/>
    <w:rsid w:val="0036693A"/>
    <w:rsid w:val="0036774B"/>
    <w:rsid w:val="00374B66"/>
    <w:rsid w:val="003768EE"/>
    <w:rsid w:val="003775A3"/>
    <w:rsid w:val="00380B0A"/>
    <w:rsid w:val="003810D7"/>
    <w:rsid w:val="00384097"/>
    <w:rsid w:val="00384888"/>
    <w:rsid w:val="00384CC3"/>
    <w:rsid w:val="0038578A"/>
    <w:rsid w:val="003872EC"/>
    <w:rsid w:val="003878BF"/>
    <w:rsid w:val="0039028A"/>
    <w:rsid w:val="00392F6B"/>
    <w:rsid w:val="0039382A"/>
    <w:rsid w:val="00394D95"/>
    <w:rsid w:val="00396490"/>
    <w:rsid w:val="0039769A"/>
    <w:rsid w:val="003A0573"/>
    <w:rsid w:val="003A07F3"/>
    <w:rsid w:val="003A0F60"/>
    <w:rsid w:val="003A1D15"/>
    <w:rsid w:val="003A1D74"/>
    <w:rsid w:val="003A2422"/>
    <w:rsid w:val="003A4734"/>
    <w:rsid w:val="003A483F"/>
    <w:rsid w:val="003A61A4"/>
    <w:rsid w:val="003A7554"/>
    <w:rsid w:val="003A79CA"/>
    <w:rsid w:val="003B1507"/>
    <w:rsid w:val="003B21E5"/>
    <w:rsid w:val="003B2782"/>
    <w:rsid w:val="003C0137"/>
    <w:rsid w:val="003C296C"/>
    <w:rsid w:val="003C31C0"/>
    <w:rsid w:val="003C4C6E"/>
    <w:rsid w:val="003C4C8A"/>
    <w:rsid w:val="003C5999"/>
    <w:rsid w:val="003C64E0"/>
    <w:rsid w:val="003C73BD"/>
    <w:rsid w:val="003D131F"/>
    <w:rsid w:val="003D2E2F"/>
    <w:rsid w:val="003D42AC"/>
    <w:rsid w:val="003D4FAC"/>
    <w:rsid w:val="003D5CC1"/>
    <w:rsid w:val="003E0B1C"/>
    <w:rsid w:val="003E1E51"/>
    <w:rsid w:val="003E317A"/>
    <w:rsid w:val="003E34D1"/>
    <w:rsid w:val="003E3C76"/>
    <w:rsid w:val="003E3DF4"/>
    <w:rsid w:val="003E4071"/>
    <w:rsid w:val="003E55EF"/>
    <w:rsid w:val="003E5FAA"/>
    <w:rsid w:val="003E724A"/>
    <w:rsid w:val="003E7935"/>
    <w:rsid w:val="003E7B81"/>
    <w:rsid w:val="003F03A9"/>
    <w:rsid w:val="003F0AFA"/>
    <w:rsid w:val="003F0DE6"/>
    <w:rsid w:val="003F104E"/>
    <w:rsid w:val="003F2710"/>
    <w:rsid w:val="003F3A9B"/>
    <w:rsid w:val="003F3FD4"/>
    <w:rsid w:val="003F788C"/>
    <w:rsid w:val="004006DF"/>
    <w:rsid w:val="0040117E"/>
    <w:rsid w:val="00402C3E"/>
    <w:rsid w:val="00412E27"/>
    <w:rsid w:val="00413738"/>
    <w:rsid w:val="00416AE8"/>
    <w:rsid w:val="00416B3F"/>
    <w:rsid w:val="004173C8"/>
    <w:rsid w:val="00417F5D"/>
    <w:rsid w:val="00420652"/>
    <w:rsid w:val="00420E3C"/>
    <w:rsid w:val="00421B36"/>
    <w:rsid w:val="00423459"/>
    <w:rsid w:val="0042398C"/>
    <w:rsid w:val="004253BD"/>
    <w:rsid w:val="00425729"/>
    <w:rsid w:val="00426023"/>
    <w:rsid w:val="004266E6"/>
    <w:rsid w:val="00426A34"/>
    <w:rsid w:val="00426B59"/>
    <w:rsid w:val="00426E6E"/>
    <w:rsid w:val="00430DAB"/>
    <w:rsid w:val="0043118D"/>
    <w:rsid w:val="00431D23"/>
    <w:rsid w:val="00432CED"/>
    <w:rsid w:val="00432DEE"/>
    <w:rsid w:val="00434E3D"/>
    <w:rsid w:val="00435672"/>
    <w:rsid w:val="00435C3A"/>
    <w:rsid w:val="00436A6F"/>
    <w:rsid w:val="00441773"/>
    <w:rsid w:val="00441AB0"/>
    <w:rsid w:val="0044416D"/>
    <w:rsid w:val="004441D9"/>
    <w:rsid w:val="00445094"/>
    <w:rsid w:val="00445DA0"/>
    <w:rsid w:val="004462BB"/>
    <w:rsid w:val="004503FA"/>
    <w:rsid w:val="0045142C"/>
    <w:rsid w:val="00451637"/>
    <w:rsid w:val="00451924"/>
    <w:rsid w:val="00451BDE"/>
    <w:rsid w:val="0045299F"/>
    <w:rsid w:val="0045435D"/>
    <w:rsid w:val="00456786"/>
    <w:rsid w:val="00456C66"/>
    <w:rsid w:val="00460C32"/>
    <w:rsid w:val="00461B13"/>
    <w:rsid w:val="0046326E"/>
    <w:rsid w:val="00464122"/>
    <w:rsid w:val="00466CBD"/>
    <w:rsid w:val="004674CE"/>
    <w:rsid w:val="00467E72"/>
    <w:rsid w:val="004706AA"/>
    <w:rsid w:val="00470A5F"/>
    <w:rsid w:val="00470E23"/>
    <w:rsid w:val="0047329D"/>
    <w:rsid w:val="0047369E"/>
    <w:rsid w:val="004756C3"/>
    <w:rsid w:val="00475957"/>
    <w:rsid w:val="00477311"/>
    <w:rsid w:val="00477910"/>
    <w:rsid w:val="0048167E"/>
    <w:rsid w:val="0048182C"/>
    <w:rsid w:val="00481994"/>
    <w:rsid w:val="00482C5B"/>
    <w:rsid w:val="004834EE"/>
    <w:rsid w:val="00485F8A"/>
    <w:rsid w:val="00486542"/>
    <w:rsid w:val="004876F9"/>
    <w:rsid w:val="004901BE"/>
    <w:rsid w:val="00491B06"/>
    <w:rsid w:val="00491B2A"/>
    <w:rsid w:val="00491F77"/>
    <w:rsid w:val="004956CD"/>
    <w:rsid w:val="004957A7"/>
    <w:rsid w:val="004A0408"/>
    <w:rsid w:val="004A04D3"/>
    <w:rsid w:val="004A0C7F"/>
    <w:rsid w:val="004A2E6C"/>
    <w:rsid w:val="004A5145"/>
    <w:rsid w:val="004A5506"/>
    <w:rsid w:val="004A6635"/>
    <w:rsid w:val="004A684D"/>
    <w:rsid w:val="004A7AFD"/>
    <w:rsid w:val="004B1CFF"/>
    <w:rsid w:val="004B1D44"/>
    <w:rsid w:val="004B2B2B"/>
    <w:rsid w:val="004B2FBA"/>
    <w:rsid w:val="004B5245"/>
    <w:rsid w:val="004B59EB"/>
    <w:rsid w:val="004B5E61"/>
    <w:rsid w:val="004B60D5"/>
    <w:rsid w:val="004B6264"/>
    <w:rsid w:val="004C161C"/>
    <w:rsid w:val="004C1B19"/>
    <w:rsid w:val="004C3000"/>
    <w:rsid w:val="004C5741"/>
    <w:rsid w:val="004C6414"/>
    <w:rsid w:val="004C674C"/>
    <w:rsid w:val="004C6B29"/>
    <w:rsid w:val="004C7873"/>
    <w:rsid w:val="004D00E1"/>
    <w:rsid w:val="004D07A0"/>
    <w:rsid w:val="004D0895"/>
    <w:rsid w:val="004D0CB6"/>
    <w:rsid w:val="004D20DC"/>
    <w:rsid w:val="004D584C"/>
    <w:rsid w:val="004D687D"/>
    <w:rsid w:val="004D6D95"/>
    <w:rsid w:val="004E0681"/>
    <w:rsid w:val="004E32F4"/>
    <w:rsid w:val="004E374D"/>
    <w:rsid w:val="004E42DA"/>
    <w:rsid w:val="004E4B17"/>
    <w:rsid w:val="004E4C5F"/>
    <w:rsid w:val="004E6A84"/>
    <w:rsid w:val="004E71F4"/>
    <w:rsid w:val="004E731D"/>
    <w:rsid w:val="004E7BBB"/>
    <w:rsid w:val="004F0A32"/>
    <w:rsid w:val="004F1C85"/>
    <w:rsid w:val="004F3C5A"/>
    <w:rsid w:val="004F4AE5"/>
    <w:rsid w:val="004F6C89"/>
    <w:rsid w:val="004F7FCE"/>
    <w:rsid w:val="005011C6"/>
    <w:rsid w:val="00501E7F"/>
    <w:rsid w:val="00502D43"/>
    <w:rsid w:val="00502EE4"/>
    <w:rsid w:val="00504AFA"/>
    <w:rsid w:val="0050566D"/>
    <w:rsid w:val="005064BC"/>
    <w:rsid w:val="00507E92"/>
    <w:rsid w:val="0051168B"/>
    <w:rsid w:val="00511756"/>
    <w:rsid w:val="00513293"/>
    <w:rsid w:val="00514A0E"/>
    <w:rsid w:val="00516382"/>
    <w:rsid w:val="00516B18"/>
    <w:rsid w:val="0051752B"/>
    <w:rsid w:val="00517A91"/>
    <w:rsid w:val="005202C9"/>
    <w:rsid w:val="0052074F"/>
    <w:rsid w:val="00520A68"/>
    <w:rsid w:val="00521064"/>
    <w:rsid w:val="00521E44"/>
    <w:rsid w:val="00524534"/>
    <w:rsid w:val="00531FBD"/>
    <w:rsid w:val="00532DFC"/>
    <w:rsid w:val="005353ED"/>
    <w:rsid w:val="00535461"/>
    <w:rsid w:val="005355A2"/>
    <w:rsid w:val="005362EE"/>
    <w:rsid w:val="0053715F"/>
    <w:rsid w:val="0053772F"/>
    <w:rsid w:val="00540607"/>
    <w:rsid w:val="005444A6"/>
    <w:rsid w:val="00544A41"/>
    <w:rsid w:val="00544D47"/>
    <w:rsid w:val="00545647"/>
    <w:rsid w:val="00545BB6"/>
    <w:rsid w:val="0054613B"/>
    <w:rsid w:val="00552013"/>
    <w:rsid w:val="005538B4"/>
    <w:rsid w:val="00555259"/>
    <w:rsid w:val="00555CB8"/>
    <w:rsid w:val="00555E1D"/>
    <w:rsid w:val="00557F0F"/>
    <w:rsid w:val="005610A1"/>
    <w:rsid w:val="005614C1"/>
    <w:rsid w:val="00561D90"/>
    <w:rsid w:val="00561DED"/>
    <w:rsid w:val="005623E0"/>
    <w:rsid w:val="00562A1D"/>
    <w:rsid w:val="00562AD1"/>
    <w:rsid w:val="0056328A"/>
    <w:rsid w:val="00563290"/>
    <w:rsid w:val="00565565"/>
    <w:rsid w:val="00565757"/>
    <w:rsid w:val="00565B7B"/>
    <w:rsid w:val="00566127"/>
    <w:rsid w:val="0057001F"/>
    <w:rsid w:val="00570320"/>
    <w:rsid w:val="0057124C"/>
    <w:rsid w:val="00571CB7"/>
    <w:rsid w:val="00572BC3"/>
    <w:rsid w:val="005730F1"/>
    <w:rsid w:val="00573F41"/>
    <w:rsid w:val="0057402A"/>
    <w:rsid w:val="005759A7"/>
    <w:rsid w:val="00575F85"/>
    <w:rsid w:val="005777C9"/>
    <w:rsid w:val="00580DBF"/>
    <w:rsid w:val="00581DD3"/>
    <w:rsid w:val="00583100"/>
    <w:rsid w:val="0058381A"/>
    <w:rsid w:val="00586BB2"/>
    <w:rsid w:val="0059049C"/>
    <w:rsid w:val="00590809"/>
    <w:rsid w:val="00590ED8"/>
    <w:rsid w:val="00590F7B"/>
    <w:rsid w:val="00592063"/>
    <w:rsid w:val="0059296A"/>
    <w:rsid w:val="00594CF8"/>
    <w:rsid w:val="0059632C"/>
    <w:rsid w:val="005965BB"/>
    <w:rsid w:val="00597283"/>
    <w:rsid w:val="0059751D"/>
    <w:rsid w:val="00597A80"/>
    <w:rsid w:val="005A0439"/>
    <w:rsid w:val="005A2871"/>
    <w:rsid w:val="005A2BF4"/>
    <w:rsid w:val="005A454E"/>
    <w:rsid w:val="005A4C76"/>
    <w:rsid w:val="005B0513"/>
    <w:rsid w:val="005B2D36"/>
    <w:rsid w:val="005B3BB6"/>
    <w:rsid w:val="005B5D4C"/>
    <w:rsid w:val="005C2A24"/>
    <w:rsid w:val="005C3750"/>
    <w:rsid w:val="005C4CE2"/>
    <w:rsid w:val="005C59F0"/>
    <w:rsid w:val="005C5C27"/>
    <w:rsid w:val="005C6A4C"/>
    <w:rsid w:val="005C73A3"/>
    <w:rsid w:val="005C7B4F"/>
    <w:rsid w:val="005C7D4D"/>
    <w:rsid w:val="005D2D1D"/>
    <w:rsid w:val="005D321F"/>
    <w:rsid w:val="005D3834"/>
    <w:rsid w:val="005D3FD7"/>
    <w:rsid w:val="005D53E8"/>
    <w:rsid w:val="005D55DF"/>
    <w:rsid w:val="005D5B9A"/>
    <w:rsid w:val="005D616F"/>
    <w:rsid w:val="005D6F13"/>
    <w:rsid w:val="005D7C08"/>
    <w:rsid w:val="005E1908"/>
    <w:rsid w:val="005E2049"/>
    <w:rsid w:val="005E329D"/>
    <w:rsid w:val="005E4086"/>
    <w:rsid w:val="005E48C3"/>
    <w:rsid w:val="005E51B0"/>
    <w:rsid w:val="005E53B3"/>
    <w:rsid w:val="005E6FF4"/>
    <w:rsid w:val="005E70BA"/>
    <w:rsid w:val="005F1740"/>
    <w:rsid w:val="005F21E3"/>
    <w:rsid w:val="005F48AD"/>
    <w:rsid w:val="00600966"/>
    <w:rsid w:val="00600C67"/>
    <w:rsid w:val="006034A7"/>
    <w:rsid w:val="00603559"/>
    <w:rsid w:val="006035E9"/>
    <w:rsid w:val="00604956"/>
    <w:rsid w:val="00605F6F"/>
    <w:rsid w:val="00606543"/>
    <w:rsid w:val="0060780A"/>
    <w:rsid w:val="006079BE"/>
    <w:rsid w:val="00607B23"/>
    <w:rsid w:val="006100D1"/>
    <w:rsid w:val="006118CD"/>
    <w:rsid w:val="006136C1"/>
    <w:rsid w:val="00613B96"/>
    <w:rsid w:val="006148E4"/>
    <w:rsid w:val="00614A41"/>
    <w:rsid w:val="006151AB"/>
    <w:rsid w:val="006154FD"/>
    <w:rsid w:val="00615A2C"/>
    <w:rsid w:val="00616824"/>
    <w:rsid w:val="006209D3"/>
    <w:rsid w:val="00624939"/>
    <w:rsid w:val="006254C4"/>
    <w:rsid w:val="00625766"/>
    <w:rsid w:val="006279A0"/>
    <w:rsid w:val="00630C57"/>
    <w:rsid w:val="006314C3"/>
    <w:rsid w:val="00631734"/>
    <w:rsid w:val="00631ED5"/>
    <w:rsid w:val="00633181"/>
    <w:rsid w:val="00633C52"/>
    <w:rsid w:val="00635D5A"/>
    <w:rsid w:val="00640851"/>
    <w:rsid w:val="00641C6C"/>
    <w:rsid w:val="006422E7"/>
    <w:rsid w:val="006428EA"/>
    <w:rsid w:val="00643A5A"/>
    <w:rsid w:val="00647798"/>
    <w:rsid w:val="00647D76"/>
    <w:rsid w:val="00650FBA"/>
    <w:rsid w:val="00652466"/>
    <w:rsid w:val="006545C9"/>
    <w:rsid w:val="00655D1B"/>
    <w:rsid w:val="00655D80"/>
    <w:rsid w:val="0065606F"/>
    <w:rsid w:val="00656182"/>
    <w:rsid w:val="00656554"/>
    <w:rsid w:val="0066209D"/>
    <w:rsid w:val="006623B2"/>
    <w:rsid w:val="006711FA"/>
    <w:rsid w:val="00671544"/>
    <w:rsid w:val="00671634"/>
    <w:rsid w:val="006723D2"/>
    <w:rsid w:val="006728B7"/>
    <w:rsid w:val="00682328"/>
    <w:rsid w:val="006828C6"/>
    <w:rsid w:val="006833A7"/>
    <w:rsid w:val="00684EDB"/>
    <w:rsid w:val="00690983"/>
    <w:rsid w:val="00691FC8"/>
    <w:rsid w:val="00692134"/>
    <w:rsid w:val="00692690"/>
    <w:rsid w:val="006952CA"/>
    <w:rsid w:val="0069626A"/>
    <w:rsid w:val="006A0382"/>
    <w:rsid w:val="006A0B52"/>
    <w:rsid w:val="006A1433"/>
    <w:rsid w:val="006A2254"/>
    <w:rsid w:val="006A44A2"/>
    <w:rsid w:val="006A46D1"/>
    <w:rsid w:val="006A59C8"/>
    <w:rsid w:val="006A70AA"/>
    <w:rsid w:val="006A741C"/>
    <w:rsid w:val="006B00C1"/>
    <w:rsid w:val="006B21D0"/>
    <w:rsid w:val="006B2AD7"/>
    <w:rsid w:val="006B3A17"/>
    <w:rsid w:val="006B60EA"/>
    <w:rsid w:val="006C2996"/>
    <w:rsid w:val="006C2CCD"/>
    <w:rsid w:val="006C4221"/>
    <w:rsid w:val="006C5C09"/>
    <w:rsid w:val="006C725C"/>
    <w:rsid w:val="006D0228"/>
    <w:rsid w:val="006D1A92"/>
    <w:rsid w:val="006D1E0E"/>
    <w:rsid w:val="006D2331"/>
    <w:rsid w:val="006D3DCF"/>
    <w:rsid w:val="006D4229"/>
    <w:rsid w:val="006D43F5"/>
    <w:rsid w:val="006E1442"/>
    <w:rsid w:val="006E434E"/>
    <w:rsid w:val="006E440F"/>
    <w:rsid w:val="006E631F"/>
    <w:rsid w:val="006E65C4"/>
    <w:rsid w:val="006E7C26"/>
    <w:rsid w:val="006E7E7E"/>
    <w:rsid w:val="006F0BAF"/>
    <w:rsid w:val="006F0C7F"/>
    <w:rsid w:val="006F13CB"/>
    <w:rsid w:val="006F1E48"/>
    <w:rsid w:val="006F3645"/>
    <w:rsid w:val="006F3728"/>
    <w:rsid w:val="006F506F"/>
    <w:rsid w:val="00700726"/>
    <w:rsid w:val="007010F1"/>
    <w:rsid w:val="007016C5"/>
    <w:rsid w:val="00701C40"/>
    <w:rsid w:val="00701F7D"/>
    <w:rsid w:val="007020BC"/>
    <w:rsid w:val="007030E3"/>
    <w:rsid w:val="00704236"/>
    <w:rsid w:val="00704780"/>
    <w:rsid w:val="00705FBC"/>
    <w:rsid w:val="007071A5"/>
    <w:rsid w:val="0070727A"/>
    <w:rsid w:val="00710B9B"/>
    <w:rsid w:val="00711869"/>
    <w:rsid w:val="00716202"/>
    <w:rsid w:val="007219EC"/>
    <w:rsid w:val="007219F1"/>
    <w:rsid w:val="00721EFF"/>
    <w:rsid w:val="007224B6"/>
    <w:rsid w:val="00722526"/>
    <w:rsid w:val="007232A0"/>
    <w:rsid w:val="00723312"/>
    <w:rsid w:val="007308A2"/>
    <w:rsid w:val="00732770"/>
    <w:rsid w:val="00733E2C"/>
    <w:rsid w:val="007344C9"/>
    <w:rsid w:val="00736043"/>
    <w:rsid w:val="007367F1"/>
    <w:rsid w:val="0073690B"/>
    <w:rsid w:val="00736EB3"/>
    <w:rsid w:val="0073739D"/>
    <w:rsid w:val="0074170A"/>
    <w:rsid w:val="007426D3"/>
    <w:rsid w:val="00742ADF"/>
    <w:rsid w:val="00746D9E"/>
    <w:rsid w:val="007471BD"/>
    <w:rsid w:val="00750388"/>
    <w:rsid w:val="0075179C"/>
    <w:rsid w:val="00754C86"/>
    <w:rsid w:val="00754FE2"/>
    <w:rsid w:val="0075517F"/>
    <w:rsid w:val="0076087A"/>
    <w:rsid w:val="00762345"/>
    <w:rsid w:val="00763331"/>
    <w:rsid w:val="007658E6"/>
    <w:rsid w:val="00766221"/>
    <w:rsid w:val="00766DC3"/>
    <w:rsid w:val="00766F40"/>
    <w:rsid w:val="0076718C"/>
    <w:rsid w:val="00767B50"/>
    <w:rsid w:val="007700A9"/>
    <w:rsid w:val="00770CF0"/>
    <w:rsid w:val="00771EFA"/>
    <w:rsid w:val="00771F68"/>
    <w:rsid w:val="0077549A"/>
    <w:rsid w:val="00775772"/>
    <w:rsid w:val="00775D9D"/>
    <w:rsid w:val="00776910"/>
    <w:rsid w:val="007810EB"/>
    <w:rsid w:val="007827A4"/>
    <w:rsid w:val="0078288B"/>
    <w:rsid w:val="00785A3A"/>
    <w:rsid w:val="0078793A"/>
    <w:rsid w:val="00791D21"/>
    <w:rsid w:val="0079286F"/>
    <w:rsid w:val="00793FAA"/>
    <w:rsid w:val="00797093"/>
    <w:rsid w:val="007A2DA8"/>
    <w:rsid w:val="007A3031"/>
    <w:rsid w:val="007A3159"/>
    <w:rsid w:val="007A3D05"/>
    <w:rsid w:val="007A48EA"/>
    <w:rsid w:val="007A4958"/>
    <w:rsid w:val="007A4ABA"/>
    <w:rsid w:val="007A5202"/>
    <w:rsid w:val="007A5C7F"/>
    <w:rsid w:val="007A6478"/>
    <w:rsid w:val="007A7725"/>
    <w:rsid w:val="007B0AA5"/>
    <w:rsid w:val="007B203B"/>
    <w:rsid w:val="007B2972"/>
    <w:rsid w:val="007B2A02"/>
    <w:rsid w:val="007B5835"/>
    <w:rsid w:val="007B678A"/>
    <w:rsid w:val="007C1902"/>
    <w:rsid w:val="007C28D3"/>
    <w:rsid w:val="007C3AEB"/>
    <w:rsid w:val="007C3E4D"/>
    <w:rsid w:val="007C46F5"/>
    <w:rsid w:val="007C4904"/>
    <w:rsid w:val="007C6672"/>
    <w:rsid w:val="007C6AEA"/>
    <w:rsid w:val="007C7C36"/>
    <w:rsid w:val="007D03DD"/>
    <w:rsid w:val="007D0B53"/>
    <w:rsid w:val="007D0DEE"/>
    <w:rsid w:val="007D1CCA"/>
    <w:rsid w:val="007D2078"/>
    <w:rsid w:val="007D217E"/>
    <w:rsid w:val="007D291F"/>
    <w:rsid w:val="007D4AA2"/>
    <w:rsid w:val="007D55A0"/>
    <w:rsid w:val="007D592F"/>
    <w:rsid w:val="007D5A71"/>
    <w:rsid w:val="007D5C0D"/>
    <w:rsid w:val="007D79FF"/>
    <w:rsid w:val="007E0550"/>
    <w:rsid w:val="007E07E0"/>
    <w:rsid w:val="007E19B2"/>
    <w:rsid w:val="007E2792"/>
    <w:rsid w:val="007E37A2"/>
    <w:rsid w:val="007E3DC2"/>
    <w:rsid w:val="007E4E74"/>
    <w:rsid w:val="007E6B19"/>
    <w:rsid w:val="007E6FA9"/>
    <w:rsid w:val="007F0865"/>
    <w:rsid w:val="007F12C8"/>
    <w:rsid w:val="007F2B17"/>
    <w:rsid w:val="007F3ACB"/>
    <w:rsid w:val="007F4AE3"/>
    <w:rsid w:val="007F7A7C"/>
    <w:rsid w:val="007F7B91"/>
    <w:rsid w:val="00800405"/>
    <w:rsid w:val="00803E30"/>
    <w:rsid w:val="00805622"/>
    <w:rsid w:val="0080797A"/>
    <w:rsid w:val="008107DB"/>
    <w:rsid w:val="0081122F"/>
    <w:rsid w:val="008145F6"/>
    <w:rsid w:val="00814A10"/>
    <w:rsid w:val="00814D46"/>
    <w:rsid w:val="00816698"/>
    <w:rsid w:val="00816F00"/>
    <w:rsid w:val="0082069B"/>
    <w:rsid w:val="0082095B"/>
    <w:rsid w:val="0082179B"/>
    <w:rsid w:val="008223D4"/>
    <w:rsid w:val="00824E5B"/>
    <w:rsid w:val="00825372"/>
    <w:rsid w:val="008275AD"/>
    <w:rsid w:val="00831CB8"/>
    <w:rsid w:val="00832399"/>
    <w:rsid w:val="00834CED"/>
    <w:rsid w:val="00835B3F"/>
    <w:rsid w:val="00837214"/>
    <w:rsid w:val="008372D2"/>
    <w:rsid w:val="00837DC0"/>
    <w:rsid w:val="00840DE0"/>
    <w:rsid w:val="00841182"/>
    <w:rsid w:val="008411D3"/>
    <w:rsid w:val="008425B6"/>
    <w:rsid w:val="00842973"/>
    <w:rsid w:val="00842BCE"/>
    <w:rsid w:val="00843025"/>
    <w:rsid w:val="00843145"/>
    <w:rsid w:val="00843292"/>
    <w:rsid w:val="0084578F"/>
    <w:rsid w:val="00845D00"/>
    <w:rsid w:val="00845DAC"/>
    <w:rsid w:val="00846324"/>
    <w:rsid w:val="00847243"/>
    <w:rsid w:val="0085271E"/>
    <w:rsid w:val="00856438"/>
    <w:rsid w:val="008565B8"/>
    <w:rsid w:val="00856BF8"/>
    <w:rsid w:val="00857257"/>
    <w:rsid w:val="008576F3"/>
    <w:rsid w:val="00857A49"/>
    <w:rsid w:val="008603E5"/>
    <w:rsid w:val="008607CA"/>
    <w:rsid w:val="00862BA8"/>
    <w:rsid w:val="00865C74"/>
    <w:rsid w:val="00867D13"/>
    <w:rsid w:val="00872141"/>
    <w:rsid w:val="008723AC"/>
    <w:rsid w:val="00873605"/>
    <w:rsid w:val="008742F1"/>
    <w:rsid w:val="008764B2"/>
    <w:rsid w:val="00876E2B"/>
    <w:rsid w:val="00881755"/>
    <w:rsid w:val="0088232E"/>
    <w:rsid w:val="00882ABB"/>
    <w:rsid w:val="00883DB5"/>
    <w:rsid w:val="00884E26"/>
    <w:rsid w:val="00885303"/>
    <w:rsid w:val="0088552C"/>
    <w:rsid w:val="00886FC9"/>
    <w:rsid w:val="00887AC5"/>
    <w:rsid w:val="008923C0"/>
    <w:rsid w:val="0089312E"/>
    <w:rsid w:val="00894D98"/>
    <w:rsid w:val="008966AE"/>
    <w:rsid w:val="00897343"/>
    <w:rsid w:val="0089739E"/>
    <w:rsid w:val="008A038B"/>
    <w:rsid w:val="008A0435"/>
    <w:rsid w:val="008A050C"/>
    <w:rsid w:val="008A5AA3"/>
    <w:rsid w:val="008B0533"/>
    <w:rsid w:val="008B192B"/>
    <w:rsid w:val="008B1BD1"/>
    <w:rsid w:val="008B1D78"/>
    <w:rsid w:val="008B2A2C"/>
    <w:rsid w:val="008B2B52"/>
    <w:rsid w:val="008B49B0"/>
    <w:rsid w:val="008B4CB6"/>
    <w:rsid w:val="008B79C3"/>
    <w:rsid w:val="008B7F9B"/>
    <w:rsid w:val="008C179D"/>
    <w:rsid w:val="008C1E46"/>
    <w:rsid w:val="008C20CA"/>
    <w:rsid w:val="008C2BB7"/>
    <w:rsid w:val="008C3CB7"/>
    <w:rsid w:val="008C68C3"/>
    <w:rsid w:val="008D0DF4"/>
    <w:rsid w:val="008D11DB"/>
    <w:rsid w:val="008D2B56"/>
    <w:rsid w:val="008D2F88"/>
    <w:rsid w:val="008D368C"/>
    <w:rsid w:val="008D497A"/>
    <w:rsid w:val="008D5FF6"/>
    <w:rsid w:val="008D7A0F"/>
    <w:rsid w:val="008E1B71"/>
    <w:rsid w:val="008E1EF8"/>
    <w:rsid w:val="008E23CA"/>
    <w:rsid w:val="008E2CEF"/>
    <w:rsid w:val="008E38F9"/>
    <w:rsid w:val="008E48CC"/>
    <w:rsid w:val="008E50B9"/>
    <w:rsid w:val="008E5700"/>
    <w:rsid w:val="008E5776"/>
    <w:rsid w:val="008E737B"/>
    <w:rsid w:val="008E79F3"/>
    <w:rsid w:val="008E7CAF"/>
    <w:rsid w:val="008F03E4"/>
    <w:rsid w:val="008F14F4"/>
    <w:rsid w:val="008F2F99"/>
    <w:rsid w:val="008F374D"/>
    <w:rsid w:val="008F46A5"/>
    <w:rsid w:val="008F58FF"/>
    <w:rsid w:val="008F72D2"/>
    <w:rsid w:val="008F7566"/>
    <w:rsid w:val="00900E93"/>
    <w:rsid w:val="00901D18"/>
    <w:rsid w:val="00902EBA"/>
    <w:rsid w:val="009034E5"/>
    <w:rsid w:val="00905A3F"/>
    <w:rsid w:val="00905A73"/>
    <w:rsid w:val="00906479"/>
    <w:rsid w:val="00906A77"/>
    <w:rsid w:val="00910C14"/>
    <w:rsid w:val="00912F0C"/>
    <w:rsid w:val="00913327"/>
    <w:rsid w:val="00914C9A"/>
    <w:rsid w:val="00915B57"/>
    <w:rsid w:val="00916BA7"/>
    <w:rsid w:val="00923D02"/>
    <w:rsid w:val="00925B4C"/>
    <w:rsid w:val="009263E2"/>
    <w:rsid w:val="00927544"/>
    <w:rsid w:val="0093153B"/>
    <w:rsid w:val="009326F5"/>
    <w:rsid w:val="00933569"/>
    <w:rsid w:val="009364FC"/>
    <w:rsid w:val="0093764F"/>
    <w:rsid w:val="00937CC6"/>
    <w:rsid w:val="009414EA"/>
    <w:rsid w:val="0094305C"/>
    <w:rsid w:val="00943159"/>
    <w:rsid w:val="00944E8F"/>
    <w:rsid w:val="00947039"/>
    <w:rsid w:val="00947223"/>
    <w:rsid w:val="0095124B"/>
    <w:rsid w:val="009513C3"/>
    <w:rsid w:val="00951A7F"/>
    <w:rsid w:val="00951F7C"/>
    <w:rsid w:val="00952927"/>
    <w:rsid w:val="00952F08"/>
    <w:rsid w:val="00952FA6"/>
    <w:rsid w:val="00953AC6"/>
    <w:rsid w:val="00954430"/>
    <w:rsid w:val="0095699E"/>
    <w:rsid w:val="0095716E"/>
    <w:rsid w:val="00957D16"/>
    <w:rsid w:val="00960294"/>
    <w:rsid w:val="009615BA"/>
    <w:rsid w:val="0096180F"/>
    <w:rsid w:val="0096200F"/>
    <w:rsid w:val="0096329D"/>
    <w:rsid w:val="00964067"/>
    <w:rsid w:val="0096575B"/>
    <w:rsid w:val="009663B1"/>
    <w:rsid w:val="00966E28"/>
    <w:rsid w:val="00971698"/>
    <w:rsid w:val="00972372"/>
    <w:rsid w:val="0097513A"/>
    <w:rsid w:val="00975696"/>
    <w:rsid w:val="00977E7B"/>
    <w:rsid w:val="009849E8"/>
    <w:rsid w:val="0098562B"/>
    <w:rsid w:val="00985690"/>
    <w:rsid w:val="00987951"/>
    <w:rsid w:val="009908A8"/>
    <w:rsid w:val="00990BAD"/>
    <w:rsid w:val="009921BB"/>
    <w:rsid w:val="0099395F"/>
    <w:rsid w:val="00994DDC"/>
    <w:rsid w:val="00994E0D"/>
    <w:rsid w:val="00995D9A"/>
    <w:rsid w:val="00997A71"/>
    <w:rsid w:val="009A1601"/>
    <w:rsid w:val="009A1D9D"/>
    <w:rsid w:val="009A31B7"/>
    <w:rsid w:val="009A4461"/>
    <w:rsid w:val="009A4671"/>
    <w:rsid w:val="009A4810"/>
    <w:rsid w:val="009A64B4"/>
    <w:rsid w:val="009A6693"/>
    <w:rsid w:val="009A6EC8"/>
    <w:rsid w:val="009A738D"/>
    <w:rsid w:val="009A73E8"/>
    <w:rsid w:val="009A7F6B"/>
    <w:rsid w:val="009B06B9"/>
    <w:rsid w:val="009B2232"/>
    <w:rsid w:val="009B2CDC"/>
    <w:rsid w:val="009B396B"/>
    <w:rsid w:val="009B79C9"/>
    <w:rsid w:val="009B7AEE"/>
    <w:rsid w:val="009C0666"/>
    <w:rsid w:val="009C0709"/>
    <w:rsid w:val="009C10B8"/>
    <w:rsid w:val="009C1125"/>
    <w:rsid w:val="009C1797"/>
    <w:rsid w:val="009C1D3C"/>
    <w:rsid w:val="009C4750"/>
    <w:rsid w:val="009C5C51"/>
    <w:rsid w:val="009C7106"/>
    <w:rsid w:val="009C7E3B"/>
    <w:rsid w:val="009D0933"/>
    <w:rsid w:val="009D22D3"/>
    <w:rsid w:val="009D2827"/>
    <w:rsid w:val="009D342A"/>
    <w:rsid w:val="009D4B8F"/>
    <w:rsid w:val="009D4CF3"/>
    <w:rsid w:val="009D6F61"/>
    <w:rsid w:val="009E065C"/>
    <w:rsid w:val="009E3426"/>
    <w:rsid w:val="009E61D9"/>
    <w:rsid w:val="009E6DBE"/>
    <w:rsid w:val="009F0055"/>
    <w:rsid w:val="009F125C"/>
    <w:rsid w:val="009F238F"/>
    <w:rsid w:val="009F2E61"/>
    <w:rsid w:val="009F3BE9"/>
    <w:rsid w:val="009F4FB7"/>
    <w:rsid w:val="009F6180"/>
    <w:rsid w:val="009F732F"/>
    <w:rsid w:val="009F750A"/>
    <w:rsid w:val="00A02F76"/>
    <w:rsid w:val="00A05F9B"/>
    <w:rsid w:val="00A064ED"/>
    <w:rsid w:val="00A072A7"/>
    <w:rsid w:val="00A10D88"/>
    <w:rsid w:val="00A11D5A"/>
    <w:rsid w:val="00A12C71"/>
    <w:rsid w:val="00A14F3B"/>
    <w:rsid w:val="00A1611E"/>
    <w:rsid w:val="00A204AF"/>
    <w:rsid w:val="00A20FC6"/>
    <w:rsid w:val="00A22178"/>
    <w:rsid w:val="00A23CD1"/>
    <w:rsid w:val="00A24B09"/>
    <w:rsid w:val="00A25DBC"/>
    <w:rsid w:val="00A26484"/>
    <w:rsid w:val="00A26C2A"/>
    <w:rsid w:val="00A26DAD"/>
    <w:rsid w:val="00A26F9F"/>
    <w:rsid w:val="00A30A4C"/>
    <w:rsid w:val="00A31299"/>
    <w:rsid w:val="00A31EDE"/>
    <w:rsid w:val="00A342D1"/>
    <w:rsid w:val="00A34898"/>
    <w:rsid w:val="00A35156"/>
    <w:rsid w:val="00A36844"/>
    <w:rsid w:val="00A42367"/>
    <w:rsid w:val="00A42F40"/>
    <w:rsid w:val="00A4453D"/>
    <w:rsid w:val="00A47C14"/>
    <w:rsid w:val="00A47F70"/>
    <w:rsid w:val="00A50810"/>
    <w:rsid w:val="00A51E10"/>
    <w:rsid w:val="00A533E4"/>
    <w:rsid w:val="00A53DFF"/>
    <w:rsid w:val="00A5497B"/>
    <w:rsid w:val="00A54BF0"/>
    <w:rsid w:val="00A55F3F"/>
    <w:rsid w:val="00A56286"/>
    <w:rsid w:val="00A56AB0"/>
    <w:rsid w:val="00A619CF"/>
    <w:rsid w:val="00A63019"/>
    <w:rsid w:val="00A63036"/>
    <w:rsid w:val="00A65E94"/>
    <w:rsid w:val="00A669AA"/>
    <w:rsid w:val="00A70A0E"/>
    <w:rsid w:val="00A70CD0"/>
    <w:rsid w:val="00A728DA"/>
    <w:rsid w:val="00A74685"/>
    <w:rsid w:val="00A7470D"/>
    <w:rsid w:val="00A748F3"/>
    <w:rsid w:val="00A752A4"/>
    <w:rsid w:val="00A7572C"/>
    <w:rsid w:val="00A75CC1"/>
    <w:rsid w:val="00A76308"/>
    <w:rsid w:val="00A76EB5"/>
    <w:rsid w:val="00A77A7B"/>
    <w:rsid w:val="00A8114A"/>
    <w:rsid w:val="00A81F93"/>
    <w:rsid w:val="00A837F5"/>
    <w:rsid w:val="00A8466E"/>
    <w:rsid w:val="00A848D6"/>
    <w:rsid w:val="00A86338"/>
    <w:rsid w:val="00A863ED"/>
    <w:rsid w:val="00A879BB"/>
    <w:rsid w:val="00A90699"/>
    <w:rsid w:val="00A91DD4"/>
    <w:rsid w:val="00A93ACD"/>
    <w:rsid w:val="00A93C31"/>
    <w:rsid w:val="00A93CC7"/>
    <w:rsid w:val="00A94583"/>
    <w:rsid w:val="00A951D5"/>
    <w:rsid w:val="00A9552B"/>
    <w:rsid w:val="00AA01D4"/>
    <w:rsid w:val="00AA21B5"/>
    <w:rsid w:val="00AC25BC"/>
    <w:rsid w:val="00AC33D1"/>
    <w:rsid w:val="00AC3F5B"/>
    <w:rsid w:val="00AC448D"/>
    <w:rsid w:val="00AC69CC"/>
    <w:rsid w:val="00AC6ECC"/>
    <w:rsid w:val="00AD0A0E"/>
    <w:rsid w:val="00AD16B5"/>
    <w:rsid w:val="00AD3586"/>
    <w:rsid w:val="00AD53E5"/>
    <w:rsid w:val="00AD60E2"/>
    <w:rsid w:val="00AD6DE1"/>
    <w:rsid w:val="00AD6EAE"/>
    <w:rsid w:val="00AE231A"/>
    <w:rsid w:val="00AE2C5D"/>
    <w:rsid w:val="00AE4DB4"/>
    <w:rsid w:val="00AE515F"/>
    <w:rsid w:val="00AE5532"/>
    <w:rsid w:val="00AE71DB"/>
    <w:rsid w:val="00AE7E67"/>
    <w:rsid w:val="00AE7F30"/>
    <w:rsid w:val="00AF0071"/>
    <w:rsid w:val="00AF09A7"/>
    <w:rsid w:val="00AF35E7"/>
    <w:rsid w:val="00AF46EA"/>
    <w:rsid w:val="00AF6B1A"/>
    <w:rsid w:val="00AF6F4A"/>
    <w:rsid w:val="00B003D7"/>
    <w:rsid w:val="00B00A84"/>
    <w:rsid w:val="00B01883"/>
    <w:rsid w:val="00B0268B"/>
    <w:rsid w:val="00B0272C"/>
    <w:rsid w:val="00B0291D"/>
    <w:rsid w:val="00B036E7"/>
    <w:rsid w:val="00B03A5E"/>
    <w:rsid w:val="00B03DC5"/>
    <w:rsid w:val="00B06031"/>
    <w:rsid w:val="00B06995"/>
    <w:rsid w:val="00B10C87"/>
    <w:rsid w:val="00B11B21"/>
    <w:rsid w:val="00B12E5B"/>
    <w:rsid w:val="00B13B00"/>
    <w:rsid w:val="00B142B9"/>
    <w:rsid w:val="00B1468E"/>
    <w:rsid w:val="00B148A8"/>
    <w:rsid w:val="00B175FA"/>
    <w:rsid w:val="00B202D1"/>
    <w:rsid w:val="00B2109C"/>
    <w:rsid w:val="00B211C9"/>
    <w:rsid w:val="00B236CD"/>
    <w:rsid w:val="00B245C8"/>
    <w:rsid w:val="00B257CE"/>
    <w:rsid w:val="00B25B49"/>
    <w:rsid w:val="00B26315"/>
    <w:rsid w:val="00B3130E"/>
    <w:rsid w:val="00B3194F"/>
    <w:rsid w:val="00B32BBE"/>
    <w:rsid w:val="00B3455C"/>
    <w:rsid w:val="00B3487C"/>
    <w:rsid w:val="00B35667"/>
    <w:rsid w:val="00B36866"/>
    <w:rsid w:val="00B37657"/>
    <w:rsid w:val="00B37EC7"/>
    <w:rsid w:val="00B402E5"/>
    <w:rsid w:val="00B419BB"/>
    <w:rsid w:val="00B41A31"/>
    <w:rsid w:val="00B42837"/>
    <w:rsid w:val="00B43724"/>
    <w:rsid w:val="00B44832"/>
    <w:rsid w:val="00B44A1C"/>
    <w:rsid w:val="00B45BC8"/>
    <w:rsid w:val="00B45D27"/>
    <w:rsid w:val="00B518D0"/>
    <w:rsid w:val="00B51D54"/>
    <w:rsid w:val="00B51F7D"/>
    <w:rsid w:val="00B54438"/>
    <w:rsid w:val="00B55670"/>
    <w:rsid w:val="00B57729"/>
    <w:rsid w:val="00B60025"/>
    <w:rsid w:val="00B6026C"/>
    <w:rsid w:val="00B60785"/>
    <w:rsid w:val="00B65EEB"/>
    <w:rsid w:val="00B66131"/>
    <w:rsid w:val="00B67810"/>
    <w:rsid w:val="00B67B0D"/>
    <w:rsid w:val="00B702D9"/>
    <w:rsid w:val="00B7172F"/>
    <w:rsid w:val="00B7191A"/>
    <w:rsid w:val="00B75218"/>
    <w:rsid w:val="00B76271"/>
    <w:rsid w:val="00B77846"/>
    <w:rsid w:val="00B779FF"/>
    <w:rsid w:val="00B80150"/>
    <w:rsid w:val="00B80185"/>
    <w:rsid w:val="00B805FC"/>
    <w:rsid w:val="00B8066A"/>
    <w:rsid w:val="00B82AFD"/>
    <w:rsid w:val="00B83141"/>
    <w:rsid w:val="00B83192"/>
    <w:rsid w:val="00B86242"/>
    <w:rsid w:val="00B87404"/>
    <w:rsid w:val="00B91458"/>
    <w:rsid w:val="00B91502"/>
    <w:rsid w:val="00B9301E"/>
    <w:rsid w:val="00B9368A"/>
    <w:rsid w:val="00B936A2"/>
    <w:rsid w:val="00B9509D"/>
    <w:rsid w:val="00B95938"/>
    <w:rsid w:val="00B965D6"/>
    <w:rsid w:val="00BA3A5A"/>
    <w:rsid w:val="00BA687C"/>
    <w:rsid w:val="00BB1350"/>
    <w:rsid w:val="00BB453A"/>
    <w:rsid w:val="00BB4B8B"/>
    <w:rsid w:val="00BB4E8C"/>
    <w:rsid w:val="00BB5461"/>
    <w:rsid w:val="00BB6199"/>
    <w:rsid w:val="00BB6447"/>
    <w:rsid w:val="00BB67C9"/>
    <w:rsid w:val="00BC0426"/>
    <w:rsid w:val="00BC2E85"/>
    <w:rsid w:val="00BC38DC"/>
    <w:rsid w:val="00BC4824"/>
    <w:rsid w:val="00BC48E6"/>
    <w:rsid w:val="00BC495D"/>
    <w:rsid w:val="00BC4F85"/>
    <w:rsid w:val="00BC60B7"/>
    <w:rsid w:val="00BC6340"/>
    <w:rsid w:val="00BC653D"/>
    <w:rsid w:val="00BC6708"/>
    <w:rsid w:val="00BD1BCB"/>
    <w:rsid w:val="00BD3714"/>
    <w:rsid w:val="00BD3F70"/>
    <w:rsid w:val="00BD48A8"/>
    <w:rsid w:val="00BD4A59"/>
    <w:rsid w:val="00BD60A4"/>
    <w:rsid w:val="00BD717D"/>
    <w:rsid w:val="00BE01B3"/>
    <w:rsid w:val="00BE01B6"/>
    <w:rsid w:val="00BE0317"/>
    <w:rsid w:val="00BE422B"/>
    <w:rsid w:val="00BE4FD4"/>
    <w:rsid w:val="00BF0B40"/>
    <w:rsid w:val="00BF1969"/>
    <w:rsid w:val="00BF1BD0"/>
    <w:rsid w:val="00BF1FA6"/>
    <w:rsid w:val="00BF4765"/>
    <w:rsid w:val="00BF7307"/>
    <w:rsid w:val="00BF7A17"/>
    <w:rsid w:val="00C00A6F"/>
    <w:rsid w:val="00C00B8B"/>
    <w:rsid w:val="00C00FD2"/>
    <w:rsid w:val="00C01087"/>
    <w:rsid w:val="00C01155"/>
    <w:rsid w:val="00C030E1"/>
    <w:rsid w:val="00C038A0"/>
    <w:rsid w:val="00C0431B"/>
    <w:rsid w:val="00C04E88"/>
    <w:rsid w:val="00C0617C"/>
    <w:rsid w:val="00C0783D"/>
    <w:rsid w:val="00C1086C"/>
    <w:rsid w:val="00C11B7C"/>
    <w:rsid w:val="00C12241"/>
    <w:rsid w:val="00C1324C"/>
    <w:rsid w:val="00C1497F"/>
    <w:rsid w:val="00C150AD"/>
    <w:rsid w:val="00C15776"/>
    <w:rsid w:val="00C15B40"/>
    <w:rsid w:val="00C16821"/>
    <w:rsid w:val="00C17252"/>
    <w:rsid w:val="00C204E4"/>
    <w:rsid w:val="00C2135E"/>
    <w:rsid w:val="00C21D3A"/>
    <w:rsid w:val="00C2328F"/>
    <w:rsid w:val="00C23B05"/>
    <w:rsid w:val="00C26AC3"/>
    <w:rsid w:val="00C309A2"/>
    <w:rsid w:val="00C30EAA"/>
    <w:rsid w:val="00C332A0"/>
    <w:rsid w:val="00C33996"/>
    <w:rsid w:val="00C3464F"/>
    <w:rsid w:val="00C34926"/>
    <w:rsid w:val="00C407C2"/>
    <w:rsid w:val="00C40CCF"/>
    <w:rsid w:val="00C419E6"/>
    <w:rsid w:val="00C45C21"/>
    <w:rsid w:val="00C46997"/>
    <w:rsid w:val="00C46C99"/>
    <w:rsid w:val="00C46CA4"/>
    <w:rsid w:val="00C52AA1"/>
    <w:rsid w:val="00C55256"/>
    <w:rsid w:val="00C623A3"/>
    <w:rsid w:val="00C62E3D"/>
    <w:rsid w:val="00C63551"/>
    <w:rsid w:val="00C635BE"/>
    <w:rsid w:val="00C638FE"/>
    <w:rsid w:val="00C63CC4"/>
    <w:rsid w:val="00C646C9"/>
    <w:rsid w:val="00C64ACB"/>
    <w:rsid w:val="00C653A1"/>
    <w:rsid w:val="00C65F13"/>
    <w:rsid w:val="00C664E3"/>
    <w:rsid w:val="00C672D2"/>
    <w:rsid w:val="00C7053A"/>
    <w:rsid w:val="00C710A5"/>
    <w:rsid w:val="00C71A2D"/>
    <w:rsid w:val="00C72C2A"/>
    <w:rsid w:val="00C72D10"/>
    <w:rsid w:val="00C73214"/>
    <w:rsid w:val="00C73A2D"/>
    <w:rsid w:val="00C749C4"/>
    <w:rsid w:val="00C76CF5"/>
    <w:rsid w:val="00C81369"/>
    <w:rsid w:val="00C823E3"/>
    <w:rsid w:val="00C84764"/>
    <w:rsid w:val="00C84DAB"/>
    <w:rsid w:val="00C85E85"/>
    <w:rsid w:val="00C8609A"/>
    <w:rsid w:val="00C86F65"/>
    <w:rsid w:val="00C87229"/>
    <w:rsid w:val="00C878C3"/>
    <w:rsid w:val="00C87D4D"/>
    <w:rsid w:val="00C9240D"/>
    <w:rsid w:val="00C9513D"/>
    <w:rsid w:val="00C9567D"/>
    <w:rsid w:val="00C9592C"/>
    <w:rsid w:val="00C96DC5"/>
    <w:rsid w:val="00C97025"/>
    <w:rsid w:val="00C97DBE"/>
    <w:rsid w:val="00CA0AE7"/>
    <w:rsid w:val="00CA1112"/>
    <w:rsid w:val="00CA19B9"/>
    <w:rsid w:val="00CA1CB2"/>
    <w:rsid w:val="00CA2EB9"/>
    <w:rsid w:val="00CA35F9"/>
    <w:rsid w:val="00CA5C0C"/>
    <w:rsid w:val="00CA663B"/>
    <w:rsid w:val="00CB175E"/>
    <w:rsid w:val="00CC10E3"/>
    <w:rsid w:val="00CC6306"/>
    <w:rsid w:val="00CC6B2D"/>
    <w:rsid w:val="00CC75E9"/>
    <w:rsid w:val="00CC7B00"/>
    <w:rsid w:val="00CC7F39"/>
    <w:rsid w:val="00CD00FE"/>
    <w:rsid w:val="00CD0F4C"/>
    <w:rsid w:val="00CD26A1"/>
    <w:rsid w:val="00CD3B14"/>
    <w:rsid w:val="00CD5975"/>
    <w:rsid w:val="00CD5EBA"/>
    <w:rsid w:val="00CD6CAA"/>
    <w:rsid w:val="00CD6DD6"/>
    <w:rsid w:val="00CD6E24"/>
    <w:rsid w:val="00CD6F0B"/>
    <w:rsid w:val="00CD7982"/>
    <w:rsid w:val="00CD7E36"/>
    <w:rsid w:val="00CD7FD6"/>
    <w:rsid w:val="00CE113F"/>
    <w:rsid w:val="00CE51EA"/>
    <w:rsid w:val="00CF0CF0"/>
    <w:rsid w:val="00CF1320"/>
    <w:rsid w:val="00CF289E"/>
    <w:rsid w:val="00CF297F"/>
    <w:rsid w:val="00CF3C4C"/>
    <w:rsid w:val="00CF40D6"/>
    <w:rsid w:val="00CF41EF"/>
    <w:rsid w:val="00CF4DF0"/>
    <w:rsid w:val="00CF7BB8"/>
    <w:rsid w:val="00D00365"/>
    <w:rsid w:val="00D018FA"/>
    <w:rsid w:val="00D0195B"/>
    <w:rsid w:val="00D030C5"/>
    <w:rsid w:val="00D03323"/>
    <w:rsid w:val="00D03C41"/>
    <w:rsid w:val="00D04147"/>
    <w:rsid w:val="00D057CD"/>
    <w:rsid w:val="00D05F38"/>
    <w:rsid w:val="00D06FFE"/>
    <w:rsid w:val="00D10A7F"/>
    <w:rsid w:val="00D13234"/>
    <w:rsid w:val="00D13EF3"/>
    <w:rsid w:val="00D173AF"/>
    <w:rsid w:val="00D20CF2"/>
    <w:rsid w:val="00D2746A"/>
    <w:rsid w:val="00D31C79"/>
    <w:rsid w:val="00D31E13"/>
    <w:rsid w:val="00D32E56"/>
    <w:rsid w:val="00D33315"/>
    <w:rsid w:val="00D33331"/>
    <w:rsid w:val="00D33403"/>
    <w:rsid w:val="00D33DF3"/>
    <w:rsid w:val="00D352DF"/>
    <w:rsid w:val="00D36274"/>
    <w:rsid w:val="00D36A00"/>
    <w:rsid w:val="00D4319A"/>
    <w:rsid w:val="00D45069"/>
    <w:rsid w:val="00D47433"/>
    <w:rsid w:val="00D50641"/>
    <w:rsid w:val="00D52166"/>
    <w:rsid w:val="00D56694"/>
    <w:rsid w:val="00D60774"/>
    <w:rsid w:val="00D61E4A"/>
    <w:rsid w:val="00D63505"/>
    <w:rsid w:val="00D63696"/>
    <w:rsid w:val="00D645D3"/>
    <w:rsid w:val="00D64677"/>
    <w:rsid w:val="00D647AE"/>
    <w:rsid w:val="00D64D46"/>
    <w:rsid w:val="00D710DA"/>
    <w:rsid w:val="00D726BD"/>
    <w:rsid w:val="00D726C6"/>
    <w:rsid w:val="00D726D9"/>
    <w:rsid w:val="00D75078"/>
    <w:rsid w:val="00D758F8"/>
    <w:rsid w:val="00D75924"/>
    <w:rsid w:val="00D75EB9"/>
    <w:rsid w:val="00D8027A"/>
    <w:rsid w:val="00D819CB"/>
    <w:rsid w:val="00D844ED"/>
    <w:rsid w:val="00D846E9"/>
    <w:rsid w:val="00D849F1"/>
    <w:rsid w:val="00D855EF"/>
    <w:rsid w:val="00D85CC5"/>
    <w:rsid w:val="00D85CFA"/>
    <w:rsid w:val="00D914AB"/>
    <w:rsid w:val="00D91997"/>
    <w:rsid w:val="00D91D95"/>
    <w:rsid w:val="00D92797"/>
    <w:rsid w:val="00D93BFD"/>
    <w:rsid w:val="00D93D16"/>
    <w:rsid w:val="00D94496"/>
    <w:rsid w:val="00D97D1B"/>
    <w:rsid w:val="00DA041F"/>
    <w:rsid w:val="00DA06F9"/>
    <w:rsid w:val="00DA0F25"/>
    <w:rsid w:val="00DB09E8"/>
    <w:rsid w:val="00DB0F0F"/>
    <w:rsid w:val="00DB3770"/>
    <w:rsid w:val="00DB5564"/>
    <w:rsid w:val="00DB64AF"/>
    <w:rsid w:val="00DB6CA0"/>
    <w:rsid w:val="00DB7163"/>
    <w:rsid w:val="00DC0049"/>
    <w:rsid w:val="00DC17E4"/>
    <w:rsid w:val="00DC1F06"/>
    <w:rsid w:val="00DC1F42"/>
    <w:rsid w:val="00DC2BDA"/>
    <w:rsid w:val="00DC4646"/>
    <w:rsid w:val="00DC5DF7"/>
    <w:rsid w:val="00DC63DB"/>
    <w:rsid w:val="00DC688E"/>
    <w:rsid w:val="00DC6A38"/>
    <w:rsid w:val="00DD012E"/>
    <w:rsid w:val="00DD02A4"/>
    <w:rsid w:val="00DD1AE8"/>
    <w:rsid w:val="00DD2AFE"/>
    <w:rsid w:val="00DD3BFC"/>
    <w:rsid w:val="00DD4229"/>
    <w:rsid w:val="00DD5703"/>
    <w:rsid w:val="00DE023E"/>
    <w:rsid w:val="00DE0385"/>
    <w:rsid w:val="00DE0930"/>
    <w:rsid w:val="00DE0E76"/>
    <w:rsid w:val="00DE1FAE"/>
    <w:rsid w:val="00DE2402"/>
    <w:rsid w:val="00DE26F3"/>
    <w:rsid w:val="00DE359C"/>
    <w:rsid w:val="00DE54A9"/>
    <w:rsid w:val="00DE6DCA"/>
    <w:rsid w:val="00DE6FA9"/>
    <w:rsid w:val="00DF0948"/>
    <w:rsid w:val="00DF26F8"/>
    <w:rsid w:val="00DF6EB6"/>
    <w:rsid w:val="00DF70D5"/>
    <w:rsid w:val="00DF715F"/>
    <w:rsid w:val="00DF7F23"/>
    <w:rsid w:val="00E00514"/>
    <w:rsid w:val="00E024F0"/>
    <w:rsid w:val="00E027A1"/>
    <w:rsid w:val="00E03371"/>
    <w:rsid w:val="00E033DD"/>
    <w:rsid w:val="00E03A28"/>
    <w:rsid w:val="00E03F8D"/>
    <w:rsid w:val="00E05805"/>
    <w:rsid w:val="00E05A55"/>
    <w:rsid w:val="00E106C4"/>
    <w:rsid w:val="00E114FE"/>
    <w:rsid w:val="00E130FA"/>
    <w:rsid w:val="00E13752"/>
    <w:rsid w:val="00E13D3A"/>
    <w:rsid w:val="00E14071"/>
    <w:rsid w:val="00E14357"/>
    <w:rsid w:val="00E151F4"/>
    <w:rsid w:val="00E155EA"/>
    <w:rsid w:val="00E15D33"/>
    <w:rsid w:val="00E16743"/>
    <w:rsid w:val="00E16E1B"/>
    <w:rsid w:val="00E20A9C"/>
    <w:rsid w:val="00E214C6"/>
    <w:rsid w:val="00E218B3"/>
    <w:rsid w:val="00E22DF7"/>
    <w:rsid w:val="00E23ED3"/>
    <w:rsid w:val="00E241B0"/>
    <w:rsid w:val="00E25139"/>
    <w:rsid w:val="00E25287"/>
    <w:rsid w:val="00E25F48"/>
    <w:rsid w:val="00E261FD"/>
    <w:rsid w:val="00E2653D"/>
    <w:rsid w:val="00E27616"/>
    <w:rsid w:val="00E27D7A"/>
    <w:rsid w:val="00E27E76"/>
    <w:rsid w:val="00E32C80"/>
    <w:rsid w:val="00E32DF4"/>
    <w:rsid w:val="00E33C96"/>
    <w:rsid w:val="00E359CB"/>
    <w:rsid w:val="00E35D8E"/>
    <w:rsid w:val="00E36490"/>
    <w:rsid w:val="00E36C67"/>
    <w:rsid w:val="00E439C6"/>
    <w:rsid w:val="00E451A5"/>
    <w:rsid w:val="00E45E2B"/>
    <w:rsid w:val="00E47094"/>
    <w:rsid w:val="00E47887"/>
    <w:rsid w:val="00E5025A"/>
    <w:rsid w:val="00E505DE"/>
    <w:rsid w:val="00E52F48"/>
    <w:rsid w:val="00E56BB4"/>
    <w:rsid w:val="00E57464"/>
    <w:rsid w:val="00E61368"/>
    <w:rsid w:val="00E615CE"/>
    <w:rsid w:val="00E61AD9"/>
    <w:rsid w:val="00E6260D"/>
    <w:rsid w:val="00E64E57"/>
    <w:rsid w:val="00E6551C"/>
    <w:rsid w:val="00E6557A"/>
    <w:rsid w:val="00E65ADD"/>
    <w:rsid w:val="00E6710E"/>
    <w:rsid w:val="00E70DEC"/>
    <w:rsid w:val="00E7116B"/>
    <w:rsid w:val="00E7242E"/>
    <w:rsid w:val="00E74211"/>
    <w:rsid w:val="00E75663"/>
    <w:rsid w:val="00E757FF"/>
    <w:rsid w:val="00E76CBE"/>
    <w:rsid w:val="00E76D77"/>
    <w:rsid w:val="00E809F5"/>
    <w:rsid w:val="00E81943"/>
    <w:rsid w:val="00E81BB5"/>
    <w:rsid w:val="00E85A9C"/>
    <w:rsid w:val="00E90402"/>
    <w:rsid w:val="00E917F5"/>
    <w:rsid w:val="00E9583A"/>
    <w:rsid w:val="00E95B8E"/>
    <w:rsid w:val="00E963D4"/>
    <w:rsid w:val="00E964AE"/>
    <w:rsid w:val="00EA227E"/>
    <w:rsid w:val="00EA2610"/>
    <w:rsid w:val="00EA3A36"/>
    <w:rsid w:val="00EA405D"/>
    <w:rsid w:val="00EA66AD"/>
    <w:rsid w:val="00EA67FB"/>
    <w:rsid w:val="00EA7680"/>
    <w:rsid w:val="00EB2E15"/>
    <w:rsid w:val="00EB3CB5"/>
    <w:rsid w:val="00EB4363"/>
    <w:rsid w:val="00EC48B7"/>
    <w:rsid w:val="00EC4D15"/>
    <w:rsid w:val="00EC5756"/>
    <w:rsid w:val="00EC5F86"/>
    <w:rsid w:val="00EC79F9"/>
    <w:rsid w:val="00ED159B"/>
    <w:rsid w:val="00ED189D"/>
    <w:rsid w:val="00ED2FC0"/>
    <w:rsid w:val="00ED4487"/>
    <w:rsid w:val="00ED7EA3"/>
    <w:rsid w:val="00EE0424"/>
    <w:rsid w:val="00EE13A5"/>
    <w:rsid w:val="00EE13EC"/>
    <w:rsid w:val="00EE238E"/>
    <w:rsid w:val="00EE3744"/>
    <w:rsid w:val="00EF02E9"/>
    <w:rsid w:val="00EF254F"/>
    <w:rsid w:val="00EF2767"/>
    <w:rsid w:val="00EF33F5"/>
    <w:rsid w:val="00EF473E"/>
    <w:rsid w:val="00EF7196"/>
    <w:rsid w:val="00EF71A9"/>
    <w:rsid w:val="00EF7891"/>
    <w:rsid w:val="00F009FE"/>
    <w:rsid w:val="00F00F2D"/>
    <w:rsid w:val="00F0446B"/>
    <w:rsid w:val="00F0621E"/>
    <w:rsid w:val="00F0623D"/>
    <w:rsid w:val="00F07061"/>
    <w:rsid w:val="00F104D5"/>
    <w:rsid w:val="00F117EE"/>
    <w:rsid w:val="00F11BEA"/>
    <w:rsid w:val="00F1206E"/>
    <w:rsid w:val="00F13836"/>
    <w:rsid w:val="00F154F0"/>
    <w:rsid w:val="00F17A76"/>
    <w:rsid w:val="00F21804"/>
    <w:rsid w:val="00F23814"/>
    <w:rsid w:val="00F23942"/>
    <w:rsid w:val="00F258FA"/>
    <w:rsid w:val="00F261B2"/>
    <w:rsid w:val="00F265EA"/>
    <w:rsid w:val="00F26B70"/>
    <w:rsid w:val="00F27015"/>
    <w:rsid w:val="00F271A1"/>
    <w:rsid w:val="00F279F1"/>
    <w:rsid w:val="00F3069F"/>
    <w:rsid w:val="00F31312"/>
    <w:rsid w:val="00F33C99"/>
    <w:rsid w:val="00F34252"/>
    <w:rsid w:val="00F35924"/>
    <w:rsid w:val="00F35B73"/>
    <w:rsid w:val="00F36303"/>
    <w:rsid w:val="00F367D8"/>
    <w:rsid w:val="00F36868"/>
    <w:rsid w:val="00F37424"/>
    <w:rsid w:val="00F40281"/>
    <w:rsid w:val="00F406B8"/>
    <w:rsid w:val="00F40851"/>
    <w:rsid w:val="00F40A65"/>
    <w:rsid w:val="00F415AC"/>
    <w:rsid w:val="00F426DE"/>
    <w:rsid w:val="00F42E60"/>
    <w:rsid w:val="00F42FE1"/>
    <w:rsid w:val="00F447AF"/>
    <w:rsid w:val="00F45126"/>
    <w:rsid w:val="00F471ED"/>
    <w:rsid w:val="00F472C5"/>
    <w:rsid w:val="00F509A6"/>
    <w:rsid w:val="00F51266"/>
    <w:rsid w:val="00F52E68"/>
    <w:rsid w:val="00F564B7"/>
    <w:rsid w:val="00F5763E"/>
    <w:rsid w:val="00F60309"/>
    <w:rsid w:val="00F63411"/>
    <w:rsid w:val="00F67514"/>
    <w:rsid w:val="00F67EA4"/>
    <w:rsid w:val="00F71023"/>
    <w:rsid w:val="00F750BF"/>
    <w:rsid w:val="00F756F9"/>
    <w:rsid w:val="00F770D1"/>
    <w:rsid w:val="00F809DF"/>
    <w:rsid w:val="00F80DBE"/>
    <w:rsid w:val="00F8109B"/>
    <w:rsid w:val="00F834E9"/>
    <w:rsid w:val="00F8356C"/>
    <w:rsid w:val="00F84684"/>
    <w:rsid w:val="00F8473E"/>
    <w:rsid w:val="00F84B8C"/>
    <w:rsid w:val="00F8606B"/>
    <w:rsid w:val="00F865BD"/>
    <w:rsid w:val="00F87318"/>
    <w:rsid w:val="00F8748E"/>
    <w:rsid w:val="00F906D6"/>
    <w:rsid w:val="00F92346"/>
    <w:rsid w:val="00F9321F"/>
    <w:rsid w:val="00F94021"/>
    <w:rsid w:val="00F950CB"/>
    <w:rsid w:val="00F97C64"/>
    <w:rsid w:val="00FA1E6F"/>
    <w:rsid w:val="00FA3479"/>
    <w:rsid w:val="00FA4755"/>
    <w:rsid w:val="00FA5764"/>
    <w:rsid w:val="00FA623A"/>
    <w:rsid w:val="00FB08D3"/>
    <w:rsid w:val="00FB2113"/>
    <w:rsid w:val="00FC0A3C"/>
    <w:rsid w:val="00FC2D32"/>
    <w:rsid w:val="00FC50E5"/>
    <w:rsid w:val="00FC63CE"/>
    <w:rsid w:val="00FC6E34"/>
    <w:rsid w:val="00FD0486"/>
    <w:rsid w:val="00FD20D1"/>
    <w:rsid w:val="00FD26E1"/>
    <w:rsid w:val="00FD3877"/>
    <w:rsid w:val="00FD3AB0"/>
    <w:rsid w:val="00FD4CAB"/>
    <w:rsid w:val="00FD4E5E"/>
    <w:rsid w:val="00FD5297"/>
    <w:rsid w:val="00FD5AD0"/>
    <w:rsid w:val="00FE1169"/>
    <w:rsid w:val="00FE3F03"/>
    <w:rsid w:val="00FE52D0"/>
    <w:rsid w:val="00FE5C4B"/>
    <w:rsid w:val="00FE5DAC"/>
    <w:rsid w:val="00FE6174"/>
    <w:rsid w:val="00FE6900"/>
    <w:rsid w:val="00FF0015"/>
    <w:rsid w:val="00FF117D"/>
    <w:rsid w:val="00FF1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A55"/>
    <w:pPr>
      <w:widowControl w:val="0"/>
      <w:jc w:val="both"/>
    </w:pPr>
    <w:rPr>
      <w:kern w:val="2"/>
      <w:sz w:val="21"/>
      <w:szCs w:val="22"/>
    </w:rPr>
  </w:style>
  <w:style w:type="paragraph" w:styleId="1">
    <w:name w:val="heading 1"/>
    <w:basedOn w:val="a"/>
    <w:next w:val="a"/>
    <w:link w:val="1Char"/>
    <w:qFormat/>
    <w:rsid w:val="00B003D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F0B4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A738D"/>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3159"/>
    <w:pPr>
      <w:ind w:leftChars="2500" w:left="100"/>
    </w:pPr>
  </w:style>
  <w:style w:type="character" w:customStyle="1" w:styleId="Char">
    <w:name w:val="日期 Char"/>
    <w:basedOn w:val="a0"/>
    <w:link w:val="a3"/>
    <w:uiPriority w:val="99"/>
    <w:semiHidden/>
    <w:rsid w:val="00943159"/>
  </w:style>
  <w:style w:type="paragraph" w:styleId="a4">
    <w:name w:val="header"/>
    <w:basedOn w:val="a"/>
    <w:link w:val="Char0"/>
    <w:unhideWhenUsed/>
    <w:qFormat/>
    <w:rsid w:val="00DC1F06"/>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4"/>
    <w:qFormat/>
    <w:rsid w:val="00DC1F06"/>
    <w:rPr>
      <w:sz w:val="18"/>
      <w:szCs w:val="18"/>
    </w:rPr>
  </w:style>
  <w:style w:type="paragraph" w:styleId="a5">
    <w:name w:val="footer"/>
    <w:basedOn w:val="a"/>
    <w:link w:val="Char1"/>
    <w:uiPriority w:val="99"/>
    <w:unhideWhenUsed/>
    <w:qFormat/>
    <w:rsid w:val="00DC1F06"/>
    <w:pPr>
      <w:tabs>
        <w:tab w:val="center" w:pos="4153"/>
        <w:tab w:val="right" w:pos="8306"/>
      </w:tabs>
      <w:snapToGrid w:val="0"/>
      <w:jc w:val="left"/>
    </w:pPr>
    <w:rPr>
      <w:kern w:val="0"/>
      <w:sz w:val="18"/>
      <w:szCs w:val="18"/>
      <w:lang/>
    </w:rPr>
  </w:style>
  <w:style w:type="character" w:customStyle="1" w:styleId="Char1">
    <w:name w:val="页脚 Char"/>
    <w:link w:val="a5"/>
    <w:uiPriority w:val="99"/>
    <w:qFormat/>
    <w:rsid w:val="00DC1F06"/>
    <w:rPr>
      <w:sz w:val="18"/>
      <w:szCs w:val="18"/>
    </w:rPr>
  </w:style>
  <w:style w:type="paragraph" w:customStyle="1" w:styleId="Default">
    <w:name w:val="Default"/>
    <w:qFormat/>
    <w:rsid w:val="008B2A2C"/>
    <w:pPr>
      <w:widowControl w:val="0"/>
      <w:autoSpaceDE w:val="0"/>
      <w:autoSpaceDN w:val="0"/>
      <w:adjustRightInd w:val="0"/>
    </w:pPr>
    <w:rPr>
      <w:rFonts w:ascii="宋体" w:cs="宋体"/>
      <w:color w:val="000000"/>
      <w:sz w:val="24"/>
      <w:szCs w:val="24"/>
    </w:rPr>
  </w:style>
  <w:style w:type="character" w:customStyle="1" w:styleId="da">
    <w:name w:val="da"/>
    <w:basedOn w:val="a0"/>
    <w:rsid w:val="002B244A"/>
  </w:style>
  <w:style w:type="table" w:styleId="a6">
    <w:name w:val="Table Grid"/>
    <w:basedOn w:val="a1"/>
    <w:uiPriority w:val="59"/>
    <w:qFormat/>
    <w:rsid w:val="00147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nhideWhenUsed/>
    <w:qFormat/>
    <w:rsid w:val="009B396B"/>
    <w:rPr>
      <w:kern w:val="0"/>
      <w:sz w:val="18"/>
      <w:szCs w:val="18"/>
      <w:lang/>
    </w:rPr>
  </w:style>
  <w:style w:type="character" w:customStyle="1" w:styleId="Char2">
    <w:name w:val="批注框文本 Char"/>
    <w:link w:val="a7"/>
    <w:uiPriority w:val="99"/>
    <w:semiHidden/>
    <w:qFormat/>
    <w:rsid w:val="009B396B"/>
    <w:rPr>
      <w:sz w:val="18"/>
      <w:szCs w:val="18"/>
    </w:rPr>
  </w:style>
  <w:style w:type="character" w:styleId="a8">
    <w:name w:val="Hyperlink"/>
    <w:uiPriority w:val="99"/>
    <w:unhideWhenUsed/>
    <w:qFormat/>
    <w:rsid w:val="009B396B"/>
    <w:rPr>
      <w:color w:val="0000FF"/>
      <w:u w:val="single"/>
    </w:rPr>
  </w:style>
  <w:style w:type="paragraph" w:styleId="a9">
    <w:name w:val="Revision"/>
    <w:hidden/>
    <w:uiPriority w:val="99"/>
    <w:semiHidden/>
    <w:rsid w:val="00190E75"/>
    <w:rPr>
      <w:kern w:val="2"/>
      <w:sz w:val="21"/>
      <w:szCs w:val="22"/>
    </w:rPr>
  </w:style>
  <w:style w:type="character" w:styleId="aa">
    <w:name w:val="annotation reference"/>
    <w:unhideWhenUsed/>
    <w:qFormat/>
    <w:rsid w:val="00456786"/>
    <w:rPr>
      <w:sz w:val="21"/>
      <w:szCs w:val="21"/>
    </w:rPr>
  </w:style>
  <w:style w:type="paragraph" w:styleId="ab">
    <w:name w:val="annotation text"/>
    <w:basedOn w:val="a"/>
    <w:link w:val="Char3"/>
    <w:unhideWhenUsed/>
    <w:qFormat/>
    <w:rsid w:val="00456786"/>
    <w:pPr>
      <w:jc w:val="left"/>
    </w:pPr>
  </w:style>
  <w:style w:type="character" w:customStyle="1" w:styleId="Char3">
    <w:name w:val="批注文字 Char"/>
    <w:basedOn w:val="a0"/>
    <w:link w:val="ab"/>
    <w:qFormat/>
    <w:rsid w:val="00456786"/>
  </w:style>
  <w:style w:type="paragraph" w:styleId="ac">
    <w:name w:val="annotation subject"/>
    <w:basedOn w:val="ab"/>
    <w:next w:val="ab"/>
    <w:link w:val="Char4"/>
    <w:unhideWhenUsed/>
    <w:qFormat/>
    <w:rsid w:val="00456786"/>
    <w:rPr>
      <w:b/>
      <w:bCs/>
      <w:kern w:val="0"/>
      <w:sz w:val="20"/>
      <w:szCs w:val="20"/>
      <w:lang/>
    </w:rPr>
  </w:style>
  <w:style w:type="character" w:customStyle="1" w:styleId="Char4">
    <w:name w:val="批注主题 Char"/>
    <w:link w:val="ac"/>
    <w:uiPriority w:val="99"/>
    <w:semiHidden/>
    <w:qFormat/>
    <w:rsid w:val="00456786"/>
    <w:rPr>
      <w:b/>
      <w:bCs/>
    </w:rPr>
  </w:style>
  <w:style w:type="paragraph" w:styleId="ad">
    <w:name w:val="Body Text Indent"/>
    <w:basedOn w:val="a"/>
    <w:link w:val="Char5"/>
    <w:rsid w:val="003A4734"/>
    <w:pPr>
      <w:ind w:firstLineChars="200" w:firstLine="422"/>
    </w:pPr>
    <w:rPr>
      <w:b/>
      <w:bCs/>
      <w:szCs w:val="18"/>
      <w:lang/>
    </w:rPr>
  </w:style>
  <w:style w:type="character" w:customStyle="1" w:styleId="Char5">
    <w:name w:val="正文文本缩进 Char"/>
    <w:link w:val="ad"/>
    <w:rsid w:val="003A4734"/>
    <w:rPr>
      <w:b/>
      <w:bCs/>
      <w:kern w:val="2"/>
      <w:sz w:val="21"/>
      <w:szCs w:val="18"/>
    </w:rPr>
  </w:style>
  <w:style w:type="paragraph" w:styleId="20">
    <w:name w:val="Body Text Indent 2"/>
    <w:basedOn w:val="a"/>
    <w:link w:val="2Char0"/>
    <w:qFormat/>
    <w:rsid w:val="003A4734"/>
    <w:pPr>
      <w:ind w:firstLineChars="200" w:firstLine="420"/>
    </w:pPr>
    <w:rPr>
      <w:szCs w:val="18"/>
      <w:lang/>
    </w:rPr>
  </w:style>
  <w:style w:type="character" w:customStyle="1" w:styleId="2Char0">
    <w:name w:val="正文文本缩进 2 Char"/>
    <w:link w:val="20"/>
    <w:qFormat/>
    <w:rsid w:val="003A4734"/>
    <w:rPr>
      <w:kern w:val="2"/>
      <w:sz w:val="21"/>
      <w:szCs w:val="18"/>
    </w:rPr>
  </w:style>
  <w:style w:type="character" w:customStyle="1" w:styleId="1Char">
    <w:name w:val="标题 1 Char"/>
    <w:link w:val="1"/>
    <w:qFormat/>
    <w:rsid w:val="00B003D7"/>
    <w:rPr>
      <w:b/>
      <w:bCs/>
      <w:kern w:val="44"/>
      <w:sz w:val="44"/>
      <w:szCs w:val="44"/>
    </w:rPr>
  </w:style>
  <w:style w:type="character" w:customStyle="1" w:styleId="2Char">
    <w:name w:val="标题 2 Char"/>
    <w:link w:val="2"/>
    <w:qFormat/>
    <w:rsid w:val="00BF0B40"/>
    <w:rPr>
      <w:rFonts w:ascii="Arial" w:eastAsia="黑体" w:hAnsi="Arial"/>
      <w:b/>
      <w:bCs/>
      <w:kern w:val="2"/>
      <w:sz w:val="32"/>
      <w:szCs w:val="32"/>
    </w:rPr>
  </w:style>
  <w:style w:type="paragraph" w:styleId="ae">
    <w:name w:val="List Paragraph"/>
    <w:basedOn w:val="a"/>
    <w:uiPriority w:val="34"/>
    <w:qFormat/>
    <w:rsid w:val="006148E4"/>
    <w:pPr>
      <w:ind w:firstLineChars="200" w:firstLine="420"/>
    </w:pPr>
  </w:style>
  <w:style w:type="character" w:customStyle="1" w:styleId="af">
    <w:name w:val="批注文字 字符"/>
    <w:qFormat/>
    <w:locked/>
    <w:rsid w:val="006148E4"/>
  </w:style>
  <w:style w:type="character" w:customStyle="1" w:styleId="3Char">
    <w:name w:val="标题 3 Char"/>
    <w:basedOn w:val="a0"/>
    <w:link w:val="3"/>
    <w:qFormat/>
    <w:rsid w:val="009A738D"/>
    <w:rPr>
      <w:rFonts w:ascii="Times New Roman" w:hAnsi="Times New Roman"/>
      <w:b/>
      <w:kern w:val="2"/>
      <w:sz w:val="32"/>
    </w:rPr>
  </w:style>
  <w:style w:type="paragraph" w:styleId="7">
    <w:name w:val="toc 7"/>
    <w:basedOn w:val="a"/>
    <w:next w:val="a"/>
    <w:uiPriority w:val="39"/>
    <w:unhideWhenUsed/>
    <w:qFormat/>
    <w:rsid w:val="009A738D"/>
    <w:pPr>
      <w:ind w:leftChars="1200" w:left="2520"/>
    </w:pPr>
  </w:style>
  <w:style w:type="paragraph" w:styleId="af0">
    <w:name w:val="Normal Indent"/>
    <w:basedOn w:val="a"/>
    <w:qFormat/>
    <w:rsid w:val="009A738D"/>
    <w:pPr>
      <w:ind w:firstLineChars="200" w:firstLine="420"/>
    </w:pPr>
    <w:rPr>
      <w:rFonts w:ascii="Times New Roman" w:hAnsi="Times New Roman"/>
      <w:szCs w:val="24"/>
    </w:rPr>
  </w:style>
  <w:style w:type="paragraph" w:styleId="af1">
    <w:name w:val="Document Map"/>
    <w:basedOn w:val="a"/>
    <w:link w:val="Char6"/>
    <w:unhideWhenUsed/>
    <w:qFormat/>
    <w:rsid w:val="009A738D"/>
    <w:rPr>
      <w:rFonts w:ascii="宋体"/>
      <w:sz w:val="18"/>
      <w:szCs w:val="18"/>
      <w:lang w:val="zh-CN"/>
    </w:rPr>
  </w:style>
  <w:style w:type="character" w:customStyle="1" w:styleId="Char6">
    <w:name w:val="文档结构图 Char"/>
    <w:basedOn w:val="a0"/>
    <w:link w:val="af1"/>
    <w:qFormat/>
    <w:rsid w:val="009A738D"/>
    <w:rPr>
      <w:rFonts w:ascii="宋体"/>
      <w:kern w:val="2"/>
      <w:sz w:val="18"/>
      <w:szCs w:val="18"/>
      <w:lang w:val="zh-CN"/>
    </w:rPr>
  </w:style>
  <w:style w:type="paragraph" w:styleId="af2">
    <w:name w:val="Body Text"/>
    <w:basedOn w:val="a"/>
    <w:link w:val="Char7"/>
    <w:qFormat/>
    <w:rsid w:val="009A738D"/>
    <w:pPr>
      <w:autoSpaceDE w:val="0"/>
      <w:autoSpaceDN w:val="0"/>
      <w:adjustRightInd w:val="0"/>
      <w:spacing w:line="360" w:lineRule="auto"/>
      <w:jc w:val="left"/>
    </w:pPr>
    <w:rPr>
      <w:rFonts w:ascii="宋体"/>
      <w:kern w:val="0"/>
      <w:sz w:val="20"/>
      <w:szCs w:val="20"/>
    </w:rPr>
  </w:style>
  <w:style w:type="character" w:customStyle="1" w:styleId="Char7">
    <w:name w:val="正文文本 Char"/>
    <w:basedOn w:val="a0"/>
    <w:link w:val="af2"/>
    <w:qFormat/>
    <w:rsid w:val="009A738D"/>
    <w:rPr>
      <w:rFonts w:ascii="宋体"/>
    </w:rPr>
  </w:style>
  <w:style w:type="paragraph" w:styleId="5">
    <w:name w:val="toc 5"/>
    <w:basedOn w:val="a"/>
    <w:next w:val="a"/>
    <w:uiPriority w:val="39"/>
    <w:unhideWhenUsed/>
    <w:qFormat/>
    <w:rsid w:val="009A738D"/>
    <w:pPr>
      <w:ind w:leftChars="800" w:left="1680"/>
    </w:pPr>
  </w:style>
  <w:style w:type="paragraph" w:styleId="30">
    <w:name w:val="toc 3"/>
    <w:basedOn w:val="a"/>
    <w:next w:val="a"/>
    <w:uiPriority w:val="39"/>
    <w:qFormat/>
    <w:rsid w:val="009A738D"/>
    <w:pPr>
      <w:ind w:leftChars="400" w:left="840"/>
    </w:pPr>
    <w:rPr>
      <w:rFonts w:ascii="Times New Roman" w:hAnsi="Times New Roman"/>
      <w:szCs w:val="20"/>
    </w:rPr>
  </w:style>
  <w:style w:type="paragraph" w:styleId="af3">
    <w:name w:val="Plain Text"/>
    <w:basedOn w:val="a"/>
    <w:link w:val="Char8"/>
    <w:qFormat/>
    <w:rsid w:val="009A738D"/>
    <w:pPr>
      <w:adjustRightInd w:val="0"/>
      <w:spacing w:line="312" w:lineRule="atLeast"/>
      <w:textAlignment w:val="baseline"/>
    </w:pPr>
    <w:rPr>
      <w:rFonts w:ascii="宋体" w:hAnsi="Courier New"/>
      <w:kern w:val="0"/>
      <w:szCs w:val="20"/>
    </w:rPr>
  </w:style>
  <w:style w:type="character" w:customStyle="1" w:styleId="Char8">
    <w:name w:val="纯文本 Char"/>
    <w:basedOn w:val="a0"/>
    <w:link w:val="af3"/>
    <w:qFormat/>
    <w:rsid w:val="009A738D"/>
    <w:rPr>
      <w:rFonts w:ascii="宋体" w:hAnsi="Courier New"/>
      <w:sz w:val="21"/>
    </w:rPr>
  </w:style>
  <w:style w:type="paragraph" w:styleId="8">
    <w:name w:val="toc 8"/>
    <w:basedOn w:val="a"/>
    <w:next w:val="a"/>
    <w:uiPriority w:val="39"/>
    <w:unhideWhenUsed/>
    <w:qFormat/>
    <w:rsid w:val="009A738D"/>
    <w:pPr>
      <w:ind w:leftChars="1400" w:left="2940"/>
    </w:pPr>
  </w:style>
  <w:style w:type="paragraph" w:styleId="10">
    <w:name w:val="toc 1"/>
    <w:basedOn w:val="a"/>
    <w:next w:val="a"/>
    <w:uiPriority w:val="39"/>
    <w:qFormat/>
    <w:rsid w:val="009A738D"/>
  </w:style>
  <w:style w:type="paragraph" w:styleId="4">
    <w:name w:val="toc 4"/>
    <w:basedOn w:val="a"/>
    <w:next w:val="a"/>
    <w:uiPriority w:val="39"/>
    <w:unhideWhenUsed/>
    <w:qFormat/>
    <w:rsid w:val="009A738D"/>
    <w:pPr>
      <w:ind w:leftChars="600" w:left="1260"/>
    </w:pPr>
  </w:style>
  <w:style w:type="paragraph" w:styleId="af4">
    <w:name w:val="footnote text"/>
    <w:basedOn w:val="a"/>
    <w:link w:val="Char9"/>
    <w:qFormat/>
    <w:rsid w:val="009A738D"/>
    <w:pPr>
      <w:snapToGrid w:val="0"/>
      <w:jc w:val="left"/>
    </w:pPr>
    <w:rPr>
      <w:rFonts w:ascii="Times New Roman" w:hAnsi="Times New Roman"/>
      <w:sz w:val="18"/>
      <w:szCs w:val="20"/>
    </w:rPr>
  </w:style>
  <w:style w:type="character" w:customStyle="1" w:styleId="Char9">
    <w:name w:val="脚注文本 Char"/>
    <w:basedOn w:val="a0"/>
    <w:link w:val="af4"/>
    <w:qFormat/>
    <w:rsid w:val="009A738D"/>
    <w:rPr>
      <w:rFonts w:ascii="Times New Roman" w:hAnsi="Times New Roman"/>
      <w:kern w:val="2"/>
      <w:sz w:val="18"/>
    </w:rPr>
  </w:style>
  <w:style w:type="paragraph" w:styleId="6">
    <w:name w:val="toc 6"/>
    <w:basedOn w:val="a"/>
    <w:next w:val="a"/>
    <w:uiPriority w:val="39"/>
    <w:unhideWhenUsed/>
    <w:qFormat/>
    <w:rsid w:val="009A738D"/>
    <w:pPr>
      <w:ind w:leftChars="1000" w:left="2100"/>
    </w:pPr>
  </w:style>
  <w:style w:type="paragraph" w:styleId="31">
    <w:name w:val="Body Text Indent 3"/>
    <w:basedOn w:val="a"/>
    <w:link w:val="3Char0"/>
    <w:qFormat/>
    <w:rsid w:val="009A738D"/>
    <w:pPr>
      <w:autoSpaceDE w:val="0"/>
      <w:autoSpaceDN w:val="0"/>
      <w:adjustRightInd w:val="0"/>
      <w:spacing w:line="360" w:lineRule="auto"/>
      <w:ind w:left="420" w:firstLine="435"/>
    </w:pPr>
    <w:rPr>
      <w:rFonts w:ascii="Times New Roman" w:hAnsi="Times New Roman"/>
      <w:color w:val="0000FF"/>
      <w:szCs w:val="20"/>
    </w:rPr>
  </w:style>
  <w:style w:type="character" w:customStyle="1" w:styleId="3Char0">
    <w:name w:val="正文文本缩进 3 Char"/>
    <w:basedOn w:val="a0"/>
    <w:link w:val="31"/>
    <w:qFormat/>
    <w:rsid w:val="009A738D"/>
    <w:rPr>
      <w:rFonts w:ascii="Times New Roman" w:hAnsi="Times New Roman"/>
      <w:color w:val="0000FF"/>
      <w:kern w:val="2"/>
      <w:sz w:val="21"/>
    </w:rPr>
  </w:style>
  <w:style w:type="paragraph" w:styleId="21">
    <w:name w:val="toc 2"/>
    <w:basedOn w:val="a"/>
    <w:next w:val="a"/>
    <w:uiPriority w:val="39"/>
    <w:unhideWhenUsed/>
    <w:qFormat/>
    <w:rsid w:val="009A738D"/>
    <w:pPr>
      <w:ind w:leftChars="200" w:left="420"/>
    </w:pPr>
  </w:style>
  <w:style w:type="paragraph" w:styleId="9">
    <w:name w:val="toc 9"/>
    <w:basedOn w:val="a"/>
    <w:next w:val="a"/>
    <w:uiPriority w:val="39"/>
    <w:unhideWhenUsed/>
    <w:qFormat/>
    <w:rsid w:val="009A738D"/>
    <w:pPr>
      <w:ind w:leftChars="1600" w:left="3360"/>
    </w:pPr>
  </w:style>
  <w:style w:type="paragraph" w:styleId="HTML">
    <w:name w:val="HTML Preformatted"/>
    <w:basedOn w:val="a"/>
    <w:link w:val="HTMLChar"/>
    <w:uiPriority w:val="99"/>
    <w:semiHidden/>
    <w:unhideWhenUsed/>
    <w:qFormat/>
    <w:rsid w:val="009A7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character" w:customStyle="1" w:styleId="HTMLChar">
    <w:name w:val="HTML 预设格式 Char"/>
    <w:basedOn w:val="a0"/>
    <w:link w:val="HTML"/>
    <w:uiPriority w:val="99"/>
    <w:semiHidden/>
    <w:qFormat/>
    <w:rsid w:val="009A738D"/>
    <w:rPr>
      <w:rFonts w:ascii="宋体" w:hAnsi="宋体"/>
      <w:sz w:val="24"/>
      <w:szCs w:val="24"/>
      <w:lang w:val="zh-CN"/>
    </w:rPr>
  </w:style>
  <w:style w:type="paragraph" w:styleId="af5">
    <w:name w:val="Normal (Web)"/>
    <w:basedOn w:val="a"/>
    <w:uiPriority w:val="99"/>
    <w:unhideWhenUsed/>
    <w:qFormat/>
    <w:rsid w:val="009A738D"/>
    <w:pPr>
      <w:widowControl/>
      <w:spacing w:before="100" w:beforeAutospacing="1" w:after="100" w:afterAutospacing="1"/>
      <w:jc w:val="left"/>
    </w:pPr>
    <w:rPr>
      <w:rFonts w:ascii="宋体" w:hAnsi="宋体" w:cs="宋体"/>
      <w:kern w:val="0"/>
      <w:sz w:val="24"/>
      <w:szCs w:val="24"/>
    </w:rPr>
  </w:style>
  <w:style w:type="paragraph" w:styleId="af6">
    <w:name w:val="Title"/>
    <w:basedOn w:val="a"/>
    <w:next w:val="a"/>
    <w:link w:val="Chara"/>
    <w:qFormat/>
    <w:rsid w:val="009A738D"/>
    <w:pPr>
      <w:spacing w:before="240" w:after="60"/>
      <w:jc w:val="center"/>
      <w:outlineLvl w:val="0"/>
    </w:pPr>
    <w:rPr>
      <w:rFonts w:ascii="Cambria" w:hAnsi="Cambria"/>
      <w:b/>
      <w:bCs/>
      <w:sz w:val="32"/>
      <w:szCs w:val="32"/>
      <w:lang w:val="zh-CN"/>
    </w:rPr>
  </w:style>
  <w:style w:type="character" w:customStyle="1" w:styleId="Chara">
    <w:name w:val="标题 Char"/>
    <w:basedOn w:val="a0"/>
    <w:link w:val="af6"/>
    <w:qFormat/>
    <w:rsid w:val="009A738D"/>
    <w:rPr>
      <w:rFonts w:ascii="Cambria" w:hAnsi="Cambria"/>
      <w:b/>
      <w:bCs/>
      <w:kern w:val="2"/>
      <w:sz w:val="32"/>
      <w:szCs w:val="32"/>
      <w:lang w:val="zh-CN"/>
    </w:rPr>
  </w:style>
  <w:style w:type="table" w:customStyle="1" w:styleId="11">
    <w:name w:val="网格型1"/>
    <w:basedOn w:val="a1"/>
    <w:next w:val="a6"/>
    <w:uiPriority w:val="59"/>
    <w:qFormat/>
    <w:locked/>
    <w:rsid w:val="009A738D"/>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qFormat/>
    <w:rsid w:val="009A738D"/>
  </w:style>
  <w:style w:type="character" w:styleId="af8">
    <w:name w:val="footnote reference"/>
    <w:qFormat/>
    <w:rsid w:val="009A738D"/>
    <w:rPr>
      <w:vertAlign w:val="superscript"/>
    </w:rPr>
  </w:style>
  <w:style w:type="paragraph" w:customStyle="1" w:styleId="-11">
    <w:name w:val="彩色列表 - 强调文字颜色 11"/>
    <w:basedOn w:val="a"/>
    <w:uiPriority w:val="34"/>
    <w:qFormat/>
    <w:rsid w:val="009A738D"/>
    <w:pPr>
      <w:ind w:firstLineChars="200" w:firstLine="420"/>
    </w:pPr>
  </w:style>
  <w:style w:type="paragraph" w:customStyle="1" w:styleId="TOC1">
    <w:name w:val="TOC 标题1"/>
    <w:basedOn w:val="1"/>
    <w:next w:val="a"/>
    <w:uiPriority w:val="99"/>
    <w:qFormat/>
    <w:rsid w:val="009A738D"/>
    <w:pPr>
      <w:widowControl/>
      <w:spacing w:before="480" w:after="0" w:line="276" w:lineRule="auto"/>
      <w:jc w:val="left"/>
      <w:outlineLvl w:val="9"/>
    </w:pPr>
    <w:rPr>
      <w:rFonts w:ascii="Cambria" w:hAnsi="Cambria"/>
      <w:color w:val="365F91"/>
      <w:kern w:val="0"/>
      <w:sz w:val="28"/>
      <w:szCs w:val="28"/>
      <w:lang w:val="zh-CN"/>
    </w:rPr>
  </w:style>
  <w:style w:type="paragraph" w:customStyle="1" w:styleId="CharChar">
    <w:name w:val="Char Char"/>
    <w:basedOn w:val="a"/>
    <w:qFormat/>
    <w:rsid w:val="009A738D"/>
    <w:rPr>
      <w:rFonts w:ascii="Times New Roman" w:hAnsi="Times New Roman"/>
      <w:szCs w:val="20"/>
    </w:rPr>
  </w:style>
  <w:style w:type="paragraph" w:customStyle="1" w:styleId="CharChar1">
    <w:name w:val="Char Char1"/>
    <w:basedOn w:val="a"/>
    <w:qFormat/>
    <w:rsid w:val="009A738D"/>
    <w:rPr>
      <w:rFonts w:ascii="Times New Roman" w:hAnsi="Times New Roman"/>
      <w:szCs w:val="20"/>
    </w:rPr>
  </w:style>
  <w:style w:type="paragraph" w:customStyle="1" w:styleId="CharChar2">
    <w:name w:val="Char Char2"/>
    <w:basedOn w:val="a"/>
    <w:qFormat/>
    <w:rsid w:val="009A738D"/>
    <w:rPr>
      <w:rFonts w:ascii="Times New Roman" w:hAnsi="Times New Roman"/>
      <w:szCs w:val="20"/>
    </w:rPr>
  </w:style>
  <w:style w:type="paragraph" w:customStyle="1" w:styleId="CharCharCharCharCharChar1CharCharChar">
    <w:name w:val="Char Char Char Char Char Char1 Char Char Char"/>
    <w:basedOn w:val="a"/>
    <w:qFormat/>
    <w:rsid w:val="009A738D"/>
    <w:pPr>
      <w:autoSpaceDE w:val="0"/>
      <w:autoSpaceDN w:val="0"/>
      <w:adjustRightInd w:val="0"/>
      <w:jc w:val="left"/>
      <w:textAlignment w:val="baseline"/>
    </w:pPr>
    <w:rPr>
      <w:rFonts w:ascii="Times New Roman" w:eastAsia="方正仿宋简体" w:hAnsi="Times New Roman"/>
      <w:sz w:val="32"/>
      <w:szCs w:val="20"/>
    </w:rPr>
  </w:style>
  <w:style w:type="paragraph" w:customStyle="1" w:styleId="-21">
    <w:name w:val="浅色底纹 - 强调文字颜色 21"/>
    <w:basedOn w:val="a"/>
    <w:next w:val="a"/>
    <w:link w:val="-2Char"/>
    <w:uiPriority w:val="30"/>
    <w:qFormat/>
    <w:rsid w:val="009A738D"/>
    <w:pPr>
      <w:pBdr>
        <w:bottom w:val="single" w:sz="4" w:space="4" w:color="4F81BD"/>
      </w:pBdr>
      <w:spacing w:before="200" w:after="280"/>
      <w:ind w:left="936" w:right="936"/>
    </w:pPr>
    <w:rPr>
      <w:b/>
      <w:bCs/>
      <w:i/>
      <w:iCs/>
      <w:color w:val="4F81BD"/>
      <w:lang w:val="zh-CN"/>
    </w:rPr>
  </w:style>
  <w:style w:type="character" w:customStyle="1" w:styleId="-2Char">
    <w:name w:val="浅色底纹 - 强调文字颜色 2 Char"/>
    <w:link w:val="-21"/>
    <w:uiPriority w:val="30"/>
    <w:qFormat/>
    <w:rsid w:val="009A738D"/>
    <w:rPr>
      <w:b/>
      <w:bCs/>
      <w:i/>
      <w:iCs/>
      <w:color w:val="4F81BD"/>
      <w:kern w:val="2"/>
      <w:sz w:val="21"/>
      <w:szCs w:val="22"/>
      <w:lang w:val="zh-CN"/>
    </w:rPr>
  </w:style>
  <w:style w:type="paragraph" w:customStyle="1" w:styleId="reader-word-layer">
    <w:name w:val="reader-word-layer"/>
    <w:basedOn w:val="a"/>
    <w:qFormat/>
    <w:rsid w:val="009A738D"/>
    <w:pPr>
      <w:widowControl/>
      <w:spacing w:before="100" w:beforeAutospacing="1" w:after="100" w:afterAutospacing="1"/>
      <w:jc w:val="left"/>
    </w:pPr>
    <w:rPr>
      <w:rFonts w:ascii="宋体" w:hAnsi="宋体" w:cs="宋体"/>
      <w:kern w:val="0"/>
      <w:sz w:val="24"/>
      <w:szCs w:val="24"/>
    </w:rPr>
  </w:style>
  <w:style w:type="paragraph" w:customStyle="1" w:styleId="msonormal1">
    <w:name w:val="msonormal1"/>
    <w:qFormat/>
    <w:rsid w:val="009A738D"/>
    <w:pPr>
      <w:widowControl w:val="0"/>
      <w:jc w:val="both"/>
    </w:pPr>
    <w:rPr>
      <w:rFonts w:ascii="Times New Roman" w:hAnsi="Times New Roman"/>
      <w:kern w:val="2"/>
      <w:sz w:val="21"/>
    </w:rPr>
  </w:style>
  <w:style w:type="paragraph" w:customStyle="1" w:styleId="-110">
    <w:name w:val="彩色底纹 - 强调文字颜色 11"/>
    <w:hidden/>
    <w:uiPriority w:val="99"/>
    <w:semiHidden/>
    <w:qFormat/>
    <w:rsid w:val="009A738D"/>
    <w:rPr>
      <w:kern w:val="2"/>
      <w:sz w:val="21"/>
      <w:szCs w:val="22"/>
    </w:rPr>
  </w:style>
  <w:style w:type="paragraph" w:customStyle="1" w:styleId="12">
    <w:name w:val="修订1"/>
    <w:hidden/>
    <w:uiPriority w:val="99"/>
    <w:semiHidden/>
    <w:qFormat/>
    <w:rsid w:val="009A738D"/>
    <w:rPr>
      <w:kern w:val="2"/>
      <w:sz w:val="21"/>
      <w:szCs w:val="22"/>
    </w:rPr>
  </w:style>
  <w:style w:type="character" w:customStyle="1" w:styleId="unnamed11">
    <w:name w:val="unnamed11"/>
    <w:qFormat/>
    <w:rsid w:val="009A738D"/>
    <w:rPr>
      <w:rFonts w:ascii="宋体" w:eastAsia="宋体" w:hAnsi="宋体" w:hint="eastAsia"/>
      <w:sz w:val="18"/>
    </w:rPr>
  </w:style>
  <w:style w:type="character" w:customStyle="1" w:styleId="read">
    <w:name w:val="read"/>
    <w:qFormat/>
    <w:rsid w:val="009A738D"/>
  </w:style>
  <w:style w:type="character" w:customStyle="1" w:styleId="Char10">
    <w:name w:val="正文文本 Char1"/>
    <w:uiPriority w:val="99"/>
    <w:semiHidden/>
    <w:qFormat/>
    <w:rsid w:val="009A738D"/>
    <w:rPr>
      <w:kern w:val="2"/>
      <w:sz w:val="21"/>
      <w:szCs w:val="22"/>
    </w:rPr>
  </w:style>
  <w:style w:type="paragraph" w:customStyle="1" w:styleId="af9">
    <w:name w:val="正文所"/>
    <w:basedOn w:val="a"/>
    <w:qFormat/>
    <w:rsid w:val="009A738D"/>
    <w:pPr>
      <w:spacing w:line="360" w:lineRule="auto"/>
      <w:ind w:firstLineChars="200" w:firstLine="420"/>
    </w:pPr>
    <w:rPr>
      <w:rFonts w:ascii="宋体" w:hAnsi="Times New Roman"/>
      <w:szCs w:val="20"/>
    </w:rPr>
  </w:style>
  <w:style w:type="paragraph" w:customStyle="1" w:styleId="CharCharChar">
    <w:name w:val="Char Char Char"/>
    <w:basedOn w:val="a"/>
    <w:qFormat/>
    <w:rsid w:val="009A738D"/>
    <w:rPr>
      <w:rFonts w:ascii="Times New Roman" w:hAnsi="Times New Roman"/>
      <w:szCs w:val="20"/>
    </w:rPr>
  </w:style>
  <w:style w:type="paragraph" w:customStyle="1" w:styleId="Charb">
    <w:name w:val="Char"/>
    <w:basedOn w:val="a"/>
    <w:qFormat/>
    <w:rsid w:val="009A738D"/>
    <w:rPr>
      <w:rFonts w:ascii="Times New Roman" w:hAnsi="Times New Roman"/>
      <w:szCs w:val="20"/>
    </w:rPr>
  </w:style>
  <w:style w:type="character" w:customStyle="1" w:styleId="Char11">
    <w:name w:val="标题 Char1"/>
    <w:uiPriority w:val="10"/>
    <w:qFormat/>
    <w:rsid w:val="009A738D"/>
    <w:rPr>
      <w:rFonts w:ascii="Cambria" w:eastAsia="宋体" w:hAnsi="Cambria" w:cs="Times New Roman"/>
      <w:b/>
      <w:bCs/>
      <w:sz w:val="32"/>
      <w:szCs w:val="32"/>
    </w:rPr>
  </w:style>
  <w:style w:type="paragraph" w:customStyle="1" w:styleId="unnamed1">
    <w:name w:val="unnamed1"/>
    <w:basedOn w:val="a"/>
    <w:qFormat/>
    <w:rsid w:val="009A738D"/>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9A738D"/>
    <w:pPr>
      <w:widowControl/>
      <w:tabs>
        <w:tab w:val="left" w:pos="360"/>
      </w:tabs>
      <w:ind w:left="780" w:hanging="360"/>
      <w:jc w:val="left"/>
    </w:pPr>
    <w:rPr>
      <w:rFonts w:ascii="Times New Roman" w:hAnsi="Times New Roman"/>
      <w:kern w:val="0"/>
      <w:sz w:val="24"/>
      <w:szCs w:val="20"/>
    </w:rPr>
  </w:style>
  <w:style w:type="paragraph" w:customStyle="1" w:styleId="CharCharCharChar">
    <w:name w:val="Char Char Char Char"/>
    <w:basedOn w:val="a"/>
    <w:qFormat/>
    <w:rsid w:val="009A738D"/>
    <w:pPr>
      <w:tabs>
        <w:tab w:val="left" w:pos="360"/>
      </w:tabs>
    </w:pPr>
    <w:rPr>
      <w:rFonts w:ascii="Times New Roman" w:hAnsi="Times New Roman"/>
      <w:szCs w:val="20"/>
    </w:rPr>
  </w:style>
  <w:style w:type="paragraph" w:customStyle="1" w:styleId="afa">
    <w:name w:val="正文正文"/>
    <w:basedOn w:val="a"/>
    <w:qFormat/>
    <w:rsid w:val="009A738D"/>
    <w:pPr>
      <w:spacing w:afterLines="25" w:line="360" w:lineRule="auto"/>
      <w:ind w:firstLineChars="200" w:firstLine="200"/>
    </w:pPr>
    <w:rPr>
      <w:rFonts w:ascii="Times New Roman" w:hAnsi="Times New Roman"/>
      <w:sz w:val="24"/>
      <w:szCs w:val="20"/>
    </w:rPr>
  </w:style>
  <w:style w:type="paragraph" w:customStyle="1" w:styleId="InfoBlue">
    <w:name w:val="InfoBlue"/>
    <w:basedOn w:val="a"/>
    <w:next w:val="af2"/>
    <w:qFormat/>
    <w:rsid w:val="009A738D"/>
    <w:pPr>
      <w:tabs>
        <w:tab w:val="left" w:pos="420"/>
      </w:tabs>
      <w:spacing w:after="120" w:line="240" w:lineRule="atLeast"/>
      <w:ind w:left="420" w:hanging="420"/>
      <w:jc w:val="left"/>
    </w:pPr>
    <w:rPr>
      <w:rFonts w:ascii="宋体" w:hAnsi="宋体"/>
      <w:szCs w:val="20"/>
    </w:rPr>
  </w:style>
  <w:style w:type="paragraph" w:customStyle="1" w:styleId="CharChar5">
    <w:name w:val="Char Char5"/>
    <w:basedOn w:val="a"/>
    <w:qFormat/>
    <w:rsid w:val="009A738D"/>
    <w:rPr>
      <w:rFonts w:ascii="Times New Roman" w:hAnsi="Times New Roman"/>
      <w:szCs w:val="20"/>
    </w:rPr>
  </w:style>
  <w:style w:type="character" w:customStyle="1" w:styleId="apple-converted-space">
    <w:name w:val="apple-converted-space"/>
    <w:basedOn w:val="a0"/>
    <w:qFormat/>
    <w:rsid w:val="009A738D"/>
  </w:style>
  <w:style w:type="table" w:customStyle="1" w:styleId="110">
    <w:name w:val="网格型11"/>
    <w:basedOn w:val="a1"/>
    <w:uiPriority w:val="59"/>
    <w:qFormat/>
    <w:rsid w:val="009A73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修订2"/>
    <w:hidden/>
    <w:uiPriority w:val="99"/>
    <w:unhideWhenUsed/>
    <w:qFormat/>
    <w:rsid w:val="009A738D"/>
    <w:rPr>
      <w:kern w:val="2"/>
      <w:sz w:val="21"/>
      <w:szCs w:val="22"/>
    </w:rPr>
  </w:style>
  <w:style w:type="numbering" w:customStyle="1" w:styleId="13">
    <w:name w:val="无列表1"/>
    <w:next w:val="a2"/>
    <w:uiPriority w:val="99"/>
    <w:semiHidden/>
    <w:unhideWhenUsed/>
    <w:rsid w:val="00F8109B"/>
  </w:style>
  <w:style w:type="table" w:customStyle="1" w:styleId="23">
    <w:name w:val="网格型2"/>
    <w:basedOn w:val="a1"/>
    <w:next w:val="a6"/>
    <w:uiPriority w:val="59"/>
    <w:qFormat/>
    <w:locked/>
    <w:rsid w:val="00F8109B"/>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uiPriority w:val="59"/>
    <w:qFormat/>
    <w:rsid w:val="00F8109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无列表2"/>
    <w:next w:val="a2"/>
    <w:uiPriority w:val="99"/>
    <w:semiHidden/>
    <w:unhideWhenUsed/>
    <w:rsid w:val="00F42FE1"/>
  </w:style>
  <w:style w:type="table" w:customStyle="1" w:styleId="32">
    <w:name w:val="网格型3"/>
    <w:basedOn w:val="a1"/>
    <w:next w:val="a6"/>
    <w:uiPriority w:val="59"/>
    <w:qFormat/>
    <w:locked/>
    <w:rsid w:val="00F42FE1"/>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uiPriority w:val="59"/>
    <w:qFormat/>
    <w:rsid w:val="00F42FE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uiPriority w:val="34"/>
    <w:qFormat/>
    <w:rsid w:val="00F42FE1"/>
    <w:pPr>
      <w:spacing w:line="360" w:lineRule="auto"/>
      <w:ind w:firstLineChars="200" w:firstLine="420"/>
    </w:pPr>
    <w:rPr>
      <w:rFonts w:ascii="Times New Roman" w:eastAsia="仿宋" w:hAnsi="Times New Roman"/>
      <w:sz w:val="24"/>
      <w:szCs w:val="24"/>
    </w:rPr>
  </w:style>
  <w:style w:type="character" w:styleId="afb">
    <w:name w:val="FollowedHyperlink"/>
    <w:basedOn w:val="a0"/>
    <w:uiPriority w:val="99"/>
    <w:semiHidden/>
    <w:unhideWhenUsed/>
    <w:rsid w:val="004D00E1"/>
    <w:rPr>
      <w:color w:val="954F72" w:themeColor="followedHyperlink"/>
      <w:u w:val="single"/>
    </w:rPr>
  </w:style>
  <w:style w:type="paragraph" w:customStyle="1" w:styleId="CharChar3">
    <w:name w:val="Char Char3"/>
    <w:basedOn w:val="a"/>
    <w:qFormat/>
    <w:rsid w:val="00E45E2B"/>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7630254">
      <w:bodyDiv w:val="1"/>
      <w:marLeft w:val="0"/>
      <w:marRight w:val="0"/>
      <w:marTop w:val="0"/>
      <w:marBottom w:val="0"/>
      <w:divBdr>
        <w:top w:val="none" w:sz="0" w:space="0" w:color="auto"/>
        <w:left w:val="none" w:sz="0" w:space="0" w:color="auto"/>
        <w:bottom w:val="none" w:sz="0" w:space="0" w:color="auto"/>
        <w:right w:val="none" w:sz="0" w:space="0" w:color="auto"/>
      </w:divBdr>
    </w:div>
    <w:div w:id="30689590">
      <w:bodyDiv w:val="1"/>
      <w:marLeft w:val="0"/>
      <w:marRight w:val="0"/>
      <w:marTop w:val="0"/>
      <w:marBottom w:val="0"/>
      <w:divBdr>
        <w:top w:val="none" w:sz="0" w:space="0" w:color="auto"/>
        <w:left w:val="none" w:sz="0" w:space="0" w:color="auto"/>
        <w:bottom w:val="none" w:sz="0" w:space="0" w:color="auto"/>
        <w:right w:val="none" w:sz="0" w:space="0" w:color="auto"/>
      </w:divBdr>
    </w:div>
    <w:div w:id="36853937">
      <w:bodyDiv w:val="1"/>
      <w:marLeft w:val="0"/>
      <w:marRight w:val="0"/>
      <w:marTop w:val="0"/>
      <w:marBottom w:val="0"/>
      <w:divBdr>
        <w:top w:val="none" w:sz="0" w:space="0" w:color="auto"/>
        <w:left w:val="none" w:sz="0" w:space="0" w:color="auto"/>
        <w:bottom w:val="none" w:sz="0" w:space="0" w:color="auto"/>
        <w:right w:val="none" w:sz="0" w:space="0" w:color="auto"/>
      </w:divBdr>
    </w:div>
    <w:div w:id="37364801">
      <w:bodyDiv w:val="1"/>
      <w:marLeft w:val="0"/>
      <w:marRight w:val="0"/>
      <w:marTop w:val="0"/>
      <w:marBottom w:val="0"/>
      <w:divBdr>
        <w:top w:val="none" w:sz="0" w:space="0" w:color="auto"/>
        <w:left w:val="none" w:sz="0" w:space="0" w:color="auto"/>
        <w:bottom w:val="none" w:sz="0" w:space="0" w:color="auto"/>
        <w:right w:val="none" w:sz="0" w:space="0" w:color="auto"/>
      </w:divBdr>
    </w:div>
    <w:div w:id="49038911">
      <w:bodyDiv w:val="1"/>
      <w:marLeft w:val="0"/>
      <w:marRight w:val="0"/>
      <w:marTop w:val="0"/>
      <w:marBottom w:val="0"/>
      <w:divBdr>
        <w:top w:val="none" w:sz="0" w:space="0" w:color="auto"/>
        <w:left w:val="none" w:sz="0" w:space="0" w:color="auto"/>
        <w:bottom w:val="none" w:sz="0" w:space="0" w:color="auto"/>
        <w:right w:val="none" w:sz="0" w:space="0" w:color="auto"/>
      </w:divBdr>
    </w:div>
    <w:div w:id="49501583">
      <w:bodyDiv w:val="1"/>
      <w:marLeft w:val="0"/>
      <w:marRight w:val="0"/>
      <w:marTop w:val="0"/>
      <w:marBottom w:val="0"/>
      <w:divBdr>
        <w:top w:val="none" w:sz="0" w:space="0" w:color="auto"/>
        <w:left w:val="none" w:sz="0" w:space="0" w:color="auto"/>
        <w:bottom w:val="none" w:sz="0" w:space="0" w:color="auto"/>
        <w:right w:val="none" w:sz="0" w:space="0" w:color="auto"/>
      </w:divBdr>
    </w:div>
    <w:div w:id="71195663">
      <w:bodyDiv w:val="1"/>
      <w:marLeft w:val="0"/>
      <w:marRight w:val="0"/>
      <w:marTop w:val="0"/>
      <w:marBottom w:val="0"/>
      <w:divBdr>
        <w:top w:val="none" w:sz="0" w:space="0" w:color="auto"/>
        <w:left w:val="none" w:sz="0" w:space="0" w:color="auto"/>
        <w:bottom w:val="none" w:sz="0" w:space="0" w:color="auto"/>
        <w:right w:val="none" w:sz="0" w:space="0" w:color="auto"/>
      </w:divBdr>
    </w:div>
    <w:div w:id="73402636">
      <w:bodyDiv w:val="1"/>
      <w:marLeft w:val="0"/>
      <w:marRight w:val="0"/>
      <w:marTop w:val="0"/>
      <w:marBottom w:val="0"/>
      <w:divBdr>
        <w:top w:val="none" w:sz="0" w:space="0" w:color="auto"/>
        <w:left w:val="none" w:sz="0" w:space="0" w:color="auto"/>
        <w:bottom w:val="none" w:sz="0" w:space="0" w:color="auto"/>
        <w:right w:val="none" w:sz="0" w:space="0" w:color="auto"/>
      </w:divBdr>
    </w:div>
    <w:div w:id="84614305">
      <w:bodyDiv w:val="1"/>
      <w:marLeft w:val="0"/>
      <w:marRight w:val="0"/>
      <w:marTop w:val="0"/>
      <w:marBottom w:val="0"/>
      <w:divBdr>
        <w:top w:val="none" w:sz="0" w:space="0" w:color="auto"/>
        <w:left w:val="none" w:sz="0" w:space="0" w:color="auto"/>
        <w:bottom w:val="none" w:sz="0" w:space="0" w:color="auto"/>
        <w:right w:val="none" w:sz="0" w:space="0" w:color="auto"/>
      </w:divBdr>
    </w:div>
    <w:div w:id="111940580">
      <w:bodyDiv w:val="1"/>
      <w:marLeft w:val="0"/>
      <w:marRight w:val="0"/>
      <w:marTop w:val="0"/>
      <w:marBottom w:val="0"/>
      <w:divBdr>
        <w:top w:val="none" w:sz="0" w:space="0" w:color="auto"/>
        <w:left w:val="none" w:sz="0" w:space="0" w:color="auto"/>
        <w:bottom w:val="none" w:sz="0" w:space="0" w:color="auto"/>
        <w:right w:val="none" w:sz="0" w:space="0" w:color="auto"/>
      </w:divBdr>
    </w:div>
    <w:div w:id="117530134">
      <w:bodyDiv w:val="1"/>
      <w:marLeft w:val="0"/>
      <w:marRight w:val="0"/>
      <w:marTop w:val="0"/>
      <w:marBottom w:val="0"/>
      <w:divBdr>
        <w:top w:val="none" w:sz="0" w:space="0" w:color="auto"/>
        <w:left w:val="none" w:sz="0" w:space="0" w:color="auto"/>
        <w:bottom w:val="none" w:sz="0" w:space="0" w:color="auto"/>
        <w:right w:val="none" w:sz="0" w:space="0" w:color="auto"/>
      </w:divBdr>
    </w:div>
    <w:div w:id="126095962">
      <w:bodyDiv w:val="1"/>
      <w:marLeft w:val="0"/>
      <w:marRight w:val="0"/>
      <w:marTop w:val="0"/>
      <w:marBottom w:val="0"/>
      <w:divBdr>
        <w:top w:val="none" w:sz="0" w:space="0" w:color="auto"/>
        <w:left w:val="none" w:sz="0" w:space="0" w:color="auto"/>
        <w:bottom w:val="none" w:sz="0" w:space="0" w:color="auto"/>
        <w:right w:val="none" w:sz="0" w:space="0" w:color="auto"/>
      </w:divBdr>
    </w:div>
    <w:div w:id="135613130">
      <w:bodyDiv w:val="1"/>
      <w:marLeft w:val="0"/>
      <w:marRight w:val="0"/>
      <w:marTop w:val="0"/>
      <w:marBottom w:val="0"/>
      <w:divBdr>
        <w:top w:val="none" w:sz="0" w:space="0" w:color="auto"/>
        <w:left w:val="none" w:sz="0" w:space="0" w:color="auto"/>
        <w:bottom w:val="none" w:sz="0" w:space="0" w:color="auto"/>
        <w:right w:val="none" w:sz="0" w:space="0" w:color="auto"/>
      </w:divBdr>
    </w:div>
    <w:div w:id="137042175">
      <w:bodyDiv w:val="1"/>
      <w:marLeft w:val="0"/>
      <w:marRight w:val="0"/>
      <w:marTop w:val="0"/>
      <w:marBottom w:val="0"/>
      <w:divBdr>
        <w:top w:val="none" w:sz="0" w:space="0" w:color="auto"/>
        <w:left w:val="none" w:sz="0" w:space="0" w:color="auto"/>
        <w:bottom w:val="none" w:sz="0" w:space="0" w:color="auto"/>
        <w:right w:val="none" w:sz="0" w:space="0" w:color="auto"/>
      </w:divBdr>
    </w:div>
    <w:div w:id="150949655">
      <w:bodyDiv w:val="1"/>
      <w:marLeft w:val="0"/>
      <w:marRight w:val="0"/>
      <w:marTop w:val="0"/>
      <w:marBottom w:val="0"/>
      <w:divBdr>
        <w:top w:val="none" w:sz="0" w:space="0" w:color="auto"/>
        <w:left w:val="none" w:sz="0" w:space="0" w:color="auto"/>
        <w:bottom w:val="none" w:sz="0" w:space="0" w:color="auto"/>
        <w:right w:val="none" w:sz="0" w:space="0" w:color="auto"/>
      </w:divBdr>
    </w:div>
    <w:div w:id="158036386">
      <w:bodyDiv w:val="1"/>
      <w:marLeft w:val="0"/>
      <w:marRight w:val="0"/>
      <w:marTop w:val="0"/>
      <w:marBottom w:val="0"/>
      <w:divBdr>
        <w:top w:val="none" w:sz="0" w:space="0" w:color="auto"/>
        <w:left w:val="none" w:sz="0" w:space="0" w:color="auto"/>
        <w:bottom w:val="none" w:sz="0" w:space="0" w:color="auto"/>
        <w:right w:val="none" w:sz="0" w:space="0" w:color="auto"/>
      </w:divBdr>
    </w:div>
    <w:div w:id="171575436">
      <w:bodyDiv w:val="1"/>
      <w:marLeft w:val="0"/>
      <w:marRight w:val="0"/>
      <w:marTop w:val="0"/>
      <w:marBottom w:val="0"/>
      <w:divBdr>
        <w:top w:val="none" w:sz="0" w:space="0" w:color="auto"/>
        <w:left w:val="none" w:sz="0" w:space="0" w:color="auto"/>
        <w:bottom w:val="none" w:sz="0" w:space="0" w:color="auto"/>
        <w:right w:val="none" w:sz="0" w:space="0" w:color="auto"/>
      </w:divBdr>
    </w:div>
    <w:div w:id="173303955">
      <w:bodyDiv w:val="1"/>
      <w:marLeft w:val="0"/>
      <w:marRight w:val="0"/>
      <w:marTop w:val="0"/>
      <w:marBottom w:val="0"/>
      <w:divBdr>
        <w:top w:val="none" w:sz="0" w:space="0" w:color="auto"/>
        <w:left w:val="none" w:sz="0" w:space="0" w:color="auto"/>
        <w:bottom w:val="none" w:sz="0" w:space="0" w:color="auto"/>
        <w:right w:val="none" w:sz="0" w:space="0" w:color="auto"/>
      </w:divBdr>
    </w:div>
    <w:div w:id="180240977">
      <w:bodyDiv w:val="1"/>
      <w:marLeft w:val="0"/>
      <w:marRight w:val="0"/>
      <w:marTop w:val="0"/>
      <w:marBottom w:val="0"/>
      <w:divBdr>
        <w:top w:val="none" w:sz="0" w:space="0" w:color="auto"/>
        <w:left w:val="none" w:sz="0" w:space="0" w:color="auto"/>
        <w:bottom w:val="none" w:sz="0" w:space="0" w:color="auto"/>
        <w:right w:val="none" w:sz="0" w:space="0" w:color="auto"/>
      </w:divBdr>
    </w:div>
    <w:div w:id="202790880">
      <w:bodyDiv w:val="1"/>
      <w:marLeft w:val="0"/>
      <w:marRight w:val="0"/>
      <w:marTop w:val="0"/>
      <w:marBottom w:val="0"/>
      <w:divBdr>
        <w:top w:val="none" w:sz="0" w:space="0" w:color="auto"/>
        <w:left w:val="none" w:sz="0" w:space="0" w:color="auto"/>
        <w:bottom w:val="none" w:sz="0" w:space="0" w:color="auto"/>
        <w:right w:val="none" w:sz="0" w:space="0" w:color="auto"/>
      </w:divBdr>
    </w:div>
    <w:div w:id="205727710">
      <w:bodyDiv w:val="1"/>
      <w:marLeft w:val="0"/>
      <w:marRight w:val="0"/>
      <w:marTop w:val="0"/>
      <w:marBottom w:val="0"/>
      <w:divBdr>
        <w:top w:val="none" w:sz="0" w:space="0" w:color="auto"/>
        <w:left w:val="none" w:sz="0" w:space="0" w:color="auto"/>
        <w:bottom w:val="none" w:sz="0" w:space="0" w:color="auto"/>
        <w:right w:val="none" w:sz="0" w:space="0" w:color="auto"/>
      </w:divBdr>
    </w:div>
    <w:div w:id="236521497">
      <w:bodyDiv w:val="1"/>
      <w:marLeft w:val="0"/>
      <w:marRight w:val="0"/>
      <w:marTop w:val="0"/>
      <w:marBottom w:val="0"/>
      <w:divBdr>
        <w:top w:val="none" w:sz="0" w:space="0" w:color="auto"/>
        <w:left w:val="none" w:sz="0" w:space="0" w:color="auto"/>
        <w:bottom w:val="none" w:sz="0" w:space="0" w:color="auto"/>
        <w:right w:val="none" w:sz="0" w:space="0" w:color="auto"/>
      </w:divBdr>
    </w:div>
    <w:div w:id="327447659">
      <w:bodyDiv w:val="1"/>
      <w:marLeft w:val="0"/>
      <w:marRight w:val="0"/>
      <w:marTop w:val="0"/>
      <w:marBottom w:val="0"/>
      <w:divBdr>
        <w:top w:val="none" w:sz="0" w:space="0" w:color="auto"/>
        <w:left w:val="none" w:sz="0" w:space="0" w:color="auto"/>
        <w:bottom w:val="none" w:sz="0" w:space="0" w:color="auto"/>
        <w:right w:val="none" w:sz="0" w:space="0" w:color="auto"/>
      </w:divBdr>
    </w:div>
    <w:div w:id="341319575">
      <w:bodyDiv w:val="1"/>
      <w:marLeft w:val="0"/>
      <w:marRight w:val="0"/>
      <w:marTop w:val="0"/>
      <w:marBottom w:val="0"/>
      <w:divBdr>
        <w:top w:val="none" w:sz="0" w:space="0" w:color="auto"/>
        <w:left w:val="none" w:sz="0" w:space="0" w:color="auto"/>
        <w:bottom w:val="none" w:sz="0" w:space="0" w:color="auto"/>
        <w:right w:val="none" w:sz="0" w:space="0" w:color="auto"/>
      </w:divBdr>
    </w:div>
    <w:div w:id="346568389">
      <w:bodyDiv w:val="1"/>
      <w:marLeft w:val="0"/>
      <w:marRight w:val="0"/>
      <w:marTop w:val="0"/>
      <w:marBottom w:val="0"/>
      <w:divBdr>
        <w:top w:val="none" w:sz="0" w:space="0" w:color="auto"/>
        <w:left w:val="none" w:sz="0" w:space="0" w:color="auto"/>
        <w:bottom w:val="none" w:sz="0" w:space="0" w:color="auto"/>
        <w:right w:val="none" w:sz="0" w:space="0" w:color="auto"/>
      </w:divBdr>
    </w:div>
    <w:div w:id="346951060">
      <w:bodyDiv w:val="1"/>
      <w:marLeft w:val="0"/>
      <w:marRight w:val="0"/>
      <w:marTop w:val="0"/>
      <w:marBottom w:val="0"/>
      <w:divBdr>
        <w:top w:val="none" w:sz="0" w:space="0" w:color="auto"/>
        <w:left w:val="none" w:sz="0" w:space="0" w:color="auto"/>
        <w:bottom w:val="none" w:sz="0" w:space="0" w:color="auto"/>
        <w:right w:val="none" w:sz="0" w:space="0" w:color="auto"/>
      </w:divBdr>
    </w:div>
    <w:div w:id="352658363">
      <w:bodyDiv w:val="1"/>
      <w:marLeft w:val="0"/>
      <w:marRight w:val="0"/>
      <w:marTop w:val="0"/>
      <w:marBottom w:val="0"/>
      <w:divBdr>
        <w:top w:val="none" w:sz="0" w:space="0" w:color="auto"/>
        <w:left w:val="none" w:sz="0" w:space="0" w:color="auto"/>
        <w:bottom w:val="none" w:sz="0" w:space="0" w:color="auto"/>
        <w:right w:val="none" w:sz="0" w:space="0" w:color="auto"/>
      </w:divBdr>
    </w:div>
    <w:div w:id="356858258">
      <w:bodyDiv w:val="1"/>
      <w:marLeft w:val="0"/>
      <w:marRight w:val="0"/>
      <w:marTop w:val="0"/>
      <w:marBottom w:val="0"/>
      <w:divBdr>
        <w:top w:val="none" w:sz="0" w:space="0" w:color="auto"/>
        <w:left w:val="none" w:sz="0" w:space="0" w:color="auto"/>
        <w:bottom w:val="none" w:sz="0" w:space="0" w:color="auto"/>
        <w:right w:val="none" w:sz="0" w:space="0" w:color="auto"/>
      </w:divBdr>
    </w:div>
    <w:div w:id="377703260">
      <w:bodyDiv w:val="1"/>
      <w:marLeft w:val="0"/>
      <w:marRight w:val="0"/>
      <w:marTop w:val="0"/>
      <w:marBottom w:val="0"/>
      <w:divBdr>
        <w:top w:val="none" w:sz="0" w:space="0" w:color="auto"/>
        <w:left w:val="none" w:sz="0" w:space="0" w:color="auto"/>
        <w:bottom w:val="none" w:sz="0" w:space="0" w:color="auto"/>
        <w:right w:val="none" w:sz="0" w:space="0" w:color="auto"/>
      </w:divBdr>
    </w:div>
    <w:div w:id="381057166">
      <w:bodyDiv w:val="1"/>
      <w:marLeft w:val="0"/>
      <w:marRight w:val="0"/>
      <w:marTop w:val="0"/>
      <w:marBottom w:val="0"/>
      <w:divBdr>
        <w:top w:val="none" w:sz="0" w:space="0" w:color="auto"/>
        <w:left w:val="none" w:sz="0" w:space="0" w:color="auto"/>
        <w:bottom w:val="none" w:sz="0" w:space="0" w:color="auto"/>
        <w:right w:val="none" w:sz="0" w:space="0" w:color="auto"/>
      </w:divBdr>
    </w:div>
    <w:div w:id="383869281">
      <w:bodyDiv w:val="1"/>
      <w:marLeft w:val="0"/>
      <w:marRight w:val="0"/>
      <w:marTop w:val="0"/>
      <w:marBottom w:val="0"/>
      <w:divBdr>
        <w:top w:val="none" w:sz="0" w:space="0" w:color="auto"/>
        <w:left w:val="none" w:sz="0" w:space="0" w:color="auto"/>
        <w:bottom w:val="none" w:sz="0" w:space="0" w:color="auto"/>
        <w:right w:val="none" w:sz="0" w:space="0" w:color="auto"/>
      </w:divBdr>
    </w:div>
    <w:div w:id="386294764">
      <w:bodyDiv w:val="1"/>
      <w:marLeft w:val="0"/>
      <w:marRight w:val="0"/>
      <w:marTop w:val="0"/>
      <w:marBottom w:val="0"/>
      <w:divBdr>
        <w:top w:val="none" w:sz="0" w:space="0" w:color="auto"/>
        <w:left w:val="none" w:sz="0" w:space="0" w:color="auto"/>
        <w:bottom w:val="none" w:sz="0" w:space="0" w:color="auto"/>
        <w:right w:val="none" w:sz="0" w:space="0" w:color="auto"/>
      </w:divBdr>
    </w:div>
    <w:div w:id="389109563">
      <w:bodyDiv w:val="1"/>
      <w:marLeft w:val="0"/>
      <w:marRight w:val="0"/>
      <w:marTop w:val="0"/>
      <w:marBottom w:val="0"/>
      <w:divBdr>
        <w:top w:val="none" w:sz="0" w:space="0" w:color="auto"/>
        <w:left w:val="none" w:sz="0" w:space="0" w:color="auto"/>
        <w:bottom w:val="none" w:sz="0" w:space="0" w:color="auto"/>
        <w:right w:val="none" w:sz="0" w:space="0" w:color="auto"/>
      </w:divBdr>
    </w:div>
    <w:div w:id="395320636">
      <w:bodyDiv w:val="1"/>
      <w:marLeft w:val="0"/>
      <w:marRight w:val="0"/>
      <w:marTop w:val="0"/>
      <w:marBottom w:val="0"/>
      <w:divBdr>
        <w:top w:val="none" w:sz="0" w:space="0" w:color="auto"/>
        <w:left w:val="none" w:sz="0" w:space="0" w:color="auto"/>
        <w:bottom w:val="none" w:sz="0" w:space="0" w:color="auto"/>
        <w:right w:val="none" w:sz="0" w:space="0" w:color="auto"/>
      </w:divBdr>
    </w:div>
    <w:div w:id="396979038">
      <w:bodyDiv w:val="1"/>
      <w:marLeft w:val="0"/>
      <w:marRight w:val="0"/>
      <w:marTop w:val="0"/>
      <w:marBottom w:val="0"/>
      <w:divBdr>
        <w:top w:val="none" w:sz="0" w:space="0" w:color="auto"/>
        <w:left w:val="none" w:sz="0" w:space="0" w:color="auto"/>
        <w:bottom w:val="none" w:sz="0" w:space="0" w:color="auto"/>
        <w:right w:val="none" w:sz="0" w:space="0" w:color="auto"/>
      </w:divBdr>
    </w:div>
    <w:div w:id="419060037">
      <w:bodyDiv w:val="1"/>
      <w:marLeft w:val="0"/>
      <w:marRight w:val="0"/>
      <w:marTop w:val="0"/>
      <w:marBottom w:val="0"/>
      <w:divBdr>
        <w:top w:val="none" w:sz="0" w:space="0" w:color="auto"/>
        <w:left w:val="none" w:sz="0" w:space="0" w:color="auto"/>
        <w:bottom w:val="none" w:sz="0" w:space="0" w:color="auto"/>
        <w:right w:val="none" w:sz="0" w:space="0" w:color="auto"/>
      </w:divBdr>
    </w:div>
    <w:div w:id="421292729">
      <w:bodyDiv w:val="1"/>
      <w:marLeft w:val="0"/>
      <w:marRight w:val="0"/>
      <w:marTop w:val="0"/>
      <w:marBottom w:val="0"/>
      <w:divBdr>
        <w:top w:val="none" w:sz="0" w:space="0" w:color="auto"/>
        <w:left w:val="none" w:sz="0" w:space="0" w:color="auto"/>
        <w:bottom w:val="none" w:sz="0" w:space="0" w:color="auto"/>
        <w:right w:val="none" w:sz="0" w:space="0" w:color="auto"/>
      </w:divBdr>
    </w:div>
    <w:div w:id="444931320">
      <w:bodyDiv w:val="1"/>
      <w:marLeft w:val="0"/>
      <w:marRight w:val="0"/>
      <w:marTop w:val="0"/>
      <w:marBottom w:val="0"/>
      <w:divBdr>
        <w:top w:val="none" w:sz="0" w:space="0" w:color="auto"/>
        <w:left w:val="none" w:sz="0" w:space="0" w:color="auto"/>
        <w:bottom w:val="none" w:sz="0" w:space="0" w:color="auto"/>
        <w:right w:val="none" w:sz="0" w:space="0" w:color="auto"/>
      </w:divBdr>
    </w:div>
    <w:div w:id="448208791">
      <w:bodyDiv w:val="1"/>
      <w:marLeft w:val="0"/>
      <w:marRight w:val="0"/>
      <w:marTop w:val="0"/>
      <w:marBottom w:val="0"/>
      <w:divBdr>
        <w:top w:val="none" w:sz="0" w:space="0" w:color="auto"/>
        <w:left w:val="none" w:sz="0" w:space="0" w:color="auto"/>
        <w:bottom w:val="none" w:sz="0" w:space="0" w:color="auto"/>
        <w:right w:val="none" w:sz="0" w:space="0" w:color="auto"/>
      </w:divBdr>
    </w:div>
    <w:div w:id="464126587">
      <w:bodyDiv w:val="1"/>
      <w:marLeft w:val="0"/>
      <w:marRight w:val="0"/>
      <w:marTop w:val="0"/>
      <w:marBottom w:val="0"/>
      <w:divBdr>
        <w:top w:val="none" w:sz="0" w:space="0" w:color="auto"/>
        <w:left w:val="none" w:sz="0" w:space="0" w:color="auto"/>
        <w:bottom w:val="none" w:sz="0" w:space="0" w:color="auto"/>
        <w:right w:val="none" w:sz="0" w:space="0" w:color="auto"/>
      </w:divBdr>
    </w:div>
    <w:div w:id="502014005">
      <w:bodyDiv w:val="1"/>
      <w:marLeft w:val="0"/>
      <w:marRight w:val="0"/>
      <w:marTop w:val="0"/>
      <w:marBottom w:val="0"/>
      <w:divBdr>
        <w:top w:val="none" w:sz="0" w:space="0" w:color="auto"/>
        <w:left w:val="none" w:sz="0" w:space="0" w:color="auto"/>
        <w:bottom w:val="none" w:sz="0" w:space="0" w:color="auto"/>
        <w:right w:val="none" w:sz="0" w:space="0" w:color="auto"/>
      </w:divBdr>
    </w:div>
    <w:div w:id="507136881">
      <w:bodyDiv w:val="1"/>
      <w:marLeft w:val="0"/>
      <w:marRight w:val="0"/>
      <w:marTop w:val="0"/>
      <w:marBottom w:val="0"/>
      <w:divBdr>
        <w:top w:val="none" w:sz="0" w:space="0" w:color="auto"/>
        <w:left w:val="none" w:sz="0" w:space="0" w:color="auto"/>
        <w:bottom w:val="none" w:sz="0" w:space="0" w:color="auto"/>
        <w:right w:val="none" w:sz="0" w:space="0" w:color="auto"/>
      </w:divBdr>
    </w:div>
    <w:div w:id="538667083">
      <w:bodyDiv w:val="1"/>
      <w:marLeft w:val="0"/>
      <w:marRight w:val="0"/>
      <w:marTop w:val="0"/>
      <w:marBottom w:val="0"/>
      <w:divBdr>
        <w:top w:val="none" w:sz="0" w:space="0" w:color="auto"/>
        <w:left w:val="none" w:sz="0" w:space="0" w:color="auto"/>
        <w:bottom w:val="none" w:sz="0" w:space="0" w:color="auto"/>
        <w:right w:val="none" w:sz="0" w:space="0" w:color="auto"/>
      </w:divBdr>
    </w:div>
    <w:div w:id="556009506">
      <w:bodyDiv w:val="1"/>
      <w:marLeft w:val="0"/>
      <w:marRight w:val="0"/>
      <w:marTop w:val="0"/>
      <w:marBottom w:val="0"/>
      <w:divBdr>
        <w:top w:val="none" w:sz="0" w:space="0" w:color="auto"/>
        <w:left w:val="none" w:sz="0" w:space="0" w:color="auto"/>
        <w:bottom w:val="none" w:sz="0" w:space="0" w:color="auto"/>
        <w:right w:val="none" w:sz="0" w:space="0" w:color="auto"/>
      </w:divBdr>
    </w:div>
    <w:div w:id="561793047">
      <w:bodyDiv w:val="1"/>
      <w:marLeft w:val="0"/>
      <w:marRight w:val="0"/>
      <w:marTop w:val="0"/>
      <w:marBottom w:val="0"/>
      <w:divBdr>
        <w:top w:val="none" w:sz="0" w:space="0" w:color="auto"/>
        <w:left w:val="none" w:sz="0" w:space="0" w:color="auto"/>
        <w:bottom w:val="none" w:sz="0" w:space="0" w:color="auto"/>
        <w:right w:val="none" w:sz="0" w:space="0" w:color="auto"/>
      </w:divBdr>
    </w:div>
    <w:div w:id="562133128">
      <w:bodyDiv w:val="1"/>
      <w:marLeft w:val="0"/>
      <w:marRight w:val="0"/>
      <w:marTop w:val="0"/>
      <w:marBottom w:val="0"/>
      <w:divBdr>
        <w:top w:val="none" w:sz="0" w:space="0" w:color="auto"/>
        <w:left w:val="none" w:sz="0" w:space="0" w:color="auto"/>
        <w:bottom w:val="none" w:sz="0" w:space="0" w:color="auto"/>
        <w:right w:val="none" w:sz="0" w:space="0" w:color="auto"/>
      </w:divBdr>
    </w:div>
    <w:div w:id="589201132">
      <w:bodyDiv w:val="1"/>
      <w:marLeft w:val="0"/>
      <w:marRight w:val="0"/>
      <w:marTop w:val="0"/>
      <w:marBottom w:val="0"/>
      <w:divBdr>
        <w:top w:val="none" w:sz="0" w:space="0" w:color="auto"/>
        <w:left w:val="none" w:sz="0" w:space="0" w:color="auto"/>
        <w:bottom w:val="none" w:sz="0" w:space="0" w:color="auto"/>
        <w:right w:val="none" w:sz="0" w:space="0" w:color="auto"/>
      </w:divBdr>
    </w:div>
    <w:div w:id="616445184">
      <w:bodyDiv w:val="1"/>
      <w:marLeft w:val="0"/>
      <w:marRight w:val="0"/>
      <w:marTop w:val="0"/>
      <w:marBottom w:val="0"/>
      <w:divBdr>
        <w:top w:val="none" w:sz="0" w:space="0" w:color="auto"/>
        <w:left w:val="none" w:sz="0" w:space="0" w:color="auto"/>
        <w:bottom w:val="none" w:sz="0" w:space="0" w:color="auto"/>
        <w:right w:val="none" w:sz="0" w:space="0" w:color="auto"/>
      </w:divBdr>
    </w:div>
    <w:div w:id="659819448">
      <w:bodyDiv w:val="1"/>
      <w:marLeft w:val="0"/>
      <w:marRight w:val="0"/>
      <w:marTop w:val="0"/>
      <w:marBottom w:val="0"/>
      <w:divBdr>
        <w:top w:val="none" w:sz="0" w:space="0" w:color="auto"/>
        <w:left w:val="none" w:sz="0" w:space="0" w:color="auto"/>
        <w:bottom w:val="none" w:sz="0" w:space="0" w:color="auto"/>
        <w:right w:val="none" w:sz="0" w:space="0" w:color="auto"/>
      </w:divBdr>
    </w:div>
    <w:div w:id="661547801">
      <w:bodyDiv w:val="1"/>
      <w:marLeft w:val="0"/>
      <w:marRight w:val="0"/>
      <w:marTop w:val="0"/>
      <w:marBottom w:val="0"/>
      <w:divBdr>
        <w:top w:val="none" w:sz="0" w:space="0" w:color="auto"/>
        <w:left w:val="none" w:sz="0" w:space="0" w:color="auto"/>
        <w:bottom w:val="none" w:sz="0" w:space="0" w:color="auto"/>
        <w:right w:val="none" w:sz="0" w:space="0" w:color="auto"/>
      </w:divBdr>
    </w:div>
    <w:div w:id="678892777">
      <w:bodyDiv w:val="1"/>
      <w:marLeft w:val="0"/>
      <w:marRight w:val="0"/>
      <w:marTop w:val="0"/>
      <w:marBottom w:val="0"/>
      <w:divBdr>
        <w:top w:val="none" w:sz="0" w:space="0" w:color="auto"/>
        <w:left w:val="none" w:sz="0" w:space="0" w:color="auto"/>
        <w:bottom w:val="none" w:sz="0" w:space="0" w:color="auto"/>
        <w:right w:val="none" w:sz="0" w:space="0" w:color="auto"/>
      </w:divBdr>
    </w:div>
    <w:div w:id="694116046">
      <w:bodyDiv w:val="1"/>
      <w:marLeft w:val="0"/>
      <w:marRight w:val="0"/>
      <w:marTop w:val="0"/>
      <w:marBottom w:val="0"/>
      <w:divBdr>
        <w:top w:val="none" w:sz="0" w:space="0" w:color="auto"/>
        <w:left w:val="none" w:sz="0" w:space="0" w:color="auto"/>
        <w:bottom w:val="none" w:sz="0" w:space="0" w:color="auto"/>
        <w:right w:val="none" w:sz="0" w:space="0" w:color="auto"/>
      </w:divBdr>
    </w:div>
    <w:div w:id="697202670">
      <w:bodyDiv w:val="1"/>
      <w:marLeft w:val="0"/>
      <w:marRight w:val="0"/>
      <w:marTop w:val="0"/>
      <w:marBottom w:val="0"/>
      <w:divBdr>
        <w:top w:val="none" w:sz="0" w:space="0" w:color="auto"/>
        <w:left w:val="none" w:sz="0" w:space="0" w:color="auto"/>
        <w:bottom w:val="none" w:sz="0" w:space="0" w:color="auto"/>
        <w:right w:val="none" w:sz="0" w:space="0" w:color="auto"/>
      </w:divBdr>
    </w:div>
    <w:div w:id="698318591">
      <w:bodyDiv w:val="1"/>
      <w:marLeft w:val="0"/>
      <w:marRight w:val="0"/>
      <w:marTop w:val="0"/>
      <w:marBottom w:val="0"/>
      <w:divBdr>
        <w:top w:val="none" w:sz="0" w:space="0" w:color="auto"/>
        <w:left w:val="none" w:sz="0" w:space="0" w:color="auto"/>
        <w:bottom w:val="none" w:sz="0" w:space="0" w:color="auto"/>
        <w:right w:val="none" w:sz="0" w:space="0" w:color="auto"/>
      </w:divBdr>
    </w:div>
    <w:div w:id="733626993">
      <w:bodyDiv w:val="1"/>
      <w:marLeft w:val="0"/>
      <w:marRight w:val="0"/>
      <w:marTop w:val="0"/>
      <w:marBottom w:val="0"/>
      <w:divBdr>
        <w:top w:val="none" w:sz="0" w:space="0" w:color="auto"/>
        <w:left w:val="none" w:sz="0" w:space="0" w:color="auto"/>
        <w:bottom w:val="none" w:sz="0" w:space="0" w:color="auto"/>
        <w:right w:val="none" w:sz="0" w:space="0" w:color="auto"/>
      </w:divBdr>
    </w:div>
    <w:div w:id="748768956">
      <w:bodyDiv w:val="1"/>
      <w:marLeft w:val="0"/>
      <w:marRight w:val="0"/>
      <w:marTop w:val="0"/>
      <w:marBottom w:val="0"/>
      <w:divBdr>
        <w:top w:val="none" w:sz="0" w:space="0" w:color="auto"/>
        <w:left w:val="none" w:sz="0" w:space="0" w:color="auto"/>
        <w:bottom w:val="none" w:sz="0" w:space="0" w:color="auto"/>
        <w:right w:val="none" w:sz="0" w:space="0" w:color="auto"/>
      </w:divBdr>
    </w:div>
    <w:div w:id="749548151">
      <w:bodyDiv w:val="1"/>
      <w:marLeft w:val="0"/>
      <w:marRight w:val="0"/>
      <w:marTop w:val="0"/>
      <w:marBottom w:val="0"/>
      <w:divBdr>
        <w:top w:val="none" w:sz="0" w:space="0" w:color="auto"/>
        <w:left w:val="none" w:sz="0" w:space="0" w:color="auto"/>
        <w:bottom w:val="none" w:sz="0" w:space="0" w:color="auto"/>
        <w:right w:val="none" w:sz="0" w:space="0" w:color="auto"/>
      </w:divBdr>
    </w:div>
    <w:div w:id="760488776">
      <w:bodyDiv w:val="1"/>
      <w:marLeft w:val="0"/>
      <w:marRight w:val="0"/>
      <w:marTop w:val="0"/>
      <w:marBottom w:val="0"/>
      <w:divBdr>
        <w:top w:val="none" w:sz="0" w:space="0" w:color="auto"/>
        <w:left w:val="none" w:sz="0" w:space="0" w:color="auto"/>
        <w:bottom w:val="none" w:sz="0" w:space="0" w:color="auto"/>
        <w:right w:val="none" w:sz="0" w:space="0" w:color="auto"/>
      </w:divBdr>
    </w:div>
    <w:div w:id="766584201">
      <w:bodyDiv w:val="1"/>
      <w:marLeft w:val="0"/>
      <w:marRight w:val="0"/>
      <w:marTop w:val="0"/>
      <w:marBottom w:val="0"/>
      <w:divBdr>
        <w:top w:val="none" w:sz="0" w:space="0" w:color="auto"/>
        <w:left w:val="none" w:sz="0" w:space="0" w:color="auto"/>
        <w:bottom w:val="none" w:sz="0" w:space="0" w:color="auto"/>
        <w:right w:val="none" w:sz="0" w:space="0" w:color="auto"/>
      </w:divBdr>
    </w:div>
    <w:div w:id="785122855">
      <w:bodyDiv w:val="1"/>
      <w:marLeft w:val="0"/>
      <w:marRight w:val="0"/>
      <w:marTop w:val="0"/>
      <w:marBottom w:val="0"/>
      <w:divBdr>
        <w:top w:val="none" w:sz="0" w:space="0" w:color="auto"/>
        <w:left w:val="none" w:sz="0" w:space="0" w:color="auto"/>
        <w:bottom w:val="none" w:sz="0" w:space="0" w:color="auto"/>
        <w:right w:val="none" w:sz="0" w:space="0" w:color="auto"/>
      </w:divBdr>
    </w:div>
    <w:div w:id="787358475">
      <w:bodyDiv w:val="1"/>
      <w:marLeft w:val="0"/>
      <w:marRight w:val="0"/>
      <w:marTop w:val="0"/>
      <w:marBottom w:val="0"/>
      <w:divBdr>
        <w:top w:val="none" w:sz="0" w:space="0" w:color="auto"/>
        <w:left w:val="none" w:sz="0" w:space="0" w:color="auto"/>
        <w:bottom w:val="none" w:sz="0" w:space="0" w:color="auto"/>
        <w:right w:val="none" w:sz="0" w:space="0" w:color="auto"/>
      </w:divBdr>
    </w:div>
    <w:div w:id="833060563">
      <w:bodyDiv w:val="1"/>
      <w:marLeft w:val="0"/>
      <w:marRight w:val="0"/>
      <w:marTop w:val="0"/>
      <w:marBottom w:val="0"/>
      <w:divBdr>
        <w:top w:val="none" w:sz="0" w:space="0" w:color="auto"/>
        <w:left w:val="none" w:sz="0" w:space="0" w:color="auto"/>
        <w:bottom w:val="none" w:sz="0" w:space="0" w:color="auto"/>
        <w:right w:val="none" w:sz="0" w:space="0" w:color="auto"/>
      </w:divBdr>
    </w:div>
    <w:div w:id="833490909">
      <w:bodyDiv w:val="1"/>
      <w:marLeft w:val="0"/>
      <w:marRight w:val="0"/>
      <w:marTop w:val="0"/>
      <w:marBottom w:val="0"/>
      <w:divBdr>
        <w:top w:val="none" w:sz="0" w:space="0" w:color="auto"/>
        <w:left w:val="none" w:sz="0" w:space="0" w:color="auto"/>
        <w:bottom w:val="none" w:sz="0" w:space="0" w:color="auto"/>
        <w:right w:val="none" w:sz="0" w:space="0" w:color="auto"/>
      </w:divBdr>
    </w:div>
    <w:div w:id="835877167">
      <w:bodyDiv w:val="1"/>
      <w:marLeft w:val="0"/>
      <w:marRight w:val="0"/>
      <w:marTop w:val="0"/>
      <w:marBottom w:val="0"/>
      <w:divBdr>
        <w:top w:val="none" w:sz="0" w:space="0" w:color="auto"/>
        <w:left w:val="none" w:sz="0" w:space="0" w:color="auto"/>
        <w:bottom w:val="none" w:sz="0" w:space="0" w:color="auto"/>
        <w:right w:val="none" w:sz="0" w:space="0" w:color="auto"/>
      </w:divBdr>
    </w:div>
    <w:div w:id="844711783">
      <w:bodyDiv w:val="1"/>
      <w:marLeft w:val="0"/>
      <w:marRight w:val="0"/>
      <w:marTop w:val="0"/>
      <w:marBottom w:val="0"/>
      <w:divBdr>
        <w:top w:val="none" w:sz="0" w:space="0" w:color="auto"/>
        <w:left w:val="none" w:sz="0" w:space="0" w:color="auto"/>
        <w:bottom w:val="none" w:sz="0" w:space="0" w:color="auto"/>
        <w:right w:val="none" w:sz="0" w:space="0" w:color="auto"/>
      </w:divBdr>
    </w:div>
    <w:div w:id="891307052">
      <w:bodyDiv w:val="1"/>
      <w:marLeft w:val="0"/>
      <w:marRight w:val="0"/>
      <w:marTop w:val="0"/>
      <w:marBottom w:val="0"/>
      <w:divBdr>
        <w:top w:val="none" w:sz="0" w:space="0" w:color="auto"/>
        <w:left w:val="none" w:sz="0" w:space="0" w:color="auto"/>
        <w:bottom w:val="none" w:sz="0" w:space="0" w:color="auto"/>
        <w:right w:val="none" w:sz="0" w:space="0" w:color="auto"/>
      </w:divBdr>
    </w:div>
    <w:div w:id="905796398">
      <w:bodyDiv w:val="1"/>
      <w:marLeft w:val="0"/>
      <w:marRight w:val="0"/>
      <w:marTop w:val="0"/>
      <w:marBottom w:val="0"/>
      <w:divBdr>
        <w:top w:val="none" w:sz="0" w:space="0" w:color="auto"/>
        <w:left w:val="none" w:sz="0" w:space="0" w:color="auto"/>
        <w:bottom w:val="none" w:sz="0" w:space="0" w:color="auto"/>
        <w:right w:val="none" w:sz="0" w:space="0" w:color="auto"/>
      </w:divBdr>
    </w:div>
    <w:div w:id="910891420">
      <w:bodyDiv w:val="1"/>
      <w:marLeft w:val="0"/>
      <w:marRight w:val="0"/>
      <w:marTop w:val="0"/>
      <w:marBottom w:val="0"/>
      <w:divBdr>
        <w:top w:val="none" w:sz="0" w:space="0" w:color="auto"/>
        <w:left w:val="none" w:sz="0" w:space="0" w:color="auto"/>
        <w:bottom w:val="none" w:sz="0" w:space="0" w:color="auto"/>
        <w:right w:val="none" w:sz="0" w:space="0" w:color="auto"/>
      </w:divBdr>
    </w:div>
    <w:div w:id="933710034">
      <w:bodyDiv w:val="1"/>
      <w:marLeft w:val="0"/>
      <w:marRight w:val="0"/>
      <w:marTop w:val="0"/>
      <w:marBottom w:val="0"/>
      <w:divBdr>
        <w:top w:val="none" w:sz="0" w:space="0" w:color="auto"/>
        <w:left w:val="none" w:sz="0" w:space="0" w:color="auto"/>
        <w:bottom w:val="none" w:sz="0" w:space="0" w:color="auto"/>
        <w:right w:val="none" w:sz="0" w:space="0" w:color="auto"/>
      </w:divBdr>
    </w:div>
    <w:div w:id="935408874">
      <w:bodyDiv w:val="1"/>
      <w:marLeft w:val="0"/>
      <w:marRight w:val="0"/>
      <w:marTop w:val="0"/>
      <w:marBottom w:val="0"/>
      <w:divBdr>
        <w:top w:val="none" w:sz="0" w:space="0" w:color="auto"/>
        <w:left w:val="none" w:sz="0" w:space="0" w:color="auto"/>
        <w:bottom w:val="none" w:sz="0" w:space="0" w:color="auto"/>
        <w:right w:val="none" w:sz="0" w:space="0" w:color="auto"/>
      </w:divBdr>
    </w:div>
    <w:div w:id="961419651">
      <w:bodyDiv w:val="1"/>
      <w:marLeft w:val="0"/>
      <w:marRight w:val="0"/>
      <w:marTop w:val="0"/>
      <w:marBottom w:val="0"/>
      <w:divBdr>
        <w:top w:val="none" w:sz="0" w:space="0" w:color="auto"/>
        <w:left w:val="none" w:sz="0" w:space="0" w:color="auto"/>
        <w:bottom w:val="none" w:sz="0" w:space="0" w:color="auto"/>
        <w:right w:val="none" w:sz="0" w:space="0" w:color="auto"/>
      </w:divBdr>
    </w:div>
    <w:div w:id="972515124">
      <w:bodyDiv w:val="1"/>
      <w:marLeft w:val="0"/>
      <w:marRight w:val="0"/>
      <w:marTop w:val="0"/>
      <w:marBottom w:val="0"/>
      <w:divBdr>
        <w:top w:val="none" w:sz="0" w:space="0" w:color="auto"/>
        <w:left w:val="none" w:sz="0" w:space="0" w:color="auto"/>
        <w:bottom w:val="none" w:sz="0" w:space="0" w:color="auto"/>
        <w:right w:val="none" w:sz="0" w:space="0" w:color="auto"/>
      </w:divBdr>
    </w:div>
    <w:div w:id="993677634">
      <w:bodyDiv w:val="1"/>
      <w:marLeft w:val="0"/>
      <w:marRight w:val="0"/>
      <w:marTop w:val="0"/>
      <w:marBottom w:val="0"/>
      <w:divBdr>
        <w:top w:val="none" w:sz="0" w:space="0" w:color="auto"/>
        <w:left w:val="none" w:sz="0" w:space="0" w:color="auto"/>
        <w:bottom w:val="none" w:sz="0" w:space="0" w:color="auto"/>
        <w:right w:val="none" w:sz="0" w:space="0" w:color="auto"/>
      </w:divBdr>
    </w:div>
    <w:div w:id="1006589444">
      <w:bodyDiv w:val="1"/>
      <w:marLeft w:val="0"/>
      <w:marRight w:val="0"/>
      <w:marTop w:val="0"/>
      <w:marBottom w:val="0"/>
      <w:divBdr>
        <w:top w:val="none" w:sz="0" w:space="0" w:color="auto"/>
        <w:left w:val="none" w:sz="0" w:space="0" w:color="auto"/>
        <w:bottom w:val="none" w:sz="0" w:space="0" w:color="auto"/>
        <w:right w:val="none" w:sz="0" w:space="0" w:color="auto"/>
      </w:divBdr>
    </w:div>
    <w:div w:id="1013072495">
      <w:bodyDiv w:val="1"/>
      <w:marLeft w:val="0"/>
      <w:marRight w:val="0"/>
      <w:marTop w:val="0"/>
      <w:marBottom w:val="0"/>
      <w:divBdr>
        <w:top w:val="none" w:sz="0" w:space="0" w:color="auto"/>
        <w:left w:val="none" w:sz="0" w:space="0" w:color="auto"/>
        <w:bottom w:val="none" w:sz="0" w:space="0" w:color="auto"/>
        <w:right w:val="none" w:sz="0" w:space="0" w:color="auto"/>
      </w:divBdr>
    </w:div>
    <w:div w:id="1014191242">
      <w:bodyDiv w:val="1"/>
      <w:marLeft w:val="0"/>
      <w:marRight w:val="0"/>
      <w:marTop w:val="0"/>
      <w:marBottom w:val="0"/>
      <w:divBdr>
        <w:top w:val="none" w:sz="0" w:space="0" w:color="auto"/>
        <w:left w:val="none" w:sz="0" w:space="0" w:color="auto"/>
        <w:bottom w:val="none" w:sz="0" w:space="0" w:color="auto"/>
        <w:right w:val="none" w:sz="0" w:space="0" w:color="auto"/>
      </w:divBdr>
    </w:div>
    <w:div w:id="1039016149">
      <w:bodyDiv w:val="1"/>
      <w:marLeft w:val="0"/>
      <w:marRight w:val="0"/>
      <w:marTop w:val="0"/>
      <w:marBottom w:val="0"/>
      <w:divBdr>
        <w:top w:val="none" w:sz="0" w:space="0" w:color="auto"/>
        <w:left w:val="none" w:sz="0" w:space="0" w:color="auto"/>
        <w:bottom w:val="none" w:sz="0" w:space="0" w:color="auto"/>
        <w:right w:val="none" w:sz="0" w:space="0" w:color="auto"/>
      </w:divBdr>
    </w:div>
    <w:div w:id="1040595245">
      <w:bodyDiv w:val="1"/>
      <w:marLeft w:val="0"/>
      <w:marRight w:val="0"/>
      <w:marTop w:val="0"/>
      <w:marBottom w:val="0"/>
      <w:divBdr>
        <w:top w:val="none" w:sz="0" w:space="0" w:color="auto"/>
        <w:left w:val="none" w:sz="0" w:space="0" w:color="auto"/>
        <w:bottom w:val="none" w:sz="0" w:space="0" w:color="auto"/>
        <w:right w:val="none" w:sz="0" w:space="0" w:color="auto"/>
      </w:divBdr>
    </w:div>
    <w:div w:id="1078792876">
      <w:bodyDiv w:val="1"/>
      <w:marLeft w:val="0"/>
      <w:marRight w:val="0"/>
      <w:marTop w:val="0"/>
      <w:marBottom w:val="0"/>
      <w:divBdr>
        <w:top w:val="none" w:sz="0" w:space="0" w:color="auto"/>
        <w:left w:val="none" w:sz="0" w:space="0" w:color="auto"/>
        <w:bottom w:val="none" w:sz="0" w:space="0" w:color="auto"/>
        <w:right w:val="none" w:sz="0" w:space="0" w:color="auto"/>
      </w:divBdr>
    </w:div>
    <w:div w:id="1079711997">
      <w:bodyDiv w:val="1"/>
      <w:marLeft w:val="0"/>
      <w:marRight w:val="0"/>
      <w:marTop w:val="0"/>
      <w:marBottom w:val="0"/>
      <w:divBdr>
        <w:top w:val="none" w:sz="0" w:space="0" w:color="auto"/>
        <w:left w:val="none" w:sz="0" w:space="0" w:color="auto"/>
        <w:bottom w:val="none" w:sz="0" w:space="0" w:color="auto"/>
        <w:right w:val="none" w:sz="0" w:space="0" w:color="auto"/>
      </w:divBdr>
    </w:div>
    <w:div w:id="1081293531">
      <w:bodyDiv w:val="1"/>
      <w:marLeft w:val="0"/>
      <w:marRight w:val="0"/>
      <w:marTop w:val="0"/>
      <w:marBottom w:val="0"/>
      <w:divBdr>
        <w:top w:val="none" w:sz="0" w:space="0" w:color="auto"/>
        <w:left w:val="none" w:sz="0" w:space="0" w:color="auto"/>
        <w:bottom w:val="none" w:sz="0" w:space="0" w:color="auto"/>
        <w:right w:val="none" w:sz="0" w:space="0" w:color="auto"/>
      </w:divBdr>
    </w:div>
    <w:div w:id="1087918053">
      <w:bodyDiv w:val="1"/>
      <w:marLeft w:val="0"/>
      <w:marRight w:val="0"/>
      <w:marTop w:val="0"/>
      <w:marBottom w:val="0"/>
      <w:divBdr>
        <w:top w:val="none" w:sz="0" w:space="0" w:color="auto"/>
        <w:left w:val="none" w:sz="0" w:space="0" w:color="auto"/>
        <w:bottom w:val="none" w:sz="0" w:space="0" w:color="auto"/>
        <w:right w:val="none" w:sz="0" w:space="0" w:color="auto"/>
      </w:divBdr>
    </w:div>
    <w:div w:id="1123156483">
      <w:bodyDiv w:val="1"/>
      <w:marLeft w:val="0"/>
      <w:marRight w:val="0"/>
      <w:marTop w:val="0"/>
      <w:marBottom w:val="0"/>
      <w:divBdr>
        <w:top w:val="none" w:sz="0" w:space="0" w:color="auto"/>
        <w:left w:val="none" w:sz="0" w:space="0" w:color="auto"/>
        <w:bottom w:val="none" w:sz="0" w:space="0" w:color="auto"/>
        <w:right w:val="none" w:sz="0" w:space="0" w:color="auto"/>
      </w:divBdr>
    </w:div>
    <w:div w:id="1123960141">
      <w:bodyDiv w:val="1"/>
      <w:marLeft w:val="0"/>
      <w:marRight w:val="0"/>
      <w:marTop w:val="0"/>
      <w:marBottom w:val="0"/>
      <w:divBdr>
        <w:top w:val="none" w:sz="0" w:space="0" w:color="auto"/>
        <w:left w:val="none" w:sz="0" w:space="0" w:color="auto"/>
        <w:bottom w:val="none" w:sz="0" w:space="0" w:color="auto"/>
        <w:right w:val="none" w:sz="0" w:space="0" w:color="auto"/>
      </w:divBdr>
    </w:div>
    <w:div w:id="1124496374">
      <w:bodyDiv w:val="1"/>
      <w:marLeft w:val="0"/>
      <w:marRight w:val="0"/>
      <w:marTop w:val="0"/>
      <w:marBottom w:val="0"/>
      <w:divBdr>
        <w:top w:val="none" w:sz="0" w:space="0" w:color="auto"/>
        <w:left w:val="none" w:sz="0" w:space="0" w:color="auto"/>
        <w:bottom w:val="none" w:sz="0" w:space="0" w:color="auto"/>
        <w:right w:val="none" w:sz="0" w:space="0" w:color="auto"/>
      </w:divBdr>
    </w:div>
    <w:div w:id="1133912522">
      <w:bodyDiv w:val="1"/>
      <w:marLeft w:val="0"/>
      <w:marRight w:val="0"/>
      <w:marTop w:val="0"/>
      <w:marBottom w:val="0"/>
      <w:divBdr>
        <w:top w:val="none" w:sz="0" w:space="0" w:color="auto"/>
        <w:left w:val="none" w:sz="0" w:space="0" w:color="auto"/>
        <w:bottom w:val="none" w:sz="0" w:space="0" w:color="auto"/>
        <w:right w:val="none" w:sz="0" w:space="0" w:color="auto"/>
      </w:divBdr>
    </w:div>
    <w:div w:id="1138650015">
      <w:bodyDiv w:val="1"/>
      <w:marLeft w:val="0"/>
      <w:marRight w:val="0"/>
      <w:marTop w:val="0"/>
      <w:marBottom w:val="0"/>
      <w:divBdr>
        <w:top w:val="none" w:sz="0" w:space="0" w:color="auto"/>
        <w:left w:val="none" w:sz="0" w:space="0" w:color="auto"/>
        <w:bottom w:val="none" w:sz="0" w:space="0" w:color="auto"/>
        <w:right w:val="none" w:sz="0" w:space="0" w:color="auto"/>
      </w:divBdr>
    </w:div>
    <w:div w:id="1144659721">
      <w:bodyDiv w:val="1"/>
      <w:marLeft w:val="0"/>
      <w:marRight w:val="0"/>
      <w:marTop w:val="0"/>
      <w:marBottom w:val="0"/>
      <w:divBdr>
        <w:top w:val="none" w:sz="0" w:space="0" w:color="auto"/>
        <w:left w:val="none" w:sz="0" w:space="0" w:color="auto"/>
        <w:bottom w:val="none" w:sz="0" w:space="0" w:color="auto"/>
        <w:right w:val="none" w:sz="0" w:space="0" w:color="auto"/>
      </w:divBdr>
    </w:div>
    <w:div w:id="1197936227">
      <w:bodyDiv w:val="1"/>
      <w:marLeft w:val="0"/>
      <w:marRight w:val="0"/>
      <w:marTop w:val="0"/>
      <w:marBottom w:val="0"/>
      <w:divBdr>
        <w:top w:val="none" w:sz="0" w:space="0" w:color="auto"/>
        <w:left w:val="none" w:sz="0" w:space="0" w:color="auto"/>
        <w:bottom w:val="none" w:sz="0" w:space="0" w:color="auto"/>
        <w:right w:val="none" w:sz="0" w:space="0" w:color="auto"/>
      </w:divBdr>
    </w:div>
    <w:div w:id="1208565609">
      <w:bodyDiv w:val="1"/>
      <w:marLeft w:val="0"/>
      <w:marRight w:val="0"/>
      <w:marTop w:val="0"/>
      <w:marBottom w:val="0"/>
      <w:divBdr>
        <w:top w:val="none" w:sz="0" w:space="0" w:color="auto"/>
        <w:left w:val="none" w:sz="0" w:space="0" w:color="auto"/>
        <w:bottom w:val="none" w:sz="0" w:space="0" w:color="auto"/>
        <w:right w:val="none" w:sz="0" w:space="0" w:color="auto"/>
      </w:divBdr>
    </w:div>
    <w:div w:id="1262641935">
      <w:bodyDiv w:val="1"/>
      <w:marLeft w:val="0"/>
      <w:marRight w:val="0"/>
      <w:marTop w:val="0"/>
      <w:marBottom w:val="0"/>
      <w:divBdr>
        <w:top w:val="none" w:sz="0" w:space="0" w:color="auto"/>
        <w:left w:val="none" w:sz="0" w:space="0" w:color="auto"/>
        <w:bottom w:val="none" w:sz="0" w:space="0" w:color="auto"/>
        <w:right w:val="none" w:sz="0" w:space="0" w:color="auto"/>
      </w:divBdr>
    </w:div>
    <w:div w:id="1273513292">
      <w:bodyDiv w:val="1"/>
      <w:marLeft w:val="0"/>
      <w:marRight w:val="0"/>
      <w:marTop w:val="0"/>
      <w:marBottom w:val="0"/>
      <w:divBdr>
        <w:top w:val="none" w:sz="0" w:space="0" w:color="auto"/>
        <w:left w:val="none" w:sz="0" w:space="0" w:color="auto"/>
        <w:bottom w:val="none" w:sz="0" w:space="0" w:color="auto"/>
        <w:right w:val="none" w:sz="0" w:space="0" w:color="auto"/>
      </w:divBdr>
    </w:div>
    <w:div w:id="1276055078">
      <w:bodyDiv w:val="1"/>
      <w:marLeft w:val="0"/>
      <w:marRight w:val="0"/>
      <w:marTop w:val="0"/>
      <w:marBottom w:val="0"/>
      <w:divBdr>
        <w:top w:val="none" w:sz="0" w:space="0" w:color="auto"/>
        <w:left w:val="none" w:sz="0" w:space="0" w:color="auto"/>
        <w:bottom w:val="none" w:sz="0" w:space="0" w:color="auto"/>
        <w:right w:val="none" w:sz="0" w:space="0" w:color="auto"/>
      </w:divBdr>
    </w:div>
    <w:div w:id="1289626703">
      <w:bodyDiv w:val="1"/>
      <w:marLeft w:val="0"/>
      <w:marRight w:val="0"/>
      <w:marTop w:val="0"/>
      <w:marBottom w:val="0"/>
      <w:divBdr>
        <w:top w:val="none" w:sz="0" w:space="0" w:color="auto"/>
        <w:left w:val="none" w:sz="0" w:space="0" w:color="auto"/>
        <w:bottom w:val="none" w:sz="0" w:space="0" w:color="auto"/>
        <w:right w:val="none" w:sz="0" w:space="0" w:color="auto"/>
      </w:divBdr>
    </w:div>
    <w:div w:id="1307322740">
      <w:bodyDiv w:val="1"/>
      <w:marLeft w:val="0"/>
      <w:marRight w:val="0"/>
      <w:marTop w:val="0"/>
      <w:marBottom w:val="0"/>
      <w:divBdr>
        <w:top w:val="none" w:sz="0" w:space="0" w:color="auto"/>
        <w:left w:val="none" w:sz="0" w:space="0" w:color="auto"/>
        <w:bottom w:val="none" w:sz="0" w:space="0" w:color="auto"/>
        <w:right w:val="none" w:sz="0" w:space="0" w:color="auto"/>
      </w:divBdr>
    </w:div>
    <w:div w:id="1315790436">
      <w:bodyDiv w:val="1"/>
      <w:marLeft w:val="0"/>
      <w:marRight w:val="0"/>
      <w:marTop w:val="0"/>
      <w:marBottom w:val="0"/>
      <w:divBdr>
        <w:top w:val="none" w:sz="0" w:space="0" w:color="auto"/>
        <w:left w:val="none" w:sz="0" w:space="0" w:color="auto"/>
        <w:bottom w:val="none" w:sz="0" w:space="0" w:color="auto"/>
        <w:right w:val="none" w:sz="0" w:space="0" w:color="auto"/>
      </w:divBdr>
    </w:div>
    <w:div w:id="1318412392">
      <w:bodyDiv w:val="1"/>
      <w:marLeft w:val="0"/>
      <w:marRight w:val="0"/>
      <w:marTop w:val="0"/>
      <w:marBottom w:val="0"/>
      <w:divBdr>
        <w:top w:val="none" w:sz="0" w:space="0" w:color="auto"/>
        <w:left w:val="none" w:sz="0" w:space="0" w:color="auto"/>
        <w:bottom w:val="none" w:sz="0" w:space="0" w:color="auto"/>
        <w:right w:val="none" w:sz="0" w:space="0" w:color="auto"/>
      </w:divBdr>
    </w:div>
    <w:div w:id="1342969583">
      <w:bodyDiv w:val="1"/>
      <w:marLeft w:val="0"/>
      <w:marRight w:val="0"/>
      <w:marTop w:val="0"/>
      <w:marBottom w:val="0"/>
      <w:divBdr>
        <w:top w:val="none" w:sz="0" w:space="0" w:color="auto"/>
        <w:left w:val="none" w:sz="0" w:space="0" w:color="auto"/>
        <w:bottom w:val="none" w:sz="0" w:space="0" w:color="auto"/>
        <w:right w:val="none" w:sz="0" w:space="0" w:color="auto"/>
      </w:divBdr>
    </w:div>
    <w:div w:id="1344820891">
      <w:bodyDiv w:val="1"/>
      <w:marLeft w:val="0"/>
      <w:marRight w:val="0"/>
      <w:marTop w:val="0"/>
      <w:marBottom w:val="0"/>
      <w:divBdr>
        <w:top w:val="none" w:sz="0" w:space="0" w:color="auto"/>
        <w:left w:val="none" w:sz="0" w:space="0" w:color="auto"/>
        <w:bottom w:val="none" w:sz="0" w:space="0" w:color="auto"/>
        <w:right w:val="none" w:sz="0" w:space="0" w:color="auto"/>
      </w:divBdr>
    </w:div>
    <w:div w:id="1346595868">
      <w:bodyDiv w:val="1"/>
      <w:marLeft w:val="0"/>
      <w:marRight w:val="0"/>
      <w:marTop w:val="0"/>
      <w:marBottom w:val="0"/>
      <w:divBdr>
        <w:top w:val="none" w:sz="0" w:space="0" w:color="auto"/>
        <w:left w:val="none" w:sz="0" w:space="0" w:color="auto"/>
        <w:bottom w:val="none" w:sz="0" w:space="0" w:color="auto"/>
        <w:right w:val="none" w:sz="0" w:space="0" w:color="auto"/>
      </w:divBdr>
    </w:div>
    <w:div w:id="1356227200">
      <w:bodyDiv w:val="1"/>
      <w:marLeft w:val="0"/>
      <w:marRight w:val="0"/>
      <w:marTop w:val="0"/>
      <w:marBottom w:val="0"/>
      <w:divBdr>
        <w:top w:val="none" w:sz="0" w:space="0" w:color="auto"/>
        <w:left w:val="none" w:sz="0" w:space="0" w:color="auto"/>
        <w:bottom w:val="none" w:sz="0" w:space="0" w:color="auto"/>
        <w:right w:val="none" w:sz="0" w:space="0" w:color="auto"/>
      </w:divBdr>
    </w:div>
    <w:div w:id="1363701060">
      <w:bodyDiv w:val="1"/>
      <w:marLeft w:val="0"/>
      <w:marRight w:val="0"/>
      <w:marTop w:val="0"/>
      <w:marBottom w:val="0"/>
      <w:divBdr>
        <w:top w:val="none" w:sz="0" w:space="0" w:color="auto"/>
        <w:left w:val="none" w:sz="0" w:space="0" w:color="auto"/>
        <w:bottom w:val="none" w:sz="0" w:space="0" w:color="auto"/>
        <w:right w:val="none" w:sz="0" w:space="0" w:color="auto"/>
      </w:divBdr>
    </w:div>
    <w:div w:id="1369640438">
      <w:bodyDiv w:val="1"/>
      <w:marLeft w:val="0"/>
      <w:marRight w:val="0"/>
      <w:marTop w:val="0"/>
      <w:marBottom w:val="0"/>
      <w:divBdr>
        <w:top w:val="none" w:sz="0" w:space="0" w:color="auto"/>
        <w:left w:val="none" w:sz="0" w:space="0" w:color="auto"/>
        <w:bottom w:val="none" w:sz="0" w:space="0" w:color="auto"/>
        <w:right w:val="none" w:sz="0" w:space="0" w:color="auto"/>
      </w:divBdr>
    </w:div>
    <w:div w:id="1369991408">
      <w:bodyDiv w:val="1"/>
      <w:marLeft w:val="0"/>
      <w:marRight w:val="0"/>
      <w:marTop w:val="0"/>
      <w:marBottom w:val="0"/>
      <w:divBdr>
        <w:top w:val="none" w:sz="0" w:space="0" w:color="auto"/>
        <w:left w:val="none" w:sz="0" w:space="0" w:color="auto"/>
        <w:bottom w:val="none" w:sz="0" w:space="0" w:color="auto"/>
        <w:right w:val="none" w:sz="0" w:space="0" w:color="auto"/>
      </w:divBdr>
    </w:div>
    <w:div w:id="1390423899">
      <w:bodyDiv w:val="1"/>
      <w:marLeft w:val="0"/>
      <w:marRight w:val="0"/>
      <w:marTop w:val="0"/>
      <w:marBottom w:val="0"/>
      <w:divBdr>
        <w:top w:val="none" w:sz="0" w:space="0" w:color="auto"/>
        <w:left w:val="none" w:sz="0" w:space="0" w:color="auto"/>
        <w:bottom w:val="none" w:sz="0" w:space="0" w:color="auto"/>
        <w:right w:val="none" w:sz="0" w:space="0" w:color="auto"/>
      </w:divBdr>
    </w:div>
    <w:div w:id="1392188471">
      <w:bodyDiv w:val="1"/>
      <w:marLeft w:val="0"/>
      <w:marRight w:val="0"/>
      <w:marTop w:val="0"/>
      <w:marBottom w:val="0"/>
      <w:divBdr>
        <w:top w:val="none" w:sz="0" w:space="0" w:color="auto"/>
        <w:left w:val="none" w:sz="0" w:space="0" w:color="auto"/>
        <w:bottom w:val="none" w:sz="0" w:space="0" w:color="auto"/>
        <w:right w:val="none" w:sz="0" w:space="0" w:color="auto"/>
      </w:divBdr>
    </w:div>
    <w:div w:id="1419060641">
      <w:bodyDiv w:val="1"/>
      <w:marLeft w:val="0"/>
      <w:marRight w:val="0"/>
      <w:marTop w:val="0"/>
      <w:marBottom w:val="0"/>
      <w:divBdr>
        <w:top w:val="none" w:sz="0" w:space="0" w:color="auto"/>
        <w:left w:val="none" w:sz="0" w:space="0" w:color="auto"/>
        <w:bottom w:val="none" w:sz="0" w:space="0" w:color="auto"/>
        <w:right w:val="none" w:sz="0" w:space="0" w:color="auto"/>
      </w:divBdr>
    </w:div>
    <w:div w:id="1424719287">
      <w:bodyDiv w:val="1"/>
      <w:marLeft w:val="0"/>
      <w:marRight w:val="0"/>
      <w:marTop w:val="0"/>
      <w:marBottom w:val="0"/>
      <w:divBdr>
        <w:top w:val="none" w:sz="0" w:space="0" w:color="auto"/>
        <w:left w:val="none" w:sz="0" w:space="0" w:color="auto"/>
        <w:bottom w:val="none" w:sz="0" w:space="0" w:color="auto"/>
        <w:right w:val="none" w:sz="0" w:space="0" w:color="auto"/>
      </w:divBdr>
    </w:div>
    <w:div w:id="1437672566">
      <w:bodyDiv w:val="1"/>
      <w:marLeft w:val="0"/>
      <w:marRight w:val="0"/>
      <w:marTop w:val="0"/>
      <w:marBottom w:val="0"/>
      <w:divBdr>
        <w:top w:val="none" w:sz="0" w:space="0" w:color="auto"/>
        <w:left w:val="none" w:sz="0" w:space="0" w:color="auto"/>
        <w:bottom w:val="none" w:sz="0" w:space="0" w:color="auto"/>
        <w:right w:val="none" w:sz="0" w:space="0" w:color="auto"/>
      </w:divBdr>
    </w:div>
    <w:div w:id="1444303104">
      <w:bodyDiv w:val="1"/>
      <w:marLeft w:val="0"/>
      <w:marRight w:val="0"/>
      <w:marTop w:val="0"/>
      <w:marBottom w:val="0"/>
      <w:divBdr>
        <w:top w:val="none" w:sz="0" w:space="0" w:color="auto"/>
        <w:left w:val="none" w:sz="0" w:space="0" w:color="auto"/>
        <w:bottom w:val="none" w:sz="0" w:space="0" w:color="auto"/>
        <w:right w:val="none" w:sz="0" w:space="0" w:color="auto"/>
      </w:divBdr>
    </w:div>
    <w:div w:id="1456559024">
      <w:bodyDiv w:val="1"/>
      <w:marLeft w:val="0"/>
      <w:marRight w:val="0"/>
      <w:marTop w:val="0"/>
      <w:marBottom w:val="0"/>
      <w:divBdr>
        <w:top w:val="none" w:sz="0" w:space="0" w:color="auto"/>
        <w:left w:val="none" w:sz="0" w:space="0" w:color="auto"/>
        <w:bottom w:val="none" w:sz="0" w:space="0" w:color="auto"/>
        <w:right w:val="none" w:sz="0" w:space="0" w:color="auto"/>
      </w:divBdr>
    </w:div>
    <w:div w:id="1458376465">
      <w:bodyDiv w:val="1"/>
      <w:marLeft w:val="0"/>
      <w:marRight w:val="0"/>
      <w:marTop w:val="0"/>
      <w:marBottom w:val="0"/>
      <w:divBdr>
        <w:top w:val="none" w:sz="0" w:space="0" w:color="auto"/>
        <w:left w:val="none" w:sz="0" w:space="0" w:color="auto"/>
        <w:bottom w:val="none" w:sz="0" w:space="0" w:color="auto"/>
        <w:right w:val="none" w:sz="0" w:space="0" w:color="auto"/>
      </w:divBdr>
    </w:div>
    <w:div w:id="1467897231">
      <w:bodyDiv w:val="1"/>
      <w:marLeft w:val="0"/>
      <w:marRight w:val="0"/>
      <w:marTop w:val="0"/>
      <w:marBottom w:val="0"/>
      <w:divBdr>
        <w:top w:val="none" w:sz="0" w:space="0" w:color="auto"/>
        <w:left w:val="none" w:sz="0" w:space="0" w:color="auto"/>
        <w:bottom w:val="none" w:sz="0" w:space="0" w:color="auto"/>
        <w:right w:val="none" w:sz="0" w:space="0" w:color="auto"/>
      </w:divBdr>
    </w:div>
    <w:div w:id="1468284246">
      <w:bodyDiv w:val="1"/>
      <w:marLeft w:val="0"/>
      <w:marRight w:val="0"/>
      <w:marTop w:val="0"/>
      <w:marBottom w:val="0"/>
      <w:divBdr>
        <w:top w:val="none" w:sz="0" w:space="0" w:color="auto"/>
        <w:left w:val="none" w:sz="0" w:space="0" w:color="auto"/>
        <w:bottom w:val="none" w:sz="0" w:space="0" w:color="auto"/>
        <w:right w:val="none" w:sz="0" w:space="0" w:color="auto"/>
      </w:divBdr>
    </w:div>
    <w:div w:id="1510481197">
      <w:bodyDiv w:val="1"/>
      <w:marLeft w:val="0"/>
      <w:marRight w:val="0"/>
      <w:marTop w:val="0"/>
      <w:marBottom w:val="0"/>
      <w:divBdr>
        <w:top w:val="none" w:sz="0" w:space="0" w:color="auto"/>
        <w:left w:val="none" w:sz="0" w:space="0" w:color="auto"/>
        <w:bottom w:val="none" w:sz="0" w:space="0" w:color="auto"/>
        <w:right w:val="none" w:sz="0" w:space="0" w:color="auto"/>
      </w:divBdr>
    </w:div>
    <w:div w:id="1553804906">
      <w:bodyDiv w:val="1"/>
      <w:marLeft w:val="0"/>
      <w:marRight w:val="0"/>
      <w:marTop w:val="0"/>
      <w:marBottom w:val="0"/>
      <w:divBdr>
        <w:top w:val="none" w:sz="0" w:space="0" w:color="auto"/>
        <w:left w:val="none" w:sz="0" w:space="0" w:color="auto"/>
        <w:bottom w:val="none" w:sz="0" w:space="0" w:color="auto"/>
        <w:right w:val="none" w:sz="0" w:space="0" w:color="auto"/>
      </w:divBdr>
    </w:div>
    <w:div w:id="1554388734">
      <w:bodyDiv w:val="1"/>
      <w:marLeft w:val="0"/>
      <w:marRight w:val="0"/>
      <w:marTop w:val="0"/>
      <w:marBottom w:val="0"/>
      <w:divBdr>
        <w:top w:val="none" w:sz="0" w:space="0" w:color="auto"/>
        <w:left w:val="none" w:sz="0" w:space="0" w:color="auto"/>
        <w:bottom w:val="none" w:sz="0" w:space="0" w:color="auto"/>
        <w:right w:val="none" w:sz="0" w:space="0" w:color="auto"/>
      </w:divBdr>
    </w:div>
    <w:div w:id="1563103194">
      <w:bodyDiv w:val="1"/>
      <w:marLeft w:val="0"/>
      <w:marRight w:val="0"/>
      <w:marTop w:val="0"/>
      <w:marBottom w:val="0"/>
      <w:divBdr>
        <w:top w:val="none" w:sz="0" w:space="0" w:color="auto"/>
        <w:left w:val="none" w:sz="0" w:space="0" w:color="auto"/>
        <w:bottom w:val="none" w:sz="0" w:space="0" w:color="auto"/>
        <w:right w:val="none" w:sz="0" w:space="0" w:color="auto"/>
      </w:divBdr>
    </w:div>
    <w:div w:id="1563981759">
      <w:bodyDiv w:val="1"/>
      <w:marLeft w:val="0"/>
      <w:marRight w:val="0"/>
      <w:marTop w:val="0"/>
      <w:marBottom w:val="0"/>
      <w:divBdr>
        <w:top w:val="none" w:sz="0" w:space="0" w:color="auto"/>
        <w:left w:val="none" w:sz="0" w:space="0" w:color="auto"/>
        <w:bottom w:val="none" w:sz="0" w:space="0" w:color="auto"/>
        <w:right w:val="none" w:sz="0" w:space="0" w:color="auto"/>
      </w:divBdr>
    </w:div>
    <w:div w:id="1601792262">
      <w:bodyDiv w:val="1"/>
      <w:marLeft w:val="0"/>
      <w:marRight w:val="0"/>
      <w:marTop w:val="0"/>
      <w:marBottom w:val="0"/>
      <w:divBdr>
        <w:top w:val="none" w:sz="0" w:space="0" w:color="auto"/>
        <w:left w:val="none" w:sz="0" w:space="0" w:color="auto"/>
        <w:bottom w:val="none" w:sz="0" w:space="0" w:color="auto"/>
        <w:right w:val="none" w:sz="0" w:space="0" w:color="auto"/>
      </w:divBdr>
    </w:div>
    <w:div w:id="1604726904">
      <w:bodyDiv w:val="1"/>
      <w:marLeft w:val="0"/>
      <w:marRight w:val="0"/>
      <w:marTop w:val="0"/>
      <w:marBottom w:val="0"/>
      <w:divBdr>
        <w:top w:val="none" w:sz="0" w:space="0" w:color="auto"/>
        <w:left w:val="none" w:sz="0" w:space="0" w:color="auto"/>
        <w:bottom w:val="none" w:sz="0" w:space="0" w:color="auto"/>
        <w:right w:val="none" w:sz="0" w:space="0" w:color="auto"/>
      </w:divBdr>
    </w:div>
    <w:div w:id="1622611503">
      <w:bodyDiv w:val="1"/>
      <w:marLeft w:val="0"/>
      <w:marRight w:val="0"/>
      <w:marTop w:val="0"/>
      <w:marBottom w:val="0"/>
      <w:divBdr>
        <w:top w:val="none" w:sz="0" w:space="0" w:color="auto"/>
        <w:left w:val="none" w:sz="0" w:space="0" w:color="auto"/>
        <w:bottom w:val="none" w:sz="0" w:space="0" w:color="auto"/>
        <w:right w:val="none" w:sz="0" w:space="0" w:color="auto"/>
      </w:divBdr>
    </w:div>
    <w:div w:id="1623539318">
      <w:bodyDiv w:val="1"/>
      <w:marLeft w:val="0"/>
      <w:marRight w:val="0"/>
      <w:marTop w:val="0"/>
      <w:marBottom w:val="0"/>
      <w:divBdr>
        <w:top w:val="none" w:sz="0" w:space="0" w:color="auto"/>
        <w:left w:val="none" w:sz="0" w:space="0" w:color="auto"/>
        <w:bottom w:val="none" w:sz="0" w:space="0" w:color="auto"/>
        <w:right w:val="none" w:sz="0" w:space="0" w:color="auto"/>
      </w:divBdr>
    </w:div>
    <w:div w:id="1631785657">
      <w:bodyDiv w:val="1"/>
      <w:marLeft w:val="0"/>
      <w:marRight w:val="0"/>
      <w:marTop w:val="0"/>
      <w:marBottom w:val="0"/>
      <w:divBdr>
        <w:top w:val="none" w:sz="0" w:space="0" w:color="auto"/>
        <w:left w:val="none" w:sz="0" w:space="0" w:color="auto"/>
        <w:bottom w:val="none" w:sz="0" w:space="0" w:color="auto"/>
        <w:right w:val="none" w:sz="0" w:space="0" w:color="auto"/>
      </w:divBdr>
    </w:div>
    <w:div w:id="1649356488">
      <w:bodyDiv w:val="1"/>
      <w:marLeft w:val="0"/>
      <w:marRight w:val="0"/>
      <w:marTop w:val="0"/>
      <w:marBottom w:val="0"/>
      <w:divBdr>
        <w:top w:val="none" w:sz="0" w:space="0" w:color="auto"/>
        <w:left w:val="none" w:sz="0" w:space="0" w:color="auto"/>
        <w:bottom w:val="none" w:sz="0" w:space="0" w:color="auto"/>
        <w:right w:val="none" w:sz="0" w:space="0" w:color="auto"/>
      </w:divBdr>
    </w:div>
    <w:div w:id="1669092607">
      <w:bodyDiv w:val="1"/>
      <w:marLeft w:val="0"/>
      <w:marRight w:val="0"/>
      <w:marTop w:val="0"/>
      <w:marBottom w:val="0"/>
      <w:divBdr>
        <w:top w:val="none" w:sz="0" w:space="0" w:color="auto"/>
        <w:left w:val="none" w:sz="0" w:space="0" w:color="auto"/>
        <w:bottom w:val="none" w:sz="0" w:space="0" w:color="auto"/>
        <w:right w:val="none" w:sz="0" w:space="0" w:color="auto"/>
      </w:divBdr>
    </w:div>
    <w:div w:id="1686637599">
      <w:bodyDiv w:val="1"/>
      <w:marLeft w:val="0"/>
      <w:marRight w:val="0"/>
      <w:marTop w:val="0"/>
      <w:marBottom w:val="0"/>
      <w:divBdr>
        <w:top w:val="none" w:sz="0" w:space="0" w:color="auto"/>
        <w:left w:val="none" w:sz="0" w:space="0" w:color="auto"/>
        <w:bottom w:val="none" w:sz="0" w:space="0" w:color="auto"/>
        <w:right w:val="none" w:sz="0" w:space="0" w:color="auto"/>
      </w:divBdr>
    </w:div>
    <w:div w:id="1699621860">
      <w:bodyDiv w:val="1"/>
      <w:marLeft w:val="0"/>
      <w:marRight w:val="0"/>
      <w:marTop w:val="0"/>
      <w:marBottom w:val="0"/>
      <w:divBdr>
        <w:top w:val="none" w:sz="0" w:space="0" w:color="auto"/>
        <w:left w:val="none" w:sz="0" w:space="0" w:color="auto"/>
        <w:bottom w:val="none" w:sz="0" w:space="0" w:color="auto"/>
        <w:right w:val="none" w:sz="0" w:space="0" w:color="auto"/>
      </w:divBdr>
    </w:div>
    <w:div w:id="1730692654">
      <w:bodyDiv w:val="1"/>
      <w:marLeft w:val="0"/>
      <w:marRight w:val="0"/>
      <w:marTop w:val="0"/>
      <w:marBottom w:val="0"/>
      <w:divBdr>
        <w:top w:val="none" w:sz="0" w:space="0" w:color="auto"/>
        <w:left w:val="none" w:sz="0" w:space="0" w:color="auto"/>
        <w:bottom w:val="none" w:sz="0" w:space="0" w:color="auto"/>
        <w:right w:val="none" w:sz="0" w:space="0" w:color="auto"/>
      </w:divBdr>
    </w:div>
    <w:div w:id="1758018140">
      <w:bodyDiv w:val="1"/>
      <w:marLeft w:val="0"/>
      <w:marRight w:val="0"/>
      <w:marTop w:val="0"/>
      <w:marBottom w:val="0"/>
      <w:divBdr>
        <w:top w:val="none" w:sz="0" w:space="0" w:color="auto"/>
        <w:left w:val="none" w:sz="0" w:space="0" w:color="auto"/>
        <w:bottom w:val="none" w:sz="0" w:space="0" w:color="auto"/>
        <w:right w:val="none" w:sz="0" w:space="0" w:color="auto"/>
      </w:divBdr>
    </w:div>
    <w:div w:id="1793132105">
      <w:bodyDiv w:val="1"/>
      <w:marLeft w:val="0"/>
      <w:marRight w:val="0"/>
      <w:marTop w:val="0"/>
      <w:marBottom w:val="0"/>
      <w:divBdr>
        <w:top w:val="none" w:sz="0" w:space="0" w:color="auto"/>
        <w:left w:val="none" w:sz="0" w:space="0" w:color="auto"/>
        <w:bottom w:val="none" w:sz="0" w:space="0" w:color="auto"/>
        <w:right w:val="none" w:sz="0" w:space="0" w:color="auto"/>
      </w:divBdr>
    </w:div>
    <w:div w:id="1802453054">
      <w:bodyDiv w:val="1"/>
      <w:marLeft w:val="0"/>
      <w:marRight w:val="0"/>
      <w:marTop w:val="0"/>
      <w:marBottom w:val="0"/>
      <w:divBdr>
        <w:top w:val="none" w:sz="0" w:space="0" w:color="auto"/>
        <w:left w:val="none" w:sz="0" w:space="0" w:color="auto"/>
        <w:bottom w:val="none" w:sz="0" w:space="0" w:color="auto"/>
        <w:right w:val="none" w:sz="0" w:space="0" w:color="auto"/>
      </w:divBdr>
    </w:div>
    <w:div w:id="1803616590">
      <w:bodyDiv w:val="1"/>
      <w:marLeft w:val="0"/>
      <w:marRight w:val="0"/>
      <w:marTop w:val="0"/>
      <w:marBottom w:val="0"/>
      <w:divBdr>
        <w:top w:val="none" w:sz="0" w:space="0" w:color="auto"/>
        <w:left w:val="none" w:sz="0" w:space="0" w:color="auto"/>
        <w:bottom w:val="none" w:sz="0" w:space="0" w:color="auto"/>
        <w:right w:val="none" w:sz="0" w:space="0" w:color="auto"/>
      </w:divBdr>
    </w:div>
    <w:div w:id="1858304027">
      <w:bodyDiv w:val="1"/>
      <w:marLeft w:val="0"/>
      <w:marRight w:val="0"/>
      <w:marTop w:val="0"/>
      <w:marBottom w:val="0"/>
      <w:divBdr>
        <w:top w:val="none" w:sz="0" w:space="0" w:color="auto"/>
        <w:left w:val="none" w:sz="0" w:space="0" w:color="auto"/>
        <w:bottom w:val="none" w:sz="0" w:space="0" w:color="auto"/>
        <w:right w:val="none" w:sz="0" w:space="0" w:color="auto"/>
      </w:divBdr>
    </w:div>
    <w:div w:id="1874808667">
      <w:bodyDiv w:val="1"/>
      <w:marLeft w:val="0"/>
      <w:marRight w:val="0"/>
      <w:marTop w:val="0"/>
      <w:marBottom w:val="0"/>
      <w:divBdr>
        <w:top w:val="none" w:sz="0" w:space="0" w:color="auto"/>
        <w:left w:val="none" w:sz="0" w:space="0" w:color="auto"/>
        <w:bottom w:val="none" w:sz="0" w:space="0" w:color="auto"/>
        <w:right w:val="none" w:sz="0" w:space="0" w:color="auto"/>
      </w:divBdr>
    </w:div>
    <w:div w:id="1879970098">
      <w:bodyDiv w:val="1"/>
      <w:marLeft w:val="0"/>
      <w:marRight w:val="0"/>
      <w:marTop w:val="0"/>
      <w:marBottom w:val="0"/>
      <w:divBdr>
        <w:top w:val="none" w:sz="0" w:space="0" w:color="auto"/>
        <w:left w:val="none" w:sz="0" w:space="0" w:color="auto"/>
        <w:bottom w:val="none" w:sz="0" w:space="0" w:color="auto"/>
        <w:right w:val="none" w:sz="0" w:space="0" w:color="auto"/>
      </w:divBdr>
    </w:div>
    <w:div w:id="1887912682">
      <w:bodyDiv w:val="1"/>
      <w:marLeft w:val="0"/>
      <w:marRight w:val="0"/>
      <w:marTop w:val="0"/>
      <w:marBottom w:val="0"/>
      <w:divBdr>
        <w:top w:val="none" w:sz="0" w:space="0" w:color="auto"/>
        <w:left w:val="none" w:sz="0" w:space="0" w:color="auto"/>
        <w:bottom w:val="none" w:sz="0" w:space="0" w:color="auto"/>
        <w:right w:val="none" w:sz="0" w:space="0" w:color="auto"/>
      </w:divBdr>
    </w:div>
    <w:div w:id="1912500918">
      <w:bodyDiv w:val="1"/>
      <w:marLeft w:val="0"/>
      <w:marRight w:val="0"/>
      <w:marTop w:val="0"/>
      <w:marBottom w:val="0"/>
      <w:divBdr>
        <w:top w:val="none" w:sz="0" w:space="0" w:color="auto"/>
        <w:left w:val="none" w:sz="0" w:space="0" w:color="auto"/>
        <w:bottom w:val="none" w:sz="0" w:space="0" w:color="auto"/>
        <w:right w:val="none" w:sz="0" w:space="0" w:color="auto"/>
      </w:divBdr>
    </w:div>
    <w:div w:id="1917007278">
      <w:bodyDiv w:val="1"/>
      <w:marLeft w:val="0"/>
      <w:marRight w:val="0"/>
      <w:marTop w:val="0"/>
      <w:marBottom w:val="0"/>
      <w:divBdr>
        <w:top w:val="none" w:sz="0" w:space="0" w:color="auto"/>
        <w:left w:val="none" w:sz="0" w:space="0" w:color="auto"/>
        <w:bottom w:val="none" w:sz="0" w:space="0" w:color="auto"/>
        <w:right w:val="none" w:sz="0" w:space="0" w:color="auto"/>
      </w:divBdr>
    </w:div>
    <w:div w:id="1935480532">
      <w:bodyDiv w:val="1"/>
      <w:marLeft w:val="0"/>
      <w:marRight w:val="0"/>
      <w:marTop w:val="0"/>
      <w:marBottom w:val="0"/>
      <w:divBdr>
        <w:top w:val="none" w:sz="0" w:space="0" w:color="auto"/>
        <w:left w:val="none" w:sz="0" w:space="0" w:color="auto"/>
        <w:bottom w:val="none" w:sz="0" w:space="0" w:color="auto"/>
        <w:right w:val="none" w:sz="0" w:space="0" w:color="auto"/>
      </w:divBdr>
    </w:div>
    <w:div w:id="1937903890">
      <w:bodyDiv w:val="1"/>
      <w:marLeft w:val="0"/>
      <w:marRight w:val="0"/>
      <w:marTop w:val="0"/>
      <w:marBottom w:val="0"/>
      <w:divBdr>
        <w:top w:val="none" w:sz="0" w:space="0" w:color="auto"/>
        <w:left w:val="none" w:sz="0" w:space="0" w:color="auto"/>
        <w:bottom w:val="none" w:sz="0" w:space="0" w:color="auto"/>
        <w:right w:val="none" w:sz="0" w:space="0" w:color="auto"/>
      </w:divBdr>
    </w:div>
    <w:div w:id="1946958408">
      <w:bodyDiv w:val="1"/>
      <w:marLeft w:val="0"/>
      <w:marRight w:val="0"/>
      <w:marTop w:val="0"/>
      <w:marBottom w:val="0"/>
      <w:divBdr>
        <w:top w:val="none" w:sz="0" w:space="0" w:color="auto"/>
        <w:left w:val="none" w:sz="0" w:space="0" w:color="auto"/>
        <w:bottom w:val="none" w:sz="0" w:space="0" w:color="auto"/>
        <w:right w:val="none" w:sz="0" w:space="0" w:color="auto"/>
      </w:divBdr>
    </w:div>
    <w:div w:id="1948200261">
      <w:bodyDiv w:val="1"/>
      <w:marLeft w:val="0"/>
      <w:marRight w:val="0"/>
      <w:marTop w:val="0"/>
      <w:marBottom w:val="0"/>
      <w:divBdr>
        <w:top w:val="none" w:sz="0" w:space="0" w:color="auto"/>
        <w:left w:val="none" w:sz="0" w:space="0" w:color="auto"/>
        <w:bottom w:val="none" w:sz="0" w:space="0" w:color="auto"/>
        <w:right w:val="none" w:sz="0" w:space="0" w:color="auto"/>
      </w:divBdr>
    </w:div>
    <w:div w:id="1952084814">
      <w:bodyDiv w:val="1"/>
      <w:marLeft w:val="0"/>
      <w:marRight w:val="0"/>
      <w:marTop w:val="0"/>
      <w:marBottom w:val="0"/>
      <w:divBdr>
        <w:top w:val="none" w:sz="0" w:space="0" w:color="auto"/>
        <w:left w:val="none" w:sz="0" w:space="0" w:color="auto"/>
        <w:bottom w:val="none" w:sz="0" w:space="0" w:color="auto"/>
        <w:right w:val="none" w:sz="0" w:space="0" w:color="auto"/>
      </w:divBdr>
    </w:div>
    <w:div w:id="1974291372">
      <w:bodyDiv w:val="1"/>
      <w:marLeft w:val="0"/>
      <w:marRight w:val="0"/>
      <w:marTop w:val="0"/>
      <w:marBottom w:val="0"/>
      <w:divBdr>
        <w:top w:val="none" w:sz="0" w:space="0" w:color="auto"/>
        <w:left w:val="none" w:sz="0" w:space="0" w:color="auto"/>
        <w:bottom w:val="none" w:sz="0" w:space="0" w:color="auto"/>
        <w:right w:val="none" w:sz="0" w:space="0" w:color="auto"/>
      </w:divBdr>
    </w:div>
    <w:div w:id="1989749018">
      <w:bodyDiv w:val="1"/>
      <w:marLeft w:val="0"/>
      <w:marRight w:val="0"/>
      <w:marTop w:val="0"/>
      <w:marBottom w:val="0"/>
      <w:divBdr>
        <w:top w:val="none" w:sz="0" w:space="0" w:color="auto"/>
        <w:left w:val="none" w:sz="0" w:space="0" w:color="auto"/>
        <w:bottom w:val="none" w:sz="0" w:space="0" w:color="auto"/>
        <w:right w:val="none" w:sz="0" w:space="0" w:color="auto"/>
      </w:divBdr>
    </w:div>
    <w:div w:id="1991211341">
      <w:bodyDiv w:val="1"/>
      <w:marLeft w:val="0"/>
      <w:marRight w:val="0"/>
      <w:marTop w:val="0"/>
      <w:marBottom w:val="0"/>
      <w:divBdr>
        <w:top w:val="none" w:sz="0" w:space="0" w:color="auto"/>
        <w:left w:val="none" w:sz="0" w:space="0" w:color="auto"/>
        <w:bottom w:val="none" w:sz="0" w:space="0" w:color="auto"/>
        <w:right w:val="none" w:sz="0" w:space="0" w:color="auto"/>
      </w:divBdr>
    </w:div>
    <w:div w:id="2005817361">
      <w:bodyDiv w:val="1"/>
      <w:marLeft w:val="0"/>
      <w:marRight w:val="0"/>
      <w:marTop w:val="0"/>
      <w:marBottom w:val="0"/>
      <w:divBdr>
        <w:top w:val="none" w:sz="0" w:space="0" w:color="auto"/>
        <w:left w:val="none" w:sz="0" w:space="0" w:color="auto"/>
        <w:bottom w:val="none" w:sz="0" w:space="0" w:color="auto"/>
        <w:right w:val="none" w:sz="0" w:space="0" w:color="auto"/>
      </w:divBdr>
    </w:div>
    <w:div w:id="2030452240">
      <w:bodyDiv w:val="1"/>
      <w:marLeft w:val="0"/>
      <w:marRight w:val="0"/>
      <w:marTop w:val="0"/>
      <w:marBottom w:val="0"/>
      <w:divBdr>
        <w:top w:val="none" w:sz="0" w:space="0" w:color="auto"/>
        <w:left w:val="none" w:sz="0" w:space="0" w:color="auto"/>
        <w:bottom w:val="none" w:sz="0" w:space="0" w:color="auto"/>
        <w:right w:val="none" w:sz="0" w:space="0" w:color="auto"/>
      </w:divBdr>
    </w:div>
    <w:div w:id="2036422102">
      <w:bodyDiv w:val="1"/>
      <w:marLeft w:val="0"/>
      <w:marRight w:val="0"/>
      <w:marTop w:val="0"/>
      <w:marBottom w:val="0"/>
      <w:divBdr>
        <w:top w:val="none" w:sz="0" w:space="0" w:color="auto"/>
        <w:left w:val="none" w:sz="0" w:space="0" w:color="auto"/>
        <w:bottom w:val="none" w:sz="0" w:space="0" w:color="auto"/>
        <w:right w:val="none" w:sz="0" w:space="0" w:color="auto"/>
      </w:divBdr>
    </w:div>
    <w:div w:id="2039431906">
      <w:bodyDiv w:val="1"/>
      <w:marLeft w:val="0"/>
      <w:marRight w:val="0"/>
      <w:marTop w:val="0"/>
      <w:marBottom w:val="0"/>
      <w:divBdr>
        <w:top w:val="none" w:sz="0" w:space="0" w:color="auto"/>
        <w:left w:val="none" w:sz="0" w:space="0" w:color="auto"/>
        <w:bottom w:val="none" w:sz="0" w:space="0" w:color="auto"/>
        <w:right w:val="none" w:sz="0" w:space="0" w:color="auto"/>
      </w:divBdr>
    </w:div>
    <w:div w:id="2067021800">
      <w:bodyDiv w:val="1"/>
      <w:marLeft w:val="0"/>
      <w:marRight w:val="0"/>
      <w:marTop w:val="0"/>
      <w:marBottom w:val="0"/>
      <w:divBdr>
        <w:top w:val="none" w:sz="0" w:space="0" w:color="auto"/>
        <w:left w:val="none" w:sz="0" w:space="0" w:color="auto"/>
        <w:bottom w:val="none" w:sz="0" w:space="0" w:color="auto"/>
        <w:right w:val="none" w:sz="0" w:space="0" w:color="auto"/>
      </w:divBdr>
    </w:div>
    <w:div w:id="2081320447">
      <w:bodyDiv w:val="1"/>
      <w:marLeft w:val="0"/>
      <w:marRight w:val="0"/>
      <w:marTop w:val="0"/>
      <w:marBottom w:val="0"/>
      <w:divBdr>
        <w:top w:val="none" w:sz="0" w:space="0" w:color="auto"/>
        <w:left w:val="none" w:sz="0" w:space="0" w:color="auto"/>
        <w:bottom w:val="none" w:sz="0" w:space="0" w:color="auto"/>
        <w:right w:val="none" w:sz="0" w:space="0" w:color="auto"/>
      </w:divBdr>
    </w:div>
    <w:div w:id="2083406134">
      <w:bodyDiv w:val="1"/>
      <w:marLeft w:val="0"/>
      <w:marRight w:val="0"/>
      <w:marTop w:val="0"/>
      <w:marBottom w:val="0"/>
      <w:divBdr>
        <w:top w:val="none" w:sz="0" w:space="0" w:color="auto"/>
        <w:left w:val="none" w:sz="0" w:space="0" w:color="auto"/>
        <w:bottom w:val="none" w:sz="0" w:space="0" w:color="auto"/>
        <w:right w:val="none" w:sz="0" w:space="0" w:color="auto"/>
      </w:divBdr>
    </w:div>
    <w:div w:id="2096852199">
      <w:bodyDiv w:val="1"/>
      <w:marLeft w:val="0"/>
      <w:marRight w:val="0"/>
      <w:marTop w:val="0"/>
      <w:marBottom w:val="0"/>
      <w:divBdr>
        <w:top w:val="none" w:sz="0" w:space="0" w:color="auto"/>
        <w:left w:val="none" w:sz="0" w:space="0" w:color="auto"/>
        <w:bottom w:val="none" w:sz="0" w:space="0" w:color="auto"/>
        <w:right w:val="none" w:sz="0" w:space="0" w:color="auto"/>
      </w:divBdr>
    </w:div>
    <w:div w:id="2099010732">
      <w:bodyDiv w:val="1"/>
      <w:marLeft w:val="0"/>
      <w:marRight w:val="0"/>
      <w:marTop w:val="0"/>
      <w:marBottom w:val="0"/>
      <w:divBdr>
        <w:top w:val="none" w:sz="0" w:space="0" w:color="auto"/>
        <w:left w:val="none" w:sz="0" w:space="0" w:color="auto"/>
        <w:bottom w:val="none" w:sz="0" w:space="0" w:color="auto"/>
        <w:right w:val="none" w:sz="0" w:space="0" w:color="auto"/>
      </w:divBdr>
    </w:div>
    <w:div w:id="2107312487">
      <w:bodyDiv w:val="1"/>
      <w:marLeft w:val="0"/>
      <w:marRight w:val="0"/>
      <w:marTop w:val="0"/>
      <w:marBottom w:val="0"/>
      <w:divBdr>
        <w:top w:val="none" w:sz="0" w:space="0" w:color="auto"/>
        <w:left w:val="none" w:sz="0" w:space="0" w:color="auto"/>
        <w:bottom w:val="none" w:sz="0" w:space="0" w:color="auto"/>
        <w:right w:val="none" w:sz="0" w:space="0" w:color="auto"/>
      </w:divBdr>
    </w:div>
    <w:div w:id="21401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A1B5-16EC-4F55-8F35-F9C2422E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14651</Words>
  <Characters>83515</Characters>
  <Application>Microsoft Office Word</Application>
  <DocSecurity>4</DocSecurity>
  <Lines>695</Lines>
  <Paragraphs>195</Paragraphs>
  <ScaleCrop>false</ScaleCrop>
  <Company/>
  <LinksUpToDate>false</LinksUpToDate>
  <CharactersWithSpaces>97971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Yang,Jing(杨晶)</dc:creator>
  <cp:keywords/>
  <cp:lastModifiedBy>ZHONGM</cp:lastModifiedBy>
  <cp:revision>2</cp:revision>
  <cp:lastPrinted>2019-01-03T02:06:00Z</cp:lastPrinted>
  <dcterms:created xsi:type="dcterms:W3CDTF">2024-12-23T16:00:00Z</dcterms:created>
  <dcterms:modified xsi:type="dcterms:W3CDTF">2024-12-23T16:00:00Z</dcterms:modified>
</cp:coreProperties>
</file>