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E6" w:rsidRDefault="007F4EF5">
      <w:pPr>
        <w:pStyle w:val="a4"/>
        <w:autoSpaceDE w:val="0"/>
        <w:autoSpaceDN w:val="0"/>
        <w:spacing w:before="201" w:line="364" w:lineRule="auto"/>
        <w:ind w:left="0" w:right="239" w:firstLine="0"/>
        <w:jc w:val="center"/>
        <w:rPr>
          <w:rFonts w:ascii="微软雅黑" w:eastAsia="微软雅黑" w:hAnsi="微软雅黑" w:cs="微软雅黑"/>
          <w:b/>
          <w:bCs/>
          <w:spacing w:val="-8"/>
          <w:sz w:val="30"/>
          <w:szCs w:val="30"/>
          <w:lang w:val="zh-CN" w:eastAsia="zh-CN" w:bidi="zh-CN"/>
        </w:rPr>
      </w:pPr>
      <w:r>
        <w:rPr>
          <w:rFonts w:ascii="微软雅黑" w:eastAsia="微软雅黑" w:hAnsi="微软雅黑" w:cs="微软雅黑" w:hint="eastAsia"/>
          <w:b/>
          <w:bCs/>
          <w:spacing w:val="-8"/>
          <w:sz w:val="30"/>
          <w:szCs w:val="30"/>
          <w:lang w:val="zh-CN" w:eastAsia="zh-CN" w:bidi="zh-CN"/>
        </w:rPr>
        <w:t>关于增加</w:t>
      </w:r>
      <w:r>
        <w:rPr>
          <w:rFonts w:ascii="微软雅黑" w:eastAsia="微软雅黑" w:hAnsi="微软雅黑" w:cs="微软雅黑" w:hint="eastAsia"/>
          <w:b/>
          <w:bCs/>
          <w:spacing w:val="-8"/>
          <w:sz w:val="30"/>
          <w:szCs w:val="30"/>
          <w:lang w:eastAsia="zh-CN" w:bidi="zh-CN"/>
        </w:rPr>
        <w:t>华福</w:t>
      </w:r>
      <w:r>
        <w:rPr>
          <w:rFonts w:ascii="微软雅黑" w:eastAsia="微软雅黑" w:hAnsi="微软雅黑" w:cs="微软雅黑" w:hint="eastAsia"/>
          <w:b/>
          <w:bCs/>
          <w:spacing w:val="-8"/>
          <w:sz w:val="30"/>
          <w:szCs w:val="30"/>
          <w:lang w:val="zh-CN" w:eastAsia="zh-CN" w:bidi="zh-CN"/>
        </w:rPr>
        <w:t>证券有限责任公司为</w:t>
      </w:r>
      <w:r>
        <w:rPr>
          <w:rFonts w:ascii="微软雅黑" w:eastAsia="微软雅黑" w:hAnsi="微软雅黑" w:cs="微软雅黑" w:hint="eastAsia"/>
          <w:b/>
          <w:bCs/>
          <w:spacing w:val="-8"/>
          <w:sz w:val="30"/>
          <w:szCs w:val="30"/>
          <w:lang w:eastAsia="zh-CN" w:bidi="zh-CN"/>
        </w:rPr>
        <w:t>东方基金</w:t>
      </w:r>
      <w:r>
        <w:rPr>
          <w:rFonts w:ascii="微软雅黑" w:eastAsia="微软雅黑" w:hAnsi="微软雅黑" w:cs="微软雅黑" w:hint="eastAsia"/>
          <w:b/>
          <w:bCs/>
          <w:spacing w:val="-8"/>
          <w:sz w:val="30"/>
          <w:szCs w:val="30"/>
          <w:lang w:val="zh-CN" w:eastAsia="zh-CN" w:bidi="zh-CN"/>
        </w:rPr>
        <w:t>旗下部分基金销售机构</w:t>
      </w:r>
    </w:p>
    <w:p w:rsidR="002438E6" w:rsidRDefault="007F4EF5">
      <w:pPr>
        <w:pStyle w:val="a4"/>
        <w:autoSpaceDE w:val="0"/>
        <w:autoSpaceDN w:val="0"/>
        <w:spacing w:before="201" w:line="364" w:lineRule="auto"/>
        <w:ind w:left="0" w:right="239" w:firstLine="0"/>
        <w:jc w:val="center"/>
        <w:rPr>
          <w:rFonts w:ascii="微软雅黑" w:eastAsia="微软雅黑" w:hAnsi="微软雅黑" w:cs="微软雅黑"/>
          <w:b/>
          <w:bCs/>
          <w:spacing w:val="-8"/>
          <w:sz w:val="30"/>
          <w:szCs w:val="30"/>
          <w:lang w:val="zh-CN" w:eastAsia="zh-CN" w:bidi="zh-CN"/>
        </w:rPr>
      </w:pPr>
      <w:r>
        <w:rPr>
          <w:rFonts w:ascii="微软雅黑" w:eastAsia="微软雅黑" w:hAnsi="微软雅黑" w:cs="微软雅黑" w:hint="eastAsia"/>
          <w:b/>
          <w:bCs/>
          <w:spacing w:val="-8"/>
          <w:sz w:val="30"/>
          <w:szCs w:val="30"/>
          <w:lang w:val="zh-CN" w:eastAsia="zh-CN" w:bidi="zh-CN"/>
        </w:rPr>
        <w:t>同时参与申购费率优惠活动的公告</w:t>
      </w:r>
    </w:p>
    <w:p w:rsidR="002438E6" w:rsidRDefault="007F4EF5">
      <w:pPr>
        <w:pStyle w:val="a4"/>
        <w:autoSpaceDE w:val="0"/>
        <w:autoSpaceDN w:val="0"/>
        <w:spacing w:before="201" w:line="364" w:lineRule="auto"/>
        <w:ind w:left="220" w:right="239"/>
        <w:jc w:val="both"/>
        <w:rPr>
          <w:rFonts w:ascii="微软雅黑" w:eastAsia="微软雅黑" w:hAnsi="微软雅黑" w:cs="微软雅黑"/>
          <w:spacing w:val="-8"/>
          <w:lang w:eastAsia="zh-CN" w:bidi="zh-CN"/>
        </w:rPr>
      </w:pPr>
      <w:r>
        <w:rPr>
          <w:rFonts w:ascii="微软雅黑" w:eastAsia="微软雅黑" w:hAnsi="微软雅黑" w:cs="微软雅黑" w:hint="eastAsia"/>
          <w:spacing w:val="-8"/>
          <w:lang w:eastAsia="zh-CN" w:bidi="zh-CN"/>
        </w:rPr>
        <w:t>经东方基金管理股份有限公司（以下简称“本公司”）与华福证券有限责任公司（以下简称“华福证券”）协商一致，自</w:t>
      </w:r>
      <w:r>
        <w:rPr>
          <w:rFonts w:ascii="微软雅黑" w:eastAsia="微软雅黑" w:hAnsi="微软雅黑" w:cs="微软雅黑" w:hint="eastAsia"/>
          <w:spacing w:val="-8"/>
          <w:lang w:eastAsia="zh-CN" w:bidi="zh-CN"/>
        </w:rPr>
        <w:t>2024</w:t>
      </w:r>
      <w:r>
        <w:rPr>
          <w:rFonts w:ascii="微软雅黑" w:eastAsia="微软雅黑" w:hAnsi="微软雅黑" w:cs="微软雅黑" w:hint="eastAsia"/>
          <w:spacing w:val="-8"/>
          <w:lang w:eastAsia="zh-CN" w:bidi="zh-CN"/>
        </w:rPr>
        <w:t>年</w:t>
      </w:r>
      <w:r>
        <w:rPr>
          <w:rFonts w:ascii="微软雅黑" w:eastAsia="微软雅黑" w:hAnsi="微软雅黑" w:cs="微软雅黑" w:hint="eastAsia"/>
          <w:spacing w:val="-8"/>
          <w:lang w:eastAsia="zh-CN" w:bidi="zh-CN"/>
        </w:rPr>
        <w:t>12</w:t>
      </w:r>
      <w:r>
        <w:rPr>
          <w:rFonts w:ascii="微软雅黑" w:eastAsia="微软雅黑" w:hAnsi="微软雅黑" w:cs="微软雅黑" w:hint="eastAsia"/>
          <w:spacing w:val="-8"/>
          <w:lang w:eastAsia="zh-CN" w:bidi="zh-CN"/>
        </w:rPr>
        <w:t>月</w:t>
      </w:r>
      <w:r>
        <w:rPr>
          <w:rFonts w:ascii="微软雅黑" w:eastAsia="微软雅黑" w:hAnsi="微软雅黑" w:cs="微软雅黑" w:hint="eastAsia"/>
          <w:spacing w:val="-8"/>
          <w:lang w:eastAsia="zh-CN" w:bidi="zh-CN"/>
        </w:rPr>
        <w:t>24</w:t>
      </w:r>
      <w:r>
        <w:rPr>
          <w:rFonts w:ascii="微软雅黑" w:eastAsia="微软雅黑" w:hAnsi="微软雅黑" w:cs="微软雅黑" w:hint="eastAsia"/>
          <w:spacing w:val="-8"/>
          <w:lang w:eastAsia="zh-CN" w:bidi="zh-CN"/>
        </w:rPr>
        <w:t>日</w:t>
      </w:r>
      <w:r>
        <w:rPr>
          <w:rFonts w:ascii="微软雅黑" w:eastAsia="微软雅黑" w:hAnsi="微软雅黑" w:cs="微软雅黑" w:hint="eastAsia"/>
          <w:spacing w:val="-8"/>
          <w:lang w:eastAsia="zh-CN" w:bidi="zh-CN"/>
        </w:rPr>
        <w:t>起，新增华福证券办理本公司旗下部分基金的销售业务</w:t>
      </w:r>
      <w:r>
        <w:rPr>
          <w:rFonts w:ascii="微软雅黑" w:eastAsia="微软雅黑" w:hAnsi="微软雅黑" w:cs="微软雅黑" w:hint="eastAsia"/>
          <w:spacing w:val="-8"/>
          <w:lang w:eastAsia="zh-CN" w:bidi="zh-CN"/>
        </w:rPr>
        <w:t>(</w:t>
      </w:r>
      <w:r>
        <w:rPr>
          <w:rFonts w:ascii="微软雅黑" w:eastAsia="微软雅黑" w:hAnsi="微软雅黑" w:cs="微软雅黑" w:hint="eastAsia"/>
          <w:spacing w:val="-8"/>
          <w:lang w:eastAsia="zh-CN" w:bidi="zh-CN"/>
        </w:rPr>
        <w:t>仅限前端申购模式</w:t>
      </w:r>
      <w:r>
        <w:rPr>
          <w:rFonts w:ascii="微软雅黑" w:eastAsia="微软雅黑" w:hAnsi="微软雅黑" w:cs="微软雅黑" w:hint="eastAsia"/>
          <w:spacing w:val="-8"/>
          <w:lang w:eastAsia="zh-CN" w:bidi="zh-CN"/>
        </w:rPr>
        <w:t>)</w:t>
      </w:r>
      <w:r>
        <w:rPr>
          <w:rFonts w:ascii="微软雅黑" w:eastAsia="微软雅黑" w:hAnsi="微软雅黑" w:cs="微软雅黑" w:hint="eastAsia"/>
          <w:spacing w:val="-8"/>
          <w:lang w:eastAsia="zh-CN" w:bidi="zh-CN"/>
        </w:rPr>
        <w:t>，并参与申购（含定期定额投资和转换转入，不含认购）费率优惠活动。现将有关事项公告如下：</w:t>
      </w:r>
    </w:p>
    <w:p w:rsidR="002438E6" w:rsidRDefault="007F4EF5" w:rsidP="007F4EF5">
      <w:pPr>
        <w:numPr>
          <w:ilvl w:val="0"/>
          <w:numId w:val="1"/>
        </w:numPr>
        <w:spacing w:beforeLines="50" w:line="360" w:lineRule="auto"/>
        <w:rPr>
          <w:rFonts w:ascii="微软雅黑" w:eastAsia="微软雅黑" w:hAnsi="微软雅黑" w:cs="微软雅黑"/>
          <w:b/>
          <w:bCs/>
          <w:sz w:val="24"/>
          <w:szCs w:val="24"/>
          <w:lang w:eastAsia="zh-CN"/>
        </w:rPr>
      </w:pPr>
      <w:bookmarkStart w:id="0" w:name="二、新增销售基金及业务范围"/>
      <w:bookmarkStart w:id="1" w:name="一、适用投资者范围"/>
      <w:bookmarkEnd w:id="0"/>
      <w:bookmarkEnd w:id="1"/>
      <w:r>
        <w:rPr>
          <w:rFonts w:ascii="微软雅黑" w:eastAsia="微软雅黑" w:hAnsi="微软雅黑" w:cs="微软雅黑" w:hint="eastAsia"/>
          <w:b/>
          <w:bCs/>
          <w:sz w:val="24"/>
          <w:szCs w:val="24"/>
          <w:lang w:eastAsia="zh-CN"/>
        </w:rPr>
        <w:t>新增销售基金及业务范围</w:t>
      </w:r>
    </w:p>
    <w:tbl>
      <w:tblPr>
        <w:tblW w:w="5724" w:type="pct"/>
        <w:tblInd w:w="-879" w:type="dxa"/>
        <w:tblLayout w:type="fixed"/>
        <w:tblLook w:val="04A0"/>
      </w:tblPr>
      <w:tblGrid>
        <w:gridCol w:w="868"/>
        <w:gridCol w:w="3583"/>
        <w:gridCol w:w="1679"/>
        <w:gridCol w:w="4535"/>
      </w:tblGrid>
      <w:tr w:rsidR="002438E6">
        <w:trPr>
          <w:trHeight w:val="627"/>
        </w:trPr>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b/>
                <w:bCs/>
                <w:color w:val="000000"/>
                <w:sz w:val="24"/>
                <w:szCs w:val="24"/>
              </w:rPr>
            </w:pPr>
            <w:r>
              <w:rPr>
                <w:rFonts w:hint="eastAsia"/>
                <w:b/>
                <w:bCs/>
                <w:color w:val="000000"/>
                <w:sz w:val="24"/>
                <w:szCs w:val="24"/>
              </w:rPr>
              <w:t>序号</w:t>
            </w:r>
          </w:p>
        </w:tc>
        <w:tc>
          <w:tcPr>
            <w:tcW w:w="1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b/>
                <w:bCs/>
                <w:color w:val="000000"/>
                <w:sz w:val="24"/>
                <w:szCs w:val="24"/>
              </w:rPr>
            </w:pPr>
            <w:r>
              <w:rPr>
                <w:rFonts w:hint="eastAsia"/>
                <w:b/>
                <w:bCs/>
                <w:color w:val="000000"/>
                <w:sz w:val="24"/>
                <w:szCs w:val="24"/>
              </w:rPr>
              <w:t>基金名称</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b/>
                <w:bCs/>
                <w:color w:val="000000"/>
                <w:sz w:val="24"/>
                <w:szCs w:val="24"/>
              </w:rPr>
            </w:pPr>
            <w:r>
              <w:rPr>
                <w:rFonts w:hint="eastAsia"/>
                <w:b/>
                <w:bCs/>
                <w:color w:val="000000"/>
                <w:sz w:val="24"/>
                <w:szCs w:val="24"/>
              </w:rPr>
              <w:t>基金代码</w:t>
            </w:r>
          </w:p>
        </w:tc>
        <w:tc>
          <w:tcPr>
            <w:tcW w:w="2123" w:type="pct"/>
            <w:tcBorders>
              <w:top w:val="single" w:sz="4" w:space="0" w:color="000000"/>
              <w:left w:val="single" w:sz="4" w:space="0" w:color="000000"/>
              <w:bottom w:val="single" w:sz="4" w:space="0" w:color="auto"/>
              <w:right w:val="single" w:sz="4" w:space="0" w:color="000000"/>
            </w:tcBorders>
            <w:shd w:val="clear" w:color="auto" w:fill="auto"/>
            <w:vAlign w:val="center"/>
          </w:tcPr>
          <w:p w:rsidR="002438E6" w:rsidRDefault="007F4EF5">
            <w:pPr>
              <w:widowControl/>
              <w:jc w:val="center"/>
              <w:textAlignment w:val="center"/>
              <w:rPr>
                <w:b/>
                <w:bCs/>
                <w:color w:val="000000"/>
                <w:sz w:val="24"/>
                <w:szCs w:val="24"/>
              </w:rPr>
            </w:pPr>
            <w:r>
              <w:rPr>
                <w:rFonts w:hint="eastAsia"/>
                <w:b/>
                <w:bCs/>
                <w:sz w:val="24"/>
                <w:szCs w:val="24"/>
              </w:rPr>
              <w:t>开通业务</w:t>
            </w:r>
          </w:p>
        </w:tc>
      </w:tr>
      <w:tr w:rsidR="002438E6">
        <w:trPr>
          <w:trHeight w:val="566"/>
        </w:trPr>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w:t>
            </w:r>
          </w:p>
        </w:tc>
        <w:tc>
          <w:tcPr>
            <w:tcW w:w="1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东方金元宝货币市场基金</w:t>
            </w:r>
            <w:r>
              <w:rPr>
                <w:rFonts w:ascii="微软雅黑" w:eastAsia="微软雅黑" w:hAnsi="微软雅黑" w:cs="微软雅黑" w:hint="eastAsia"/>
                <w:color w:val="000000"/>
                <w:sz w:val="24"/>
                <w:szCs w:val="24"/>
              </w:rPr>
              <w:t>A</w:t>
            </w:r>
            <w:r>
              <w:rPr>
                <w:rFonts w:ascii="微软雅黑" w:eastAsia="微软雅黑" w:hAnsi="微软雅黑" w:cs="微软雅黑" w:hint="eastAsia"/>
                <w:color w:val="000000"/>
                <w:sz w:val="24"/>
                <w:szCs w:val="24"/>
              </w:rPr>
              <w:t>类</w:t>
            </w:r>
          </w:p>
        </w:tc>
        <w:tc>
          <w:tcPr>
            <w:tcW w:w="787" w:type="pct"/>
            <w:tcBorders>
              <w:top w:val="single" w:sz="4" w:space="0" w:color="000000"/>
              <w:left w:val="single" w:sz="4" w:space="0" w:color="000000"/>
              <w:bottom w:val="single" w:sz="4" w:space="0" w:color="000000"/>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001987</w:t>
            </w:r>
          </w:p>
        </w:tc>
        <w:tc>
          <w:tcPr>
            <w:tcW w:w="21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开户、申购、赎回、定期定额投资、转换业务（仅限前端申购模式）</w:t>
            </w:r>
          </w:p>
        </w:tc>
      </w:tr>
      <w:tr w:rsidR="002438E6">
        <w:trPr>
          <w:trHeight w:val="569"/>
        </w:trPr>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w:t>
            </w:r>
          </w:p>
        </w:tc>
        <w:tc>
          <w:tcPr>
            <w:tcW w:w="1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东方金元宝货币市场基金</w:t>
            </w:r>
            <w:r>
              <w:rPr>
                <w:rFonts w:ascii="微软雅黑" w:eastAsia="微软雅黑" w:hAnsi="微软雅黑" w:cs="微软雅黑" w:hint="eastAsia"/>
                <w:color w:val="000000"/>
                <w:sz w:val="24"/>
                <w:szCs w:val="24"/>
              </w:rPr>
              <w:t>C</w:t>
            </w:r>
            <w:r>
              <w:rPr>
                <w:rFonts w:ascii="微软雅黑" w:eastAsia="微软雅黑" w:hAnsi="微软雅黑" w:cs="微软雅黑" w:hint="eastAsia"/>
                <w:color w:val="000000"/>
                <w:sz w:val="24"/>
                <w:szCs w:val="24"/>
              </w:rPr>
              <w:t>类</w:t>
            </w:r>
          </w:p>
        </w:tc>
        <w:tc>
          <w:tcPr>
            <w:tcW w:w="787" w:type="pct"/>
            <w:tcBorders>
              <w:top w:val="single" w:sz="4" w:space="0" w:color="000000"/>
              <w:left w:val="single" w:sz="4" w:space="0" w:color="000000"/>
              <w:bottom w:val="single" w:sz="4" w:space="0" w:color="000000"/>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lang w:eastAsia="zh-CN"/>
              </w:rPr>
            </w:pPr>
            <w:r>
              <w:rPr>
                <w:rFonts w:ascii="微软雅黑" w:eastAsia="微软雅黑" w:hAnsi="微软雅黑" w:cs="微软雅黑" w:hint="eastAsia"/>
                <w:color w:val="000000"/>
                <w:sz w:val="24"/>
                <w:szCs w:val="24"/>
              </w:rPr>
              <w:t>019507</w:t>
            </w:r>
          </w:p>
        </w:tc>
        <w:tc>
          <w:tcPr>
            <w:tcW w:w="21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38E6" w:rsidRDefault="002438E6">
            <w:pPr>
              <w:widowControl/>
              <w:jc w:val="center"/>
              <w:textAlignment w:val="center"/>
              <w:rPr>
                <w:rFonts w:ascii="微软雅黑" w:eastAsia="微软雅黑" w:hAnsi="微软雅黑" w:cs="微软雅黑"/>
                <w:color w:val="000000"/>
                <w:sz w:val="24"/>
                <w:szCs w:val="24"/>
              </w:rPr>
            </w:pPr>
          </w:p>
        </w:tc>
      </w:tr>
      <w:tr w:rsidR="002438E6">
        <w:trPr>
          <w:trHeight w:val="533"/>
        </w:trPr>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lang w:eastAsia="zh-CN"/>
              </w:rPr>
            </w:pPr>
            <w:r>
              <w:rPr>
                <w:rFonts w:ascii="微软雅黑" w:eastAsia="微软雅黑" w:hAnsi="微软雅黑" w:cs="微软雅黑" w:hint="eastAsia"/>
                <w:color w:val="000000"/>
                <w:sz w:val="24"/>
                <w:szCs w:val="24"/>
                <w:lang w:eastAsia="zh-CN"/>
              </w:rPr>
              <w:t>3</w:t>
            </w:r>
          </w:p>
        </w:tc>
        <w:tc>
          <w:tcPr>
            <w:tcW w:w="1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东方金证通货币市场基金</w:t>
            </w:r>
            <w:r>
              <w:rPr>
                <w:rFonts w:ascii="微软雅黑" w:eastAsia="微软雅黑" w:hAnsi="微软雅黑" w:cs="微软雅黑" w:hint="eastAsia"/>
                <w:color w:val="000000"/>
                <w:sz w:val="24"/>
                <w:szCs w:val="24"/>
                <w:lang w:eastAsia="zh-CN"/>
              </w:rPr>
              <w:t>B</w:t>
            </w:r>
            <w:r>
              <w:rPr>
                <w:rFonts w:ascii="微软雅黑" w:eastAsia="微软雅黑" w:hAnsi="微软雅黑" w:cs="微软雅黑" w:hint="eastAsia"/>
                <w:color w:val="000000"/>
                <w:sz w:val="24"/>
                <w:szCs w:val="24"/>
              </w:rPr>
              <w:t>类</w:t>
            </w:r>
          </w:p>
        </w:tc>
        <w:tc>
          <w:tcPr>
            <w:tcW w:w="787" w:type="pct"/>
            <w:tcBorders>
              <w:top w:val="single" w:sz="4" w:space="0" w:color="000000"/>
              <w:left w:val="single" w:sz="4" w:space="0" w:color="000000"/>
              <w:bottom w:val="single" w:sz="4" w:space="0" w:color="000000"/>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009976</w:t>
            </w:r>
          </w:p>
        </w:tc>
        <w:tc>
          <w:tcPr>
            <w:tcW w:w="21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38E6" w:rsidRDefault="002438E6">
            <w:pPr>
              <w:widowControl/>
              <w:jc w:val="center"/>
              <w:textAlignment w:val="center"/>
              <w:rPr>
                <w:rFonts w:ascii="微软雅黑" w:eastAsia="微软雅黑" w:hAnsi="微软雅黑" w:cs="微软雅黑"/>
                <w:color w:val="000000"/>
                <w:sz w:val="24"/>
                <w:szCs w:val="24"/>
              </w:rPr>
            </w:pPr>
          </w:p>
        </w:tc>
      </w:tr>
      <w:tr w:rsidR="002438E6">
        <w:trPr>
          <w:trHeight w:val="555"/>
        </w:trPr>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lang w:eastAsia="zh-CN"/>
              </w:rPr>
            </w:pPr>
            <w:r>
              <w:rPr>
                <w:rFonts w:ascii="微软雅黑" w:eastAsia="微软雅黑" w:hAnsi="微软雅黑" w:cs="微软雅黑" w:hint="eastAsia"/>
                <w:color w:val="000000"/>
                <w:sz w:val="24"/>
                <w:szCs w:val="24"/>
                <w:lang w:eastAsia="zh-CN"/>
              </w:rPr>
              <w:t>4</w:t>
            </w:r>
          </w:p>
        </w:tc>
        <w:tc>
          <w:tcPr>
            <w:tcW w:w="1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东方金证通货币市场基金</w:t>
            </w:r>
            <w:r>
              <w:rPr>
                <w:rFonts w:ascii="微软雅黑" w:eastAsia="微软雅黑" w:hAnsi="微软雅黑" w:cs="微软雅黑" w:hint="eastAsia"/>
                <w:color w:val="000000"/>
                <w:sz w:val="24"/>
                <w:szCs w:val="24"/>
                <w:lang w:eastAsia="zh-CN"/>
              </w:rPr>
              <w:t>A</w:t>
            </w:r>
            <w:r>
              <w:rPr>
                <w:rFonts w:ascii="微软雅黑" w:eastAsia="微软雅黑" w:hAnsi="微软雅黑" w:cs="微软雅黑" w:hint="eastAsia"/>
                <w:color w:val="000000"/>
                <w:sz w:val="24"/>
                <w:szCs w:val="24"/>
              </w:rPr>
              <w:t>类</w:t>
            </w:r>
          </w:p>
        </w:tc>
        <w:tc>
          <w:tcPr>
            <w:tcW w:w="787" w:type="pct"/>
            <w:tcBorders>
              <w:top w:val="single" w:sz="4" w:space="0" w:color="000000"/>
              <w:left w:val="single" w:sz="4" w:space="0" w:color="000000"/>
              <w:bottom w:val="single" w:sz="4" w:space="0" w:color="000000"/>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lang w:eastAsia="zh-CN"/>
              </w:rPr>
            </w:pPr>
            <w:r>
              <w:rPr>
                <w:rFonts w:ascii="微软雅黑" w:eastAsia="微软雅黑" w:hAnsi="微软雅黑" w:cs="微软雅黑" w:hint="eastAsia"/>
                <w:color w:val="000000"/>
                <w:sz w:val="24"/>
                <w:szCs w:val="24"/>
              </w:rPr>
              <w:t>00</w:t>
            </w:r>
            <w:r>
              <w:rPr>
                <w:rFonts w:ascii="微软雅黑" w:eastAsia="微软雅黑" w:hAnsi="微软雅黑" w:cs="微软雅黑" w:hint="eastAsia"/>
                <w:color w:val="000000"/>
                <w:sz w:val="24"/>
                <w:szCs w:val="24"/>
                <w:lang w:eastAsia="zh-CN"/>
              </w:rPr>
              <w:t>2243</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rsidR="002438E6" w:rsidRDefault="007F4EF5">
            <w:pPr>
              <w:widowControl/>
              <w:jc w:val="center"/>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开户、申购、赎回</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仅限前端申购模式</w:t>
            </w:r>
            <w:r>
              <w:rPr>
                <w:rFonts w:ascii="微软雅黑" w:eastAsia="微软雅黑" w:hAnsi="微软雅黑" w:cs="微软雅黑" w:hint="eastAsia"/>
                <w:color w:val="000000"/>
                <w:sz w:val="24"/>
                <w:szCs w:val="24"/>
              </w:rPr>
              <w:t>)</w:t>
            </w:r>
          </w:p>
        </w:tc>
      </w:tr>
      <w:tr w:rsidR="002438E6">
        <w:trPr>
          <w:trHeight w:val="26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38E6" w:rsidRDefault="007F4EF5">
            <w:pPr>
              <w:rPr>
                <w:sz w:val="24"/>
                <w:szCs w:val="24"/>
              </w:rPr>
            </w:pPr>
            <w:r>
              <w:rPr>
                <w:rFonts w:ascii="微软雅黑" w:eastAsia="微软雅黑" w:hAnsi="微软雅黑" w:cs="微软雅黑" w:hint="eastAsia"/>
                <w:sz w:val="24"/>
                <w:szCs w:val="24"/>
              </w:rPr>
              <w:t>备注：</w:t>
            </w:r>
          </w:p>
          <w:p w:rsidR="002438E6" w:rsidRDefault="007F4EF5">
            <w:pPr>
              <w:numPr>
                <w:ilvl w:val="0"/>
                <w:numId w:val="2"/>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lang w:eastAsia="zh-CN"/>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lang w:eastAsia="zh-CN"/>
              </w:rPr>
              <w:t>8</w:t>
            </w:r>
            <w:r>
              <w:rPr>
                <w:rFonts w:ascii="微软雅黑" w:eastAsia="微软雅黑" w:hAnsi="微软雅黑" w:cs="微软雅黑" w:hint="eastAsia"/>
                <w:sz w:val="24"/>
                <w:szCs w:val="24"/>
              </w:rPr>
              <w:t>日起，本基金管理人暂停接受投资者对东方金元宝货币市场基金（</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类）的单笔金额</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万元）。对于超过限额的申请，本基金管理人有权拒绝，不予确认。</w:t>
            </w:r>
          </w:p>
          <w:p w:rsidR="002438E6" w:rsidRDefault="007F4EF5">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2.</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lang w:eastAsia="zh-CN"/>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lang w:eastAsia="zh-CN"/>
              </w:rPr>
              <w:t>8</w:t>
            </w:r>
            <w:r>
              <w:rPr>
                <w:rFonts w:ascii="微软雅黑" w:eastAsia="微软雅黑" w:hAnsi="微软雅黑" w:cs="微软雅黑" w:hint="eastAsia"/>
                <w:sz w:val="24"/>
                <w:szCs w:val="24"/>
              </w:rPr>
              <w:t>日起，本基金管理人暂停接受投资者对东方金证通货币市场基金的单笔金额</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万元）申购（包括日常申购和定期定额申购）、转换转入申请，且单个</w:t>
            </w:r>
            <w:r>
              <w:rPr>
                <w:rFonts w:ascii="微软雅黑" w:eastAsia="微软雅黑" w:hAnsi="微软雅黑" w:cs="微软雅黑" w:hint="eastAsia"/>
                <w:sz w:val="24"/>
                <w:szCs w:val="24"/>
              </w:rPr>
              <w:t>基金账户单日累计申购（包括日常申购和定期定额申购）及转换转入金额不得超过</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万元）。对于超过限额的申请，本基金管理人有权拒绝，不予确认。</w:t>
            </w:r>
          </w:p>
          <w:p w:rsidR="002438E6" w:rsidRDefault="007F4EF5">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3.</w:t>
            </w:r>
            <w:r>
              <w:rPr>
                <w:rFonts w:ascii="微软雅黑" w:eastAsia="微软雅黑" w:hAnsi="微软雅黑" w:cs="微软雅黑" w:hint="eastAsia"/>
                <w:sz w:val="24"/>
                <w:szCs w:val="24"/>
              </w:rPr>
              <w:t>根据</w:t>
            </w:r>
            <w:r>
              <w:rPr>
                <w:rFonts w:ascii="微软雅黑" w:eastAsia="微软雅黑" w:hAnsi="微软雅黑" w:cs="微软雅黑" w:hint="eastAsia"/>
                <w:sz w:val="24"/>
                <w:szCs w:val="24"/>
              </w:rPr>
              <w:t>2019</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日披露的《东方金证通货币市场基金暂停转换业务及定期定额投资业务公告》，东方金证通货币市场基金</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类份额（基金代码：</w:t>
            </w:r>
            <w:r>
              <w:rPr>
                <w:rFonts w:ascii="微软雅黑" w:eastAsia="微软雅黑" w:hAnsi="微软雅黑" w:cs="微软雅黑" w:hint="eastAsia"/>
                <w:sz w:val="24"/>
                <w:szCs w:val="24"/>
              </w:rPr>
              <w:t>002243</w:t>
            </w:r>
            <w:r>
              <w:rPr>
                <w:rFonts w:ascii="微软雅黑" w:eastAsia="微软雅黑" w:hAnsi="微软雅黑" w:cs="微软雅黑" w:hint="eastAsia"/>
                <w:sz w:val="24"/>
                <w:szCs w:val="24"/>
              </w:rPr>
              <w:t>）暂停转换业务及定期定额投资业务。恢复办理东方金证通货币</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的转换业务及定期定额投资业务的日期，本基金管理人将另行公告。</w:t>
            </w:r>
          </w:p>
          <w:p w:rsidR="002438E6" w:rsidRDefault="002438E6">
            <w:pPr>
              <w:widowControl/>
              <w:rPr>
                <w:sz w:val="24"/>
                <w:szCs w:val="24"/>
              </w:rPr>
            </w:pPr>
          </w:p>
          <w:p w:rsidR="002438E6" w:rsidRDefault="007F4EF5">
            <w:pPr>
              <w:widowControl/>
              <w:rPr>
                <w:sz w:val="21"/>
                <w:szCs w:val="21"/>
              </w:rPr>
            </w:pPr>
            <w:r>
              <w:rPr>
                <w:rFonts w:ascii="微软雅黑" w:eastAsia="微软雅黑" w:hAnsi="微软雅黑" w:cs="微软雅黑" w:hint="eastAsia"/>
                <w:sz w:val="24"/>
                <w:szCs w:val="24"/>
              </w:rPr>
              <w:lastRenderedPageBreak/>
              <w:t>后续产品上线及业务开通事宜本公司将另行公告。</w:t>
            </w:r>
          </w:p>
        </w:tc>
      </w:tr>
    </w:tbl>
    <w:p w:rsidR="002438E6" w:rsidRDefault="007F4EF5" w:rsidP="007F4EF5">
      <w:pPr>
        <w:spacing w:beforeLines="50" w:line="360" w:lineRule="auto"/>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lastRenderedPageBreak/>
        <w:t>二、费率优惠安排</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1.</w:t>
      </w:r>
      <w:r>
        <w:rPr>
          <w:rFonts w:ascii="微软雅黑" w:eastAsia="微软雅黑" w:hAnsi="微软雅黑" w:cs="微软雅黑" w:hint="eastAsia"/>
          <w:lang w:eastAsia="zh-CN"/>
        </w:rPr>
        <w:t>费率优惠内容</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自</w:t>
      </w:r>
      <w:r>
        <w:rPr>
          <w:rFonts w:ascii="微软雅黑" w:eastAsia="微软雅黑" w:hAnsi="微软雅黑" w:cs="微软雅黑" w:hint="eastAsia"/>
          <w:lang w:eastAsia="zh-CN"/>
        </w:rPr>
        <w:t>2</w:t>
      </w:r>
      <w:r>
        <w:rPr>
          <w:rFonts w:ascii="微软雅黑" w:eastAsia="微软雅黑" w:hAnsi="微软雅黑" w:cs="微软雅黑" w:hint="eastAsia"/>
          <w:lang w:eastAsia="zh-CN"/>
        </w:rPr>
        <w:t>024</w:t>
      </w:r>
      <w:r>
        <w:rPr>
          <w:rFonts w:ascii="微软雅黑" w:eastAsia="微软雅黑" w:hAnsi="微软雅黑" w:cs="微软雅黑" w:hint="eastAsia"/>
          <w:lang w:eastAsia="zh-CN"/>
        </w:rPr>
        <w:t>年</w:t>
      </w:r>
      <w:r>
        <w:rPr>
          <w:rFonts w:ascii="微软雅黑" w:eastAsia="微软雅黑" w:hAnsi="微软雅黑" w:cs="微软雅黑" w:hint="eastAsia"/>
          <w:lang w:eastAsia="zh-CN"/>
        </w:rPr>
        <w:t>12</w:t>
      </w:r>
      <w:r>
        <w:rPr>
          <w:rFonts w:ascii="微软雅黑" w:eastAsia="微软雅黑" w:hAnsi="微软雅黑" w:cs="微软雅黑" w:hint="eastAsia"/>
          <w:lang w:eastAsia="zh-CN"/>
        </w:rPr>
        <w:t>月</w:t>
      </w:r>
      <w:r>
        <w:rPr>
          <w:rFonts w:ascii="微软雅黑" w:eastAsia="微软雅黑" w:hAnsi="微软雅黑" w:cs="微软雅黑" w:hint="eastAsia"/>
          <w:lang w:eastAsia="zh-CN"/>
        </w:rPr>
        <w:t>24</w:t>
      </w:r>
      <w:r>
        <w:rPr>
          <w:rFonts w:ascii="微软雅黑" w:eastAsia="微软雅黑" w:hAnsi="微软雅黑" w:cs="微软雅黑" w:hint="eastAsia"/>
          <w:lang w:eastAsia="zh-CN"/>
        </w:rPr>
        <w:t>日起</w:t>
      </w:r>
      <w:r>
        <w:rPr>
          <w:rFonts w:ascii="微软雅黑" w:eastAsia="微软雅黑" w:hAnsi="微软雅黑" w:cs="微软雅黑" w:hint="eastAsia"/>
          <w:lang w:eastAsia="zh-CN"/>
        </w:rPr>
        <w:t>，投资者通过</w:t>
      </w:r>
      <w:r>
        <w:rPr>
          <w:rFonts w:ascii="微软雅黑" w:eastAsia="微软雅黑" w:hAnsi="微软雅黑" w:cs="微软雅黑" w:hint="eastAsia"/>
          <w:lang w:eastAsia="zh-CN"/>
        </w:rPr>
        <w:t>华福证券</w:t>
      </w:r>
      <w:r>
        <w:rPr>
          <w:rFonts w:ascii="微软雅黑" w:eastAsia="微软雅黑" w:hAnsi="微软雅黑" w:cs="微软雅黑" w:hint="eastAsia"/>
          <w:lang w:eastAsia="zh-CN"/>
        </w:rPr>
        <w:t>申购</w:t>
      </w:r>
      <w:r>
        <w:rPr>
          <w:rFonts w:ascii="微软雅黑" w:eastAsia="微软雅黑" w:hAnsi="微软雅黑" w:cs="微软雅黑" w:hint="eastAsia"/>
          <w:lang w:eastAsia="zh-CN"/>
        </w:rPr>
        <w:t>(</w:t>
      </w:r>
      <w:r>
        <w:rPr>
          <w:rFonts w:ascii="微软雅黑" w:eastAsia="微软雅黑" w:hAnsi="微软雅黑" w:cs="微软雅黑" w:hint="eastAsia"/>
          <w:lang w:eastAsia="zh-CN"/>
        </w:rPr>
        <w:t>含定期定额投资和转换转入，不含认购）本公司基金（仅限前端申购模式），申购</w:t>
      </w:r>
      <w:r>
        <w:rPr>
          <w:rFonts w:ascii="微软雅黑" w:eastAsia="微软雅黑" w:hAnsi="微软雅黑" w:cs="微软雅黑" w:hint="eastAsia"/>
          <w:lang w:eastAsia="zh-CN"/>
        </w:rPr>
        <w:t>(</w:t>
      </w:r>
      <w:r>
        <w:rPr>
          <w:rFonts w:ascii="微软雅黑" w:eastAsia="微软雅黑" w:hAnsi="微软雅黑" w:cs="微软雅黑" w:hint="eastAsia"/>
          <w:lang w:eastAsia="zh-CN"/>
        </w:rPr>
        <w:t>含定期定额投资和转换转入，不含认购）费率享有优惠，具体费率折扣和优惠活动期限以</w:t>
      </w:r>
      <w:r>
        <w:rPr>
          <w:rFonts w:ascii="微软雅黑" w:eastAsia="微软雅黑" w:hAnsi="微软雅黑" w:cs="微软雅黑" w:hint="eastAsia"/>
          <w:lang w:eastAsia="zh-CN"/>
        </w:rPr>
        <w:t>华福证券</w:t>
      </w:r>
      <w:r>
        <w:rPr>
          <w:rFonts w:ascii="微软雅黑" w:eastAsia="微软雅黑" w:hAnsi="微软雅黑" w:cs="微软雅黑" w:hint="eastAsia"/>
          <w:lang w:eastAsia="zh-CN"/>
        </w:rPr>
        <w:t>规定为准。优惠前基金费率为固定费用的，则按原费率或固定费用执行，不再享有费率折扣。</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适用基金范围</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本公司管理的且在</w:t>
      </w:r>
      <w:r>
        <w:rPr>
          <w:rFonts w:ascii="微软雅黑" w:eastAsia="微软雅黑" w:hAnsi="微软雅黑" w:cs="微软雅黑" w:hint="eastAsia"/>
          <w:lang w:eastAsia="zh-CN"/>
        </w:rPr>
        <w:t>华福证券</w:t>
      </w:r>
      <w:r>
        <w:rPr>
          <w:rFonts w:ascii="微软雅黑" w:eastAsia="微软雅黑" w:hAnsi="微软雅黑" w:cs="微软雅黑" w:hint="eastAsia"/>
          <w:lang w:eastAsia="zh-CN"/>
        </w:rPr>
        <w:t>销售的非零申购费率开放式基金。</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费率优惠期限内，如本公司新增通过</w:t>
      </w:r>
      <w:r>
        <w:rPr>
          <w:rFonts w:ascii="微软雅黑" w:eastAsia="微软雅黑" w:hAnsi="微软雅黑" w:cs="微软雅黑" w:hint="eastAsia"/>
          <w:lang w:eastAsia="zh-CN"/>
        </w:rPr>
        <w:t>华福证券</w:t>
      </w:r>
      <w:r>
        <w:rPr>
          <w:rFonts w:ascii="微软雅黑" w:eastAsia="微软雅黑" w:hAnsi="微软雅黑" w:cs="微软雅黑" w:hint="eastAsia"/>
          <w:lang w:eastAsia="zh-CN"/>
        </w:rPr>
        <w:t>销售的基金，则自该基金开放申购（含定期定额投资和转换转入，不含认购）当日起，自动参与上述申购费率优惠活动</w:t>
      </w:r>
      <w:r>
        <w:rPr>
          <w:rFonts w:ascii="微软雅黑" w:eastAsia="微软雅黑" w:hAnsi="微软雅黑" w:cs="微软雅黑" w:hint="eastAsia"/>
          <w:lang w:eastAsia="zh-CN"/>
        </w:rPr>
        <w:t>(</w:t>
      </w:r>
      <w:r>
        <w:rPr>
          <w:rFonts w:ascii="微软雅黑" w:eastAsia="微软雅黑" w:hAnsi="微软雅黑" w:cs="微软雅黑" w:hint="eastAsia"/>
          <w:lang w:eastAsia="zh-CN"/>
        </w:rPr>
        <w:t>仅限前端申购模式</w:t>
      </w:r>
      <w:r>
        <w:rPr>
          <w:rFonts w:ascii="微软雅黑" w:eastAsia="微软雅黑" w:hAnsi="微软雅黑" w:cs="微软雅黑" w:hint="eastAsia"/>
          <w:lang w:eastAsia="zh-CN"/>
        </w:rPr>
        <w:t>)</w:t>
      </w:r>
      <w:r>
        <w:rPr>
          <w:rFonts w:ascii="微软雅黑" w:eastAsia="微软雅黑" w:hAnsi="微软雅黑" w:cs="微软雅黑" w:hint="eastAsia"/>
          <w:lang w:eastAsia="zh-CN"/>
        </w:rPr>
        <w:t>，本公司不再另行公告。</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费率优惠期限</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截止时间以</w:t>
      </w:r>
      <w:r>
        <w:rPr>
          <w:rFonts w:ascii="微软雅黑" w:eastAsia="微软雅黑" w:hAnsi="微软雅黑" w:cs="微软雅黑" w:hint="eastAsia"/>
          <w:lang w:eastAsia="zh-CN"/>
        </w:rPr>
        <w:t>华福证券</w:t>
      </w:r>
      <w:r>
        <w:rPr>
          <w:rFonts w:ascii="微软雅黑" w:eastAsia="微软雅黑" w:hAnsi="微软雅黑" w:cs="微软雅黑" w:hint="eastAsia"/>
          <w:lang w:eastAsia="zh-CN"/>
        </w:rPr>
        <w:t>官方网站公告为准。</w:t>
      </w:r>
    </w:p>
    <w:p w:rsidR="002438E6" w:rsidRDefault="007F4EF5" w:rsidP="007F4EF5">
      <w:pPr>
        <w:spacing w:beforeLines="50" w:line="360" w:lineRule="auto"/>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t>三、</w:t>
      </w:r>
      <w:bookmarkStart w:id="2" w:name="三、重要提示"/>
      <w:bookmarkEnd w:id="2"/>
      <w:r>
        <w:rPr>
          <w:rFonts w:ascii="微软雅黑" w:eastAsia="微软雅黑" w:hAnsi="微软雅黑" w:cs="微软雅黑" w:hint="eastAsia"/>
          <w:b/>
          <w:bCs/>
          <w:sz w:val="24"/>
          <w:szCs w:val="24"/>
          <w:lang w:eastAsia="zh-CN"/>
        </w:rPr>
        <w:t>重要提示</w:t>
      </w:r>
    </w:p>
    <w:p w:rsidR="002438E6" w:rsidRDefault="007F4EF5" w:rsidP="007F4EF5">
      <w:pPr>
        <w:spacing w:beforeLines="50" w:line="360" w:lineRule="auto"/>
        <w:ind w:firstLineChars="200" w:firstLine="440"/>
        <w:rPr>
          <w:rFonts w:ascii="微软雅黑" w:eastAsia="微软雅黑" w:hAnsi="微软雅黑" w:cs="微软雅黑"/>
          <w:lang w:eastAsia="zh-CN"/>
        </w:rPr>
      </w:pPr>
      <w:bookmarkStart w:id="3" w:name="四、投资者可通过以下途径咨询有关详情"/>
      <w:bookmarkEnd w:id="3"/>
      <w:r>
        <w:rPr>
          <w:rFonts w:ascii="微软雅黑" w:eastAsia="微软雅黑" w:hAnsi="微软雅黑" w:cs="微软雅黑" w:hint="eastAsia"/>
          <w:lang w:eastAsia="zh-CN"/>
        </w:rPr>
        <w:t>1.</w:t>
      </w:r>
      <w:r>
        <w:rPr>
          <w:rFonts w:ascii="微软雅黑" w:eastAsia="微软雅黑" w:hAnsi="微软雅黑" w:cs="微软雅黑" w:hint="eastAsia"/>
          <w:lang w:eastAsia="zh-CN"/>
        </w:rPr>
        <w:t>上述基金费率请详见基金的《基金合同》、《招募说明书（更新）》、《基金产品资料概要》等相关法律文件及本公司发布的最新业务公告。</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定期定额投资业务不额外收取手续费用，定期定额申购费率与相关基金的日常的申购费率相同。</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基金转换是指投资者可将其持有的本公司旗下某只开放式基金的全部或部分基金</w:t>
      </w:r>
      <w:r>
        <w:rPr>
          <w:rFonts w:ascii="微软雅黑" w:eastAsia="微软雅黑" w:hAnsi="微软雅黑" w:cs="微软雅黑" w:hint="eastAsia"/>
          <w:lang w:eastAsia="zh-CN"/>
        </w:rPr>
        <w:t>份额转换为本公司管理的另一只开放式基金份额的交易行为。上述基金列表中的基金，若同时采用前端收费和后端收费，则只开通前端收费模式下的转换业务。</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lastRenderedPageBreak/>
        <w:t>4.</w:t>
      </w:r>
      <w:r>
        <w:rPr>
          <w:rFonts w:ascii="微软雅黑" w:eastAsia="微软雅黑" w:hAnsi="微软雅黑" w:cs="微软雅黑" w:hint="eastAsia"/>
          <w:lang w:eastAsia="zh-CN"/>
        </w:rPr>
        <w:t>业务办理的业务规则和流程以上述机构的安排和规定为准。相关活动的具体规定如有变化，以上述机构网站或平台的最新公告为准，敬请投资者关注。</w:t>
      </w:r>
    </w:p>
    <w:p w:rsidR="002438E6" w:rsidRDefault="007F4EF5" w:rsidP="007F4EF5">
      <w:pPr>
        <w:spacing w:beforeLines="50" w:line="360" w:lineRule="auto"/>
        <w:ind w:firstLineChars="200" w:firstLine="480"/>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t>四、投资者可通过以下途径咨询有关详情</w:t>
      </w:r>
    </w:p>
    <w:p w:rsidR="002438E6" w:rsidRDefault="007F4EF5" w:rsidP="007F4EF5">
      <w:pPr>
        <w:pStyle w:val="a4"/>
        <w:spacing w:beforeLines="50" w:line="360" w:lineRule="auto"/>
        <w:ind w:left="0" w:firstLineChars="200"/>
        <w:rPr>
          <w:rFonts w:ascii="微软雅黑" w:eastAsia="微软雅黑" w:hAnsi="微软雅黑" w:cs="微软雅黑"/>
          <w:lang w:eastAsia="zh-CN"/>
        </w:rPr>
      </w:pPr>
      <w:r>
        <w:rPr>
          <w:rFonts w:ascii="微软雅黑" w:eastAsia="微软雅黑" w:hAnsi="微软雅黑" w:cs="微软雅黑" w:hint="eastAsia"/>
          <w:lang w:eastAsia="zh-CN"/>
        </w:rPr>
        <w:t>1</w:t>
      </w:r>
      <w:r>
        <w:rPr>
          <w:rFonts w:ascii="微软雅黑" w:eastAsia="微软雅黑" w:hAnsi="微软雅黑" w:cs="微软雅黑" w:hint="eastAsia"/>
          <w:lang w:eastAsia="zh-CN"/>
        </w:rPr>
        <w:t>、华福证券有限责任公司</w:t>
      </w:r>
    </w:p>
    <w:p w:rsidR="002438E6" w:rsidRDefault="007F4EF5" w:rsidP="007F4EF5">
      <w:pPr>
        <w:pStyle w:val="a4"/>
        <w:spacing w:beforeLines="50" w:line="360" w:lineRule="auto"/>
        <w:ind w:left="0" w:firstLineChars="350" w:firstLine="840"/>
        <w:rPr>
          <w:rFonts w:ascii="微软雅黑" w:eastAsia="微软雅黑" w:hAnsi="微软雅黑" w:cs="微软雅黑"/>
          <w:lang w:eastAsia="zh-CN"/>
        </w:rPr>
      </w:pPr>
      <w:r>
        <w:rPr>
          <w:rFonts w:ascii="微软雅黑" w:eastAsia="微软雅黑" w:hAnsi="微软雅黑" w:cs="微软雅黑" w:hint="eastAsia"/>
          <w:lang w:eastAsia="zh-CN"/>
        </w:rPr>
        <w:t>客服电话：</w:t>
      </w:r>
      <w:r>
        <w:rPr>
          <w:rFonts w:ascii="微软雅黑" w:eastAsia="微软雅黑" w:hAnsi="微软雅黑" w:cs="微软雅黑" w:hint="eastAsia"/>
          <w:lang w:eastAsia="zh-CN"/>
        </w:rPr>
        <w:t>955</w:t>
      </w:r>
      <w:r>
        <w:rPr>
          <w:rFonts w:ascii="微软雅黑" w:eastAsia="微软雅黑" w:hAnsi="微软雅黑" w:cs="微软雅黑" w:hint="eastAsia"/>
          <w:lang w:eastAsia="zh-CN"/>
        </w:rPr>
        <w:t>47</w:t>
      </w:r>
      <w:bookmarkStart w:id="4" w:name="_GoBack"/>
      <w:bookmarkEnd w:id="4"/>
    </w:p>
    <w:p w:rsidR="002438E6" w:rsidRDefault="007F4EF5" w:rsidP="007F4EF5">
      <w:pPr>
        <w:pStyle w:val="a4"/>
        <w:spacing w:beforeLines="50" w:line="360" w:lineRule="auto"/>
        <w:ind w:left="0" w:firstLineChars="350" w:firstLine="840"/>
        <w:rPr>
          <w:rFonts w:ascii="微软雅黑" w:eastAsia="微软雅黑" w:hAnsi="微软雅黑" w:cs="微软雅黑"/>
          <w:lang w:eastAsia="zh-CN"/>
        </w:rPr>
      </w:pPr>
      <w:r>
        <w:rPr>
          <w:rFonts w:ascii="微软雅黑" w:eastAsia="微软雅黑" w:hAnsi="微软雅黑" w:cs="微软雅黑" w:hint="eastAsia"/>
          <w:lang w:eastAsia="zh-CN"/>
        </w:rPr>
        <w:t>网址：</w:t>
      </w:r>
      <w:r>
        <w:rPr>
          <w:rFonts w:ascii="微软雅黑" w:eastAsia="微软雅黑" w:hAnsi="微软雅黑" w:cs="微软雅黑" w:hint="eastAsia"/>
          <w:lang w:eastAsia="zh-CN"/>
        </w:rPr>
        <w:t>www.hfzq.com.cn</w:t>
      </w:r>
    </w:p>
    <w:p w:rsidR="002438E6" w:rsidRDefault="007F4EF5" w:rsidP="007F4EF5">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本公司客户服务中心电话：</w:t>
      </w:r>
      <w:r>
        <w:rPr>
          <w:rFonts w:ascii="微软雅黑" w:eastAsia="微软雅黑" w:hAnsi="微软雅黑" w:cs="微软雅黑" w:hint="eastAsia"/>
          <w:lang w:eastAsia="zh-CN"/>
        </w:rPr>
        <w:t>400-628-5888</w:t>
      </w:r>
    </w:p>
    <w:p w:rsidR="002438E6" w:rsidRDefault="007F4EF5" w:rsidP="007F4EF5">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lang w:eastAsia="zh-CN"/>
        </w:rPr>
        <w:t>网址：</w:t>
      </w:r>
      <w:r>
        <w:rPr>
          <w:rFonts w:ascii="微软雅黑" w:eastAsia="微软雅黑" w:hAnsi="微软雅黑" w:cs="微软雅黑" w:hint="eastAsia"/>
          <w:lang w:eastAsia="zh-CN"/>
        </w:rPr>
        <w:t>www.orient-fund.com</w:t>
      </w:r>
    </w:p>
    <w:p w:rsidR="002438E6" w:rsidRDefault="007F4EF5" w:rsidP="007F4EF5">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b/>
          <w:bCs/>
          <w:lang w:eastAsia="zh-CN"/>
        </w:rPr>
        <w:t>风险提示：</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基金管理人承诺以诚实信用、勤勉尽责的原则管理和运用基金资产，但不保证基金一定盈利，也不保证最低收益。基金管理人管理的基金业绩不构成对其他基金业绩表现的保证。基金管理人提醒投资人遵循基金投资“买者自负”的原则，应认真阅读《基金合同》、《招募说明书（更新）》、《基金产品资料概要》等基金法律文件，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2438E6" w:rsidRDefault="007F4EF5" w:rsidP="007F4EF5">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特此公</w:t>
      </w:r>
      <w:r>
        <w:rPr>
          <w:rFonts w:ascii="微软雅黑" w:eastAsia="微软雅黑" w:hAnsi="微软雅黑" w:cs="微软雅黑" w:hint="eastAsia"/>
          <w:lang w:eastAsia="zh-CN"/>
        </w:rPr>
        <w:t>告。</w:t>
      </w:r>
    </w:p>
    <w:p w:rsidR="002438E6" w:rsidRDefault="002438E6">
      <w:pPr>
        <w:spacing w:line="360" w:lineRule="auto"/>
        <w:rPr>
          <w:rFonts w:ascii="微软雅黑" w:eastAsia="微软雅黑" w:hAnsi="微软雅黑" w:cs="微软雅黑"/>
          <w:sz w:val="24"/>
          <w:szCs w:val="24"/>
          <w:lang w:eastAsia="zh-CN"/>
        </w:rPr>
      </w:pPr>
    </w:p>
    <w:p w:rsidR="002438E6" w:rsidRDefault="002438E6">
      <w:pPr>
        <w:spacing w:line="360" w:lineRule="auto"/>
        <w:rPr>
          <w:rFonts w:ascii="微软雅黑" w:eastAsia="微软雅黑" w:hAnsi="微软雅黑" w:cs="微软雅黑"/>
          <w:sz w:val="24"/>
          <w:szCs w:val="24"/>
          <w:lang w:eastAsia="zh-CN"/>
        </w:rPr>
      </w:pPr>
    </w:p>
    <w:p w:rsidR="002438E6" w:rsidRDefault="002438E6">
      <w:pPr>
        <w:spacing w:before="4" w:line="360" w:lineRule="auto"/>
        <w:rPr>
          <w:rFonts w:ascii="微软雅黑" w:eastAsia="微软雅黑" w:hAnsi="微软雅黑" w:cs="微软雅黑"/>
          <w:sz w:val="35"/>
          <w:szCs w:val="35"/>
          <w:lang w:eastAsia="zh-CN"/>
        </w:rPr>
      </w:pPr>
    </w:p>
    <w:p w:rsidR="002438E6" w:rsidRDefault="007F4EF5">
      <w:pPr>
        <w:pStyle w:val="a4"/>
        <w:spacing w:line="360" w:lineRule="auto"/>
        <w:ind w:left="5860" w:firstLine="0"/>
        <w:jc w:val="center"/>
        <w:rPr>
          <w:rFonts w:ascii="微软雅黑" w:eastAsia="微软雅黑" w:hAnsi="微软雅黑" w:cs="微软雅黑"/>
          <w:lang w:eastAsia="zh-CN"/>
        </w:rPr>
      </w:pPr>
      <w:r>
        <w:rPr>
          <w:rFonts w:ascii="微软雅黑" w:eastAsia="微软雅黑" w:hAnsi="微软雅黑" w:cs="微软雅黑" w:hint="eastAsia"/>
          <w:lang w:eastAsia="zh-CN"/>
        </w:rPr>
        <w:t>东方基金管理股份有限公司</w:t>
      </w:r>
    </w:p>
    <w:p w:rsidR="002438E6" w:rsidRDefault="007F4EF5">
      <w:pPr>
        <w:pStyle w:val="a4"/>
        <w:spacing w:line="360" w:lineRule="auto"/>
        <w:ind w:left="5860" w:firstLine="0"/>
        <w:jc w:val="center"/>
        <w:rPr>
          <w:rFonts w:ascii="微软雅黑" w:eastAsia="微软雅黑" w:hAnsi="微软雅黑" w:cs="微软雅黑"/>
          <w:lang w:eastAsia="zh-CN"/>
        </w:rPr>
      </w:pPr>
      <w:r>
        <w:rPr>
          <w:rFonts w:ascii="微软雅黑" w:eastAsia="微软雅黑" w:hAnsi="微软雅黑" w:cs="微软雅黑" w:hint="eastAsia"/>
          <w:lang w:eastAsia="zh-CN"/>
        </w:rPr>
        <w:t>二〇二四年十二月</w:t>
      </w:r>
      <w:r>
        <w:rPr>
          <w:rFonts w:ascii="微软雅黑" w:eastAsia="微软雅黑" w:hAnsi="微软雅黑" w:cs="微软雅黑" w:hint="eastAsia"/>
          <w:lang w:eastAsia="zh-CN"/>
        </w:rPr>
        <w:t>二十四</w:t>
      </w:r>
      <w:r>
        <w:rPr>
          <w:rFonts w:ascii="微软雅黑" w:eastAsia="微软雅黑" w:hAnsi="微软雅黑" w:cs="微软雅黑" w:hint="eastAsia"/>
          <w:lang w:eastAsia="zh-CN"/>
        </w:rPr>
        <w:t>日</w:t>
      </w:r>
    </w:p>
    <w:sectPr w:rsidR="002438E6" w:rsidSect="002438E6">
      <w:pgSz w:w="12240" w:h="15840"/>
      <w:pgMar w:top="1400" w:right="144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B4FA"/>
    <w:multiLevelType w:val="singleLevel"/>
    <w:tmpl w:val="1A52B4FA"/>
    <w:lvl w:ilvl="0">
      <w:start w:val="1"/>
      <w:numFmt w:val="decimal"/>
      <w:lvlText w:val="%1."/>
      <w:lvlJc w:val="left"/>
      <w:pPr>
        <w:tabs>
          <w:tab w:val="left" w:pos="312"/>
        </w:tabs>
      </w:pPr>
    </w:lvl>
  </w:abstractNum>
  <w:abstractNum w:abstractNumId="1">
    <w:nsid w:val="430B7E7D"/>
    <w:multiLevelType w:val="singleLevel"/>
    <w:tmpl w:val="430B7E7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A51377"/>
    <w:rsid w:val="002364AF"/>
    <w:rsid w:val="002438E6"/>
    <w:rsid w:val="00310D78"/>
    <w:rsid w:val="007F4EF5"/>
    <w:rsid w:val="00A51377"/>
    <w:rsid w:val="00A60342"/>
    <w:rsid w:val="00AD27F9"/>
    <w:rsid w:val="00ED70CA"/>
    <w:rsid w:val="2A8A7C10"/>
    <w:rsid w:val="37C17400"/>
    <w:rsid w:val="3CA17C8D"/>
    <w:rsid w:val="4027440D"/>
    <w:rsid w:val="42C77D7C"/>
    <w:rsid w:val="4D6D3C86"/>
    <w:rsid w:val="57BD3C24"/>
    <w:rsid w:val="660B066C"/>
    <w:rsid w:val="6A402F67"/>
    <w:rsid w:val="7C843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6"/>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rsid w:val="002438E6"/>
    <w:pPr>
      <w:spacing w:before="3"/>
      <w:ind w:left="220"/>
      <w:outlineLvl w:val="0"/>
    </w:pPr>
    <w:rPr>
      <w:b/>
      <w:bCs/>
      <w:sz w:val="24"/>
      <w:szCs w:val="24"/>
    </w:rPr>
  </w:style>
  <w:style w:type="paragraph" w:styleId="2">
    <w:name w:val="heading 2"/>
    <w:basedOn w:val="a"/>
    <w:next w:val="a"/>
    <w:uiPriority w:val="1"/>
    <w:qFormat/>
    <w:rsid w:val="002438E6"/>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438E6"/>
  </w:style>
  <w:style w:type="paragraph" w:styleId="a4">
    <w:name w:val="Body Text"/>
    <w:basedOn w:val="a"/>
    <w:link w:val="Char0"/>
    <w:uiPriority w:val="1"/>
    <w:qFormat/>
    <w:rsid w:val="002438E6"/>
    <w:pPr>
      <w:ind w:left="120" w:firstLine="480"/>
    </w:pPr>
    <w:rPr>
      <w:rFonts w:ascii="宋体" w:eastAsia="宋体" w:hAnsi="宋体"/>
      <w:sz w:val="24"/>
      <w:szCs w:val="24"/>
    </w:rPr>
  </w:style>
  <w:style w:type="paragraph" w:styleId="a5">
    <w:name w:val="annotation subject"/>
    <w:basedOn w:val="a3"/>
    <w:next w:val="a3"/>
    <w:link w:val="Char1"/>
    <w:uiPriority w:val="99"/>
    <w:semiHidden/>
    <w:unhideWhenUsed/>
    <w:qFormat/>
    <w:rsid w:val="002438E6"/>
    <w:rPr>
      <w:b/>
      <w:bCs/>
    </w:rPr>
  </w:style>
  <w:style w:type="character" w:styleId="a6">
    <w:name w:val="Hyperlink"/>
    <w:basedOn w:val="a0"/>
    <w:uiPriority w:val="99"/>
    <w:unhideWhenUsed/>
    <w:qFormat/>
    <w:rsid w:val="002438E6"/>
    <w:rPr>
      <w:color w:val="0000FF" w:themeColor="hyperlink"/>
      <w:u w:val="single"/>
    </w:rPr>
  </w:style>
  <w:style w:type="character" w:styleId="a7">
    <w:name w:val="annotation reference"/>
    <w:basedOn w:val="a0"/>
    <w:uiPriority w:val="99"/>
    <w:semiHidden/>
    <w:unhideWhenUsed/>
    <w:qFormat/>
    <w:rsid w:val="002438E6"/>
    <w:rPr>
      <w:sz w:val="21"/>
      <w:szCs w:val="21"/>
    </w:rPr>
  </w:style>
  <w:style w:type="table" w:customStyle="1" w:styleId="TableNormal">
    <w:name w:val="Table Normal"/>
    <w:uiPriority w:val="2"/>
    <w:semiHidden/>
    <w:unhideWhenUsed/>
    <w:qFormat/>
    <w:rsid w:val="002438E6"/>
    <w:tblPr>
      <w:tblCellMar>
        <w:top w:w="0" w:type="dxa"/>
        <w:left w:w="0" w:type="dxa"/>
        <w:bottom w:w="0" w:type="dxa"/>
        <w:right w:w="0" w:type="dxa"/>
      </w:tblCellMar>
    </w:tblPr>
  </w:style>
  <w:style w:type="paragraph" w:styleId="a8">
    <w:name w:val="List Paragraph"/>
    <w:basedOn w:val="a"/>
    <w:uiPriority w:val="1"/>
    <w:qFormat/>
    <w:rsid w:val="002438E6"/>
  </w:style>
  <w:style w:type="paragraph" w:customStyle="1" w:styleId="TableParagraph">
    <w:name w:val="Table Paragraph"/>
    <w:basedOn w:val="a"/>
    <w:uiPriority w:val="1"/>
    <w:qFormat/>
    <w:rsid w:val="002438E6"/>
  </w:style>
  <w:style w:type="character" w:customStyle="1" w:styleId="UnresolvedMention">
    <w:name w:val="Unresolved Mention"/>
    <w:basedOn w:val="a0"/>
    <w:uiPriority w:val="99"/>
    <w:semiHidden/>
    <w:unhideWhenUsed/>
    <w:qFormat/>
    <w:rsid w:val="002438E6"/>
    <w:rPr>
      <w:color w:val="605E5C"/>
      <w:shd w:val="clear" w:color="auto" w:fill="E1DFDD"/>
    </w:rPr>
  </w:style>
  <w:style w:type="table" w:customStyle="1" w:styleId="GridTableLight">
    <w:name w:val="Grid Table Light"/>
    <w:basedOn w:val="a1"/>
    <w:uiPriority w:val="40"/>
    <w:qFormat/>
    <w:rsid w:val="002438E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
    <w:name w:val="批注文字 Char"/>
    <w:basedOn w:val="a0"/>
    <w:link w:val="a3"/>
    <w:uiPriority w:val="99"/>
    <w:qFormat/>
    <w:rsid w:val="002438E6"/>
  </w:style>
  <w:style w:type="character" w:customStyle="1" w:styleId="Char1">
    <w:name w:val="批注主题 Char"/>
    <w:basedOn w:val="Char"/>
    <w:link w:val="a5"/>
    <w:uiPriority w:val="99"/>
    <w:semiHidden/>
    <w:qFormat/>
    <w:rsid w:val="002438E6"/>
    <w:rPr>
      <w:b/>
      <w:bCs/>
    </w:rPr>
  </w:style>
  <w:style w:type="character" w:customStyle="1" w:styleId="Char0">
    <w:name w:val="正文文本 Char"/>
    <w:basedOn w:val="a0"/>
    <w:link w:val="a4"/>
    <w:uiPriority w:val="1"/>
    <w:qFormat/>
    <w:rsid w:val="002438E6"/>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1615</Characters>
  <Application>Microsoft Office Word</Application>
  <DocSecurity>4</DocSecurity>
  <Lines>13</Lines>
  <Paragraphs>3</Paragraphs>
  <ScaleCrop>false</ScaleCrop>
  <Company>CNSTOCK</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张路遥</dc:creator>
  <cp:lastModifiedBy>ZHONGM</cp:lastModifiedBy>
  <cp:revision>2</cp:revision>
  <dcterms:created xsi:type="dcterms:W3CDTF">2024-12-23T16:02:00Z</dcterms:created>
  <dcterms:modified xsi:type="dcterms:W3CDTF">2024-12-23T16:02:00Z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WPS 文字</vt:lpwstr>
  </property>
  <property fmtid="{D5CDD505-2E9C-101B-9397-08002B2CF9AE}" pid="4" name="LastSaved">
    <vt:filetime>2024-11-28T00:00:00Z</vt:filetime>
  </property>
  <property fmtid="{D5CDD505-2E9C-101B-9397-08002B2CF9AE}" pid="5" name="KSOProductBuildVer">
    <vt:lpwstr>2052-12.1.0.19302</vt:lpwstr>
  </property>
  <property fmtid="{D5CDD505-2E9C-101B-9397-08002B2CF9AE}" pid="6" name="ICV">
    <vt:lpwstr>42AD65E0E8D74FC9B3CA496B09A6B7CE_12</vt:lpwstr>
  </property>
</Properties>
</file>