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5A0A04" w:rsidRDefault="00893436" w:rsidP="00893436">
      <w:pPr>
        <w:widowControl/>
        <w:jc w:val="center"/>
        <w:rPr>
          <w:rFonts w:asciiTheme="minorEastAsia" w:eastAsiaTheme="minorEastAsia" w:hAnsiTheme="minorEastAsia" w:cs="宋体"/>
          <w:b/>
          <w:kern w:val="0"/>
          <w:sz w:val="30"/>
          <w:szCs w:val="30"/>
        </w:rPr>
      </w:pPr>
      <w:bookmarkStart w:id="0" w:name="_GoBack"/>
      <w:bookmarkEnd w:id="0"/>
      <w:r w:rsidRPr="005A0A04">
        <w:rPr>
          <w:rFonts w:asciiTheme="minorEastAsia" w:eastAsiaTheme="minorEastAsia" w:hAnsiTheme="minorEastAsia" w:cs="宋体" w:hint="eastAsia"/>
          <w:b/>
          <w:kern w:val="0"/>
          <w:sz w:val="30"/>
          <w:szCs w:val="30"/>
        </w:rPr>
        <w:t>广发沪深300交易型开放式指数证券投资基金联接基金分红公告</w:t>
      </w:r>
    </w:p>
    <w:p w:rsidR="00893436" w:rsidRPr="00E21822" w:rsidRDefault="00893436" w:rsidP="00E21822">
      <w:pPr>
        <w:jc w:val="center"/>
        <w:rPr>
          <w:rFonts w:asciiTheme="minorEastAsia" w:eastAsiaTheme="minorEastAsia" w:hAnsiTheme="minorEastAsia"/>
          <w:color w:val="000000"/>
          <w:sz w:val="24"/>
          <w:szCs w:val="24"/>
        </w:rPr>
      </w:pPr>
      <w:r w:rsidRPr="00E21822">
        <w:rPr>
          <w:rFonts w:asciiTheme="minorEastAsia" w:eastAsiaTheme="minorEastAsia" w:hAnsiTheme="minorEastAsia"/>
          <w:color w:val="000000"/>
          <w:sz w:val="24"/>
          <w:szCs w:val="24"/>
        </w:rPr>
        <w:t>公告送出日期：2024年12月24日</w:t>
      </w:r>
    </w:p>
    <w:p w:rsidR="00893436" w:rsidRPr="00163C8E" w:rsidRDefault="00893436" w:rsidP="00893436">
      <w:pPr>
        <w:spacing w:line="560" w:lineRule="exact"/>
        <w:jc w:val="center"/>
        <w:rPr>
          <w:rFonts w:asciiTheme="minorEastAsia" w:eastAsiaTheme="minorEastAsia" w:hAnsiTheme="minorEastAsia"/>
          <w:color w:val="000000"/>
          <w:sz w:val="24"/>
        </w:rPr>
      </w:pP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1" w:name="_Toc275961418"/>
      <w:r w:rsidRPr="00163C8E">
        <w:rPr>
          <w:rFonts w:asciiTheme="minorEastAsia" w:eastAsiaTheme="minorEastAsia" w:hAnsiTheme="minorEastAsia"/>
          <w:bCs w:val="0"/>
          <w:color w:val="000000"/>
          <w:sz w:val="24"/>
          <w:szCs w:val="24"/>
        </w:rPr>
        <w:t>1</w:t>
      </w:r>
      <w:r w:rsidR="00F968A3">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公告基本信息</w:t>
      </w:r>
      <w:bookmarkEnd w:id="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1770"/>
        <w:gridCol w:w="1701"/>
        <w:gridCol w:w="1701"/>
        <w:gridCol w:w="1660"/>
        <w:gridCol w:w="1742"/>
      </w:tblGrid>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基金名称</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广发沪深300交易型开放式指数证券投资基金联接基金</w:t>
            </w:r>
          </w:p>
        </w:tc>
      </w:tr>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基金简称</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广发沪深300ETF联接</w:t>
            </w:r>
          </w:p>
        </w:tc>
      </w:tr>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基金主代码</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270010</w:t>
            </w:r>
          </w:p>
        </w:tc>
      </w:tr>
      <w:tr w:rsidR="0039192C" w:rsidRPr="00163C8E" w:rsidTr="00C0716A">
        <w:trPr>
          <w:jc w:val="center"/>
        </w:trPr>
        <w:tc>
          <w:tcPr>
            <w:tcW w:w="2972" w:type="dxa"/>
            <w:gridSpan w:val="2"/>
            <w:vAlign w:val="center"/>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基金合同生效日</w:t>
            </w:r>
          </w:p>
        </w:tc>
        <w:tc>
          <w:tcPr>
            <w:tcW w:w="6804" w:type="dxa"/>
            <w:gridSpan w:val="4"/>
            <w:vAlign w:val="center"/>
          </w:tcPr>
          <w:p w:rsidR="0039192C" w:rsidRPr="00163C8E" w:rsidRDefault="003E51F2"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2008年12月30日</w:t>
            </w:r>
          </w:p>
        </w:tc>
      </w:tr>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基金管理人名称</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广发基金管理有限公司</w:t>
            </w:r>
          </w:p>
        </w:tc>
      </w:tr>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基金托管人名称</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中国工商银行股份有限公司</w:t>
            </w:r>
          </w:p>
        </w:tc>
      </w:tr>
      <w:tr w:rsidR="0039192C" w:rsidRPr="00163C8E" w:rsidTr="00C0716A">
        <w:trPr>
          <w:jc w:val="center"/>
        </w:trPr>
        <w:tc>
          <w:tcPr>
            <w:tcW w:w="2972"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公告依据</w:t>
            </w:r>
          </w:p>
        </w:tc>
        <w:tc>
          <w:tcPr>
            <w:tcW w:w="6804" w:type="dxa"/>
            <w:gridSpan w:val="4"/>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《中华人民共和国证券投资基金法》及其配套法规、《广发沪深300交易型开放式指数证券投资基金联接基金基金合同》《广发沪深300交易型开放式指数证券投资基金联接基金招募说明书》</w:t>
            </w:r>
          </w:p>
        </w:tc>
      </w:tr>
      <w:tr w:rsidR="00893436" w:rsidRPr="00163C8E" w:rsidTr="00C0716A">
        <w:trPr>
          <w:jc w:val="center"/>
        </w:trPr>
        <w:tc>
          <w:tcPr>
            <w:tcW w:w="2972" w:type="dxa"/>
            <w:gridSpan w:val="2"/>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收益分配基准日</w:t>
            </w:r>
          </w:p>
        </w:tc>
        <w:tc>
          <w:tcPr>
            <w:tcW w:w="6804" w:type="dxa"/>
            <w:gridSpan w:val="4"/>
          </w:tcPr>
          <w:p w:rsidR="00893436"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2024年12月18日</w:t>
            </w:r>
          </w:p>
        </w:tc>
      </w:tr>
      <w:tr w:rsidR="00893436" w:rsidRPr="00163C8E" w:rsidTr="00C0716A">
        <w:trPr>
          <w:jc w:val="center"/>
        </w:trPr>
        <w:tc>
          <w:tcPr>
            <w:tcW w:w="2972" w:type="dxa"/>
            <w:gridSpan w:val="2"/>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有关年度分红次数的说明</w:t>
            </w:r>
          </w:p>
        </w:tc>
        <w:tc>
          <w:tcPr>
            <w:tcW w:w="6804" w:type="dxa"/>
            <w:gridSpan w:val="4"/>
            <w:vAlign w:val="center"/>
          </w:tcPr>
          <w:p w:rsidR="00893436" w:rsidRPr="00163C8E" w:rsidRDefault="009732A4"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本次分红为2024年度的第3次分红</w:t>
            </w:r>
          </w:p>
        </w:tc>
      </w:tr>
      <w:tr w:rsidR="005A438B" w:rsidRPr="00163C8E" w:rsidTr="00C0716A">
        <w:trPr>
          <w:jc w:val="center"/>
        </w:trPr>
        <w:tc>
          <w:tcPr>
            <w:tcW w:w="2972" w:type="dxa"/>
            <w:gridSpan w:val="2"/>
          </w:tcPr>
          <w:p w:rsidR="005A438B" w:rsidRPr="00163C8E" w:rsidRDefault="005A438B"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下属分级基金的基金简称</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广发沪深300ETF联接A</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广发沪深300ETF联接C</w:t>
            </w:r>
          </w:p>
        </w:tc>
        <w:tc>
          <w:tcPr>
            <w:tcW w:w="1660"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广发沪深300ETF联接F</w:t>
            </w:r>
          </w:p>
        </w:tc>
        <w:tc>
          <w:tcPr>
            <w:tcW w:w="1742" w:type="dxa"/>
          </w:tcPr>
          <w:p w:rsidR="005A438B" w:rsidRPr="00163C8E" w:rsidRDefault="005A438B" w:rsidP="000A71AF">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广发沪深300ETF联接Y</w:t>
            </w:r>
          </w:p>
        </w:tc>
      </w:tr>
      <w:tr w:rsidR="005A438B" w:rsidRPr="00163C8E" w:rsidTr="00C0716A">
        <w:trPr>
          <w:jc w:val="center"/>
        </w:trPr>
        <w:tc>
          <w:tcPr>
            <w:tcW w:w="2972" w:type="dxa"/>
            <w:gridSpan w:val="2"/>
          </w:tcPr>
          <w:p w:rsidR="005A438B" w:rsidRPr="00163C8E" w:rsidRDefault="005A438B"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下属分级基金的交易代码</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270010</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002987</w:t>
            </w:r>
          </w:p>
        </w:tc>
        <w:tc>
          <w:tcPr>
            <w:tcW w:w="1660"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021737</w:t>
            </w:r>
          </w:p>
        </w:tc>
        <w:tc>
          <w:tcPr>
            <w:tcW w:w="1742" w:type="dxa"/>
          </w:tcPr>
          <w:p w:rsidR="005A438B" w:rsidRPr="00163C8E" w:rsidRDefault="005A438B" w:rsidP="000A71AF">
            <w:pPr>
              <w:rPr>
                <w:rFonts w:asciiTheme="minorEastAsia" w:eastAsiaTheme="minorEastAsia" w:hAnsiTheme="minorEastAsia"/>
                <w:sz w:val="24"/>
                <w:szCs w:val="24"/>
              </w:rPr>
            </w:pPr>
            <w:r w:rsidRPr="00163C8E">
              <w:rPr>
                <w:rFonts w:asciiTheme="minorEastAsia" w:eastAsiaTheme="minorEastAsia" w:hAnsiTheme="minorEastAsia"/>
                <w:sz w:val="24"/>
                <w:szCs w:val="24"/>
              </w:rPr>
              <w:t>022964</w:t>
            </w:r>
          </w:p>
        </w:tc>
      </w:tr>
      <w:tr w:rsidR="00927320" w:rsidRPr="00163C8E" w:rsidTr="00C0716A">
        <w:trPr>
          <w:jc w:val="center"/>
        </w:trPr>
        <w:tc>
          <w:tcPr>
            <w:tcW w:w="1202" w:type="dxa"/>
            <w:vMerge w:val="restart"/>
            <w:vAlign w:val="center"/>
          </w:tcPr>
          <w:p w:rsidR="00927320" w:rsidRPr="00163C8E" w:rsidRDefault="00927320"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截止基准日下属分级基金的相关指标</w:t>
            </w:r>
          </w:p>
        </w:tc>
        <w:tc>
          <w:tcPr>
            <w:tcW w:w="1770" w:type="dxa"/>
          </w:tcPr>
          <w:p w:rsidR="00927320" w:rsidRPr="00163C8E" w:rsidRDefault="00927320"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基准日下属分级基金份额净值（单位：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701"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1.7754</w:t>
            </w:r>
          </w:p>
        </w:tc>
        <w:tc>
          <w:tcPr>
            <w:tcW w:w="1701"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1.7406</w:t>
            </w:r>
          </w:p>
        </w:tc>
        <w:tc>
          <w:tcPr>
            <w:tcW w:w="1660"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1.7754</w:t>
            </w:r>
          </w:p>
        </w:tc>
        <w:tc>
          <w:tcPr>
            <w:tcW w:w="1742"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1.7753</w:t>
            </w:r>
          </w:p>
        </w:tc>
      </w:tr>
      <w:tr w:rsidR="00927320" w:rsidRPr="00163C8E" w:rsidTr="00C0716A">
        <w:trPr>
          <w:trHeight w:val="405"/>
          <w:jc w:val="center"/>
        </w:trPr>
        <w:tc>
          <w:tcPr>
            <w:tcW w:w="1202" w:type="dxa"/>
            <w:vMerge/>
          </w:tcPr>
          <w:p w:rsidR="00927320" w:rsidRPr="00163C8E" w:rsidRDefault="00927320" w:rsidP="0045170D">
            <w:pPr>
              <w:rPr>
                <w:rFonts w:asciiTheme="minorEastAsia" w:eastAsiaTheme="minorEastAsia" w:hAnsiTheme="minorEastAsia"/>
                <w:color w:val="000000"/>
                <w:sz w:val="24"/>
                <w:szCs w:val="24"/>
              </w:rPr>
            </w:pPr>
          </w:p>
        </w:tc>
        <w:tc>
          <w:tcPr>
            <w:tcW w:w="1770" w:type="dxa"/>
            <w:vAlign w:val="center"/>
          </w:tcPr>
          <w:p w:rsidR="00927320" w:rsidRPr="00163C8E" w:rsidRDefault="00927320"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基准日下属分级基金可供分配利润（单</w:t>
            </w:r>
            <w:r w:rsidRPr="00163C8E">
              <w:rPr>
                <w:rFonts w:asciiTheme="minorEastAsia" w:eastAsiaTheme="minorEastAsia" w:hAnsiTheme="minorEastAsia"/>
                <w:color w:val="000000"/>
                <w:sz w:val="24"/>
                <w:szCs w:val="24"/>
              </w:rPr>
              <w:lastRenderedPageBreak/>
              <w:t>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701"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lastRenderedPageBreak/>
              <w:t>1,934,720,075.84</w:t>
            </w:r>
          </w:p>
        </w:tc>
        <w:tc>
          <w:tcPr>
            <w:tcW w:w="1701"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1,672,693,848.38</w:t>
            </w:r>
          </w:p>
        </w:tc>
        <w:tc>
          <w:tcPr>
            <w:tcW w:w="1660"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23,302,641.31</w:t>
            </w:r>
          </w:p>
        </w:tc>
        <w:tc>
          <w:tcPr>
            <w:tcW w:w="1742" w:type="dxa"/>
          </w:tcPr>
          <w:p w:rsidR="00927320" w:rsidRPr="00163C8E" w:rsidRDefault="00927320"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85,118.03</w:t>
            </w:r>
          </w:p>
        </w:tc>
      </w:tr>
      <w:tr w:rsidR="005A438B" w:rsidRPr="00163C8E" w:rsidTr="00C0716A">
        <w:trPr>
          <w:jc w:val="center"/>
        </w:trPr>
        <w:tc>
          <w:tcPr>
            <w:tcW w:w="2972" w:type="dxa"/>
            <w:gridSpan w:val="2"/>
          </w:tcPr>
          <w:p w:rsidR="005A438B" w:rsidRPr="00163C8E" w:rsidRDefault="005A438B"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lastRenderedPageBreak/>
              <w:t>本次下属分级基金分红方案（单位：元/10份基金份额）</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2.841</w:t>
            </w:r>
          </w:p>
        </w:tc>
        <w:tc>
          <w:tcPr>
            <w:tcW w:w="1701"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2.688</w:t>
            </w:r>
          </w:p>
        </w:tc>
        <w:tc>
          <w:tcPr>
            <w:tcW w:w="1660"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3.458</w:t>
            </w:r>
          </w:p>
        </w:tc>
        <w:tc>
          <w:tcPr>
            <w:tcW w:w="1742" w:type="dxa"/>
          </w:tcPr>
          <w:p w:rsidR="005A438B" w:rsidRPr="00163C8E" w:rsidRDefault="005A438B"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3.877</w:t>
            </w:r>
          </w:p>
        </w:tc>
      </w:tr>
    </w:tbl>
    <w:p w:rsidR="00893436" w:rsidRPr="00163C8E" w:rsidRDefault="00F45E48" w:rsidP="002C6F7A">
      <w:pPr>
        <w:rPr>
          <w:rFonts w:asciiTheme="minorEastAsia" w:eastAsiaTheme="minorEastAsia" w:hAnsiTheme="minorEastAsia"/>
          <w:sz w:val="24"/>
          <w:szCs w:val="24"/>
        </w:rPr>
      </w:pPr>
      <w:r w:rsidRPr="00163C8E">
        <w:rPr>
          <w:rFonts w:asciiTheme="minorEastAsia" w:eastAsiaTheme="minorEastAsia" w:hAnsiTheme="minorEastAsia"/>
          <w:sz w:val="24"/>
          <w:szCs w:val="24"/>
        </w:rPr>
        <w:t>注：根据基金合同约定，在符合有关基金分红条件的前提下，本基金每年收益分配次数最多为6次，全年分配比例不得低于年度可供分配收益的50%。</w:t>
      </w: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2" w:name="_Toc275961419"/>
      <w:r w:rsidRPr="00163C8E">
        <w:rPr>
          <w:rFonts w:asciiTheme="minorEastAsia" w:eastAsiaTheme="minorEastAsia" w:hAnsiTheme="minorEastAsia"/>
          <w:bCs w:val="0"/>
          <w:color w:val="000000"/>
          <w:sz w:val="24"/>
          <w:szCs w:val="24"/>
        </w:rPr>
        <w:t>2</w:t>
      </w:r>
      <w:r w:rsidR="00F968A3">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6405"/>
      </w:tblGrid>
      <w:tr w:rsidR="00893436" w:rsidRPr="00163C8E" w:rsidTr="00AB1648">
        <w:trPr>
          <w:jc w:val="center"/>
        </w:trPr>
        <w:tc>
          <w:tcPr>
            <w:tcW w:w="4355"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权益登记日</w:t>
            </w:r>
          </w:p>
        </w:tc>
        <w:tc>
          <w:tcPr>
            <w:tcW w:w="4355" w:type="dxa"/>
          </w:tcPr>
          <w:p w:rsidR="00893436" w:rsidRPr="00163C8E" w:rsidRDefault="00DB4D03" w:rsidP="0045170D">
            <w:pPr>
              <w:rPr>
                <w:rFonts w:asciiTheme="minorEastAsia" w:eastAsiaTheme="minorEastAsia" w:hAnsiTheme="minorEastAsia"/>
                <w:sz w:val="24"/>
                <w:szCs w:val="24"/>
              </w:rPr>
            </w:pPr>
            <w:r>
              <w:rPr>
                <w:rFonts w:asciiTheme="minorEastAsia" w:eastAsiaTheme="minorEastAsia" w:hAnsiTheme="minorEastAsia" w:hint="eastAsia"/>
                <w:kern w:val="0"/>
                <w:sz w:val="24"/>
                <w:szCs w:val="24"/>
              </w:rPr>
              <w:t>2024年12月26日</w:t>
            </w:r>
          </w:p>
        </w:tc>
      </w:tr>
      <w:tr w:rsidR="00C0716A" w:rsidRPr="00163C8E" w:rsidTr="00C0716A">
        <w:trPr>
          <w:jc w:val="center"/>
        </w:trPr>
        <w:tc>
          <w:tcPr>
            <w:tcW w:w="4355" w:type="dxa"/>
          </w:tcPr>
          <w:p w:rsidR="006369D9" w:rsidRPr="00163C8E" w:rsidRDefault="006369D9"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除息日</w:t>
            </w:r>
          </w:p>
        </w:tc>
        <w:tc>
          <w:tcPr>
            <w:tcW w:w="8710" w:type="dxa"/>
          </w:tcPr>
          <w:p w:rsidR="006369D9" w:rsidRPr="00163C8E" w:rsidRDefault="006369D9" w:rsidP="006D2BF1">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2024年12月26日（场外）</w:t>
            </w:r>
          </w:p>
        </w:tc>
      </w:tr>
      <w:tr w:rsidR="00893436" w:rsidRPr="00163C8E" w:rsidTr="00AB1648">
        <w:trPr>
          <w:jc w:val="center"/>
        </w:trPr>
        <w:tc>
          <w:tcPr>
            <w:tcW w:w="4355"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现金红利发放日</w:t>
            </w:r>
          </w:p>
        </w:tc>
        <w:tc>
          <w:tcPr>
            <w:tcW w:w="4355" w:type="dxa"/>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2024年12月27日</w:t>
            </w:r>
          </w:p>
        </w:tc>
      </w:tr>
      <w:tr w:rsidR="00893436" w:rsidRPr="00163C8E" w:rsidTr="00AB1648">
        <w:trPr>
          <w:jc w:val="center"/>
        </w:trPr>
        <w:tc>
          <w:tcPr>
            <w:tcW w:w="4355"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分红对象</w:t>
            </w:r>
          </w:p>
        </w:tc>
        <w:tc>
          <w:tcPr>
            <w:tcW w:w="4355" w:type="dxa"/>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权益登记日在本公司登记在册的本基金份额的全体持有人</w:t>
            </w:r>
          </w:p>
        </w:tc>
      </w:tr>
      <w:tr w:rsidR="00893436" w:rsidRPr="00163C8E" w:rsidTr="00AB1648">
        <w:trPr>
          <w:jc w:val="center"/>
        </w:trPr>
        <w:tc>
          <w:tcPr>
            <w:tcW w:w="4355" w:type="dxa"/>
            <w:shd w:val="clear" w:color="auto" w:fill="auto"/>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红利再投资相关事项的说明</w:t>
            </w:r>
          </w:p>
        </w:tc>
        <w:tc>
          <w:tcPr>
            <w:tcW w:w="4355" w:type="dxa"/>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选择红利再投资方式的投资者由红利转得的基金份额将以2024年12月26日的基金份额净值为计算基准确定。2024年12月30日起投资者可以查询。</w:t>
            </w:r>
          </w:p>
        </w:tc>
      </w:tr>
      <w:tr w:rsidR="00893436" w:rsidRPr="00163C8E" w:rsidTr="00AB1648">
        <w:trPr>
          <w:jc w:val="center"/>
        </w:trPr>
        <w:tc>
          <w:tcPr>
            <w:tcW w:w="4355"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税收相关事项的说明</w:t>
            </w:r>
          </w:p>
        </w:tc>
        <w:tc>
          <w:tcPr>
            <w:tcW w:w="4355" w:type="dxa"/>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根据相关法律法规规定，基金向投资者分配的基金收益，暂免征收所得税。</w:t>
            </w:r>
          </w:p>
        </w:tc>
      </w:tr>
      <w:tr w:rsidR="00893436" w:rsidRPr="00163C8E" w:rsidTr="00AB1648">
        <w:trPr>
          <w:jc w:val="center"/>
        </w:trPr>
        <w:tc>
          <w:tcPr>
            <w:tcW w:w="4355"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费用相关事项的说明</w:t>
            </w:r>
          </w:p>
        </w:tc>
        <w:tc>
          <w:tcPr>
            <w:tcW w:w="4355" w:type="dxa"/>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本基金本次分红免收分红手续费。</w:t>
            </w:r>
          </w:p>
        </w:tc>
      </w:tr>
    </w:tbl>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3" w:name="_Toc275961420"/>
      <w:r w:rsidRPr="00163C8E">
        <w:rPr>
          <w:rFonts w:asciiTheme="minorEastAsia" w:eastAsiaTheme="minorEastAsia" w:hAnsiTheme="minorEastAsia"/>
          <w:bCs w:val="0"/>
          <w:color w:val="000000"/>
          <w:sz w:val="24"/>
          <w:szCs w:val="24"/>
        </w:rPr>
        <w:t>3</w:t>
      </w:r>
      <w:r w:rsidR="00F968A3">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其他需要提示的事项</w:t>
      </w:r>
      <w:bookmarkEnd w:id="3"/>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（1）权益登记日申请申购或转换转入的基金份额不享有本次分红权益，权益登记日申请赎回或转换转出的基金份额享有本次分红权益。</w:t>
      </w:r>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（2）本基金Y类基金份额的收益分配方式为红利再投资。本基金A类、C类和F类基金份额收益分配方式分两种：现金分红与红利再投资；若A类、C类和F类基金份额投资者不选择，则默认其收益分配方式是现金分红。</w:t>
      </w:r>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投资者可以在工作日的交易时间内到销售网点修改分红方式，本次分红确认的方式将按照投资者在权益登记日之前（不含2024年12月26日）最后一次选择的分红方式为准。请投资者到销售网点或通过本公司客户服务电话95105828或020-83936999确认分红方式是否正确，如不正确或希望修改分红</w:t>
      </w:r>
      <w:r>
        <w:rPr>
          <w:rFonts w:asciiTheme="minorEastAsia" w:eastAsiaTheme="minorEastAsia" w:hAnsiTheme="minorEastAsia"/>
          <w:sz w:val="24"/>
          <w:szCs w:val="24"/>
        </w:rPr>
        <w:lastRenderedPageBreak/>
        <w:t>方式的，请务必在规定时间前到销售网点办理变更手续。</w:t>
      </w:r>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投资者通过某一销售机构指定交易账户按基金代码提交的分红方式变更申请，只对投资者在该销售机构指定交易账户下的基金份额有效，并不改变投资者在该销售机构其他交易账户或其他销售机构下的基金份额的分红方式。如投资者希望变更该销售机构其他交易账户或其他销售机构下的基金份额的分红方式，需分别按基金代码通过各销售机构交易账户逐一提交变更分红方式的业务申请。详见本公司于2023年2月23日发布的《广发基金管理有限公司关于调整旗下部分开放式基金分红方式变更规则的公告》。</w:t>
      </w:r>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（5）建议基金份额持有人在修改分红方式后，在T+2日（申请修改分红方式之日为T日）后（含T+2日）向销售网点或本公司确认分红方式的修改是否成功。</w:t>
      </w:r>
    </w:p>
    <w:p w:rsidR="008D1A35" w:rsidRDefault="00440FD8">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风险提示：本基金分红并不改变本基金的风险收益特征，也不会因此降低基金投资风险或提高基金投资收益。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投资者欲了解有关分红的情况，可到办理业务的当地销售网点查询，也可以登录本公司网站（www.gffunds.com.cn）或拨打本公司客户服务电话95105828或020-83936999咨询相关事宜。</w:t>
      </w:r>
    </w:p>
    <w:p w:rsidR="00364C2A" w:rsidRDefault="00284B1B" w:rsidP="000955C2">
      <w:pPr>
        <w:ind w:firstLineChars="200" w:firstLine="480"/>
        <w:rPr>
          <w:rFonts w:asciiTheme="minorEastAsia" w:eastAsiaTheme="minorEastAsia" w:hAnsiTheme="minorEastAsia"/>
          <w:sz w:val="24"/>
          <w:szCs w:val="24"/>
        </w:rPr>
      </w:pPr>
      <w:r w:rsidRPr="00163C8E">
        <w:rPr>
          <w:rFonts w:asciiTheme="minorEastAsia" w:eastAsiaTheme="minorEastAsia" w:hAnsiTheme="minorEastAsia"/>
          <w:sz w:val="24"/>
          <w:szCs w:val="24"/>
        </w:rPr>
        <w:t>特此公告。</w:t>
      </w:r>
    </w:p>
    <w:p w:rsidR="00CF62C5" w:rsidRDefault="00CF62C5" w:rsidP="00B62BBC">
      <w:pPr>
        <w:ind w:firstLineChars="200" w:firstLine="480"/>
        <w:rPr>
          <w:rFonts w:asciiTheme="minorEastAsia" w:eastAsiaTheme="minorEastAsia" w:hAnsiTheme="minorEastAsia"/>
          <w:sz w:val="24"/>
          <w:szCs w:val="24"/>
        </w:rPr>
      </w:pPr>
    </w:p>
    <w:p w:rsidR="00CF62C5" w:rsidRDefault="00CF62C5" w:rsidP="00B62BBC">
      <w:pPr>
        <w:ind w:firstLineChars="200" w:firstLine="480"/>
        <w:rPr>
          <w:rFonts w:asciiTheme="minorEastAsia" w:eastAsiaTheme="minorEastAsia" w:hAnsiTheme="minorEastAsia"/>
          <w:sz w:val="24"/>
          <w:szCs w:val="24"/>
        </w:rPr>
      </w:pPr>
    </w:p>
    <w:p w:rsidR="00CF62C5" w:rsidRPr="003D16ED" w:rsidRDefault="00CF62C5" w:rsidP="00CF62C5">
      <w:pPr>
        <w:jc w:val="right"/>
        <w:rPr>
          <w:rFonts w:asciiTheme="minorEastAsia" w:eastAsiaTheme="minorEastAsia" w:hAnsiTheme="minorEastAsia"/>
          <w:bCs/>
          <w:color w:val="000000" w:themeColor="text1"/>
          <w:sz w:val="24"/>
          <w:szCs w:val="24"/>
        </w:rPr>
      </w:pPr>
      <w:r w:rsidRPr="003D16ED">
        <w:rPr>
          <w:rFonts w:asciiTheme="minorEastAsia" w:eastAsiaTheme="minorEastAsia" w:hAnsiTheme="minorEastAsia"/>
          <w:bCs/>
          <w:color w:val="000000" w:themeColor="text1"/>
          <w:sz w:val="24"/>
          <w:szCs w:val="24"/>
        </w:rPr>
        <w:t>广发基金管理有限公司</w:t>
      </w:r>
    </w:p>
    <w:p w:rsidR="00CF62C5" w:rsidRPr="003D16ED" w:rsidRDefault="00CF62C5" w:rsidP="00CF62C5">
      <w:pPr>
        <w:jc w:val="right"/>
        <w:rPr>
          <w:rFonts w:asciiTheme="minorEastAsia" w:eastAsiaTheme="minorEastAsia" w:hAnsiTheme="minorEastAsia"/>
          <w:color w:val="000000"/>
          <w:sz w:val="24"/>
          <w:szCs w:val="24"/>
        </w:rPr>
      </w:pPr>
      <w:r w:rsidRPr="003D16ED">
        <w:rPr>
          <w:rFonts w:asciiTheme="minorEastAsia" w:eastAsiaTheme="minorEastAsia" w:hAnsiTheme="minorEastAsia"/>
          <w:bCs/>
          <w:color w:val="000000" w:themeColor="text1"/>
          <w:sz w:val="24"/>
          <w:szCs w:val="24"/>
        </w:rPr>
        <w:t>2024年12月24日</w:t>
      </w:r>
    </w:p>
    <w:sectPr w:rsidR="00CF62C5" w:rsidRPr="003D16ED"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D8" w:rsidRDefault="00440FD8" w:rsidP="00893436">
      <w:r>
        <w:separator/>
      </w:r>
    </w:p>
  </w:endnote>
  <w:endnote w:type="continuationSeparator" w:id="0">
    <w:p w:rsidR="00440FD8" w:rsidRDefault="00440FD8"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A00002BF" w:usb1="184F6CFA" w:usb2="00000012"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D8" w:rsidRDefault="00440FD8" w:rsidP="00893436">
      <w:r>
        <w:separator/>
      </w:r>
    </w:p>
  </w:footnote>
  <w:footnote w:type="continuationSeparator" w:id="0">
    <w:p w:rsidR="00440FD8" w:rsidRDefault="00440FD8"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3087A"/>
    <w:rsid w:val="00037726"/>
    <w:rsid w:val="00041353"/>
    <w:rsid w:val="000547E4"/>
    <w:rsid w:val="00057AC1"/>
    <w:rsid w:val="00085F5C"/>
    <w:rsid w:val="00094A21"/>
    <w:rsid w:val="000955C2"/>
    <w:rsid w:val="0009778C"/>
    <w:rsid w:val="000A19B2"/>
    <w:rsid w:val="000A27C1"/>
    <w:rsid w:val="000C39F6"/>
    <w:rsid w:val="00111BD0"/>
    <w:rsid w:val="00135CA1"/>
    <w:rsid w:val="00144D10"/>
    <w:rsid w:val="0016074B"/>
    <w:rsid w:val="00163C8E"/>
    <w:rsid w:val="001879FF"/>
    <w:rsid w:val="001902DB"/>
    <w:rsid w:val="001B0AFD"/>
    <w:rsid w:val="001E3457"/>
    <w:rsid w:val="00203577"/>
    <w:rsid w:val="00226206"/>
    <w:rsid w:val="00242E4D"/>
    <w:rsid w:val="00252796"/>
    <w:rsid w:val="00284B1B"/>
    <w:rsid w:val="002A63B7"/>
    <w:rsid w:val="002C6F7A"/>
    <w:rsid w:val="003160F8"/>
    <w:rsid w:val="0032414C"/>
    <w:rsid w:val="00336815"/>
    <w:rsid w:val="00362297"/>
    <w:rsid w:val="00384E8B"/>
    <w:rsid w:val="0039192C"/>
    <w:rsid w:val="003B565D"/>
    <w:rsid w:val="003D16ED"/>
    <w:rsid w:val="003E51F2"/>
    <w:rsid w:val="003F244E"/>
    <w:rsid w:val="00410642"/>
    <w:rsid w:val="00413675"/>
    <w:rsid w:val="00440FD8"/>
    <w:rsid w:val="0045170D"/>
    <w:rsid w:val="00480984"/>
    <w:rsid w:val="0048324E"/>
    <w:rsid w:val="00486934"/>
    <w:rsid w:val="004966BA"/>
    <w:rsid w:val="004B1682"/>
    <w:rsid w:val="004B608B"/>
    <w:rsid w:val="004D6DAF"/>
    <w:rsid w:val="004E616F"/>
    <w:rsid w:val="0050279B"/>
    <w:rsid w:val="00506E3A"/>
    <w:rsid w:val="005444A0"/>
    <w:rsid w:val="00554D7A"/>
    <w:rsid w:val="005715B6"/>
    <w:rsid w:val="005A0A04"/>
    <w:rsid w:val="005A438B"/>
    <w:rsid w:val="005D4DB0"/>
    <w:rsid w:val="005F3B75"/>
    <w:rsid w:val="00601C6A"/>
    <w:rsid w:val="00602C3F"/>
    <w:rsid w:val="00605A2A"/>
    <w:rsid w:val="006246E6"/>
    <w:rsid w:val="006369D9"/>
    <w:rsid w:val="00672CB8"/>
    <w:rsid w:val="00674FF5"/>
    <w:rsid w:val="006A2E06"/>
    <w:rsid w:val="006C0AED"/>
    <w:rsid w:val="006F130E"/>
    <w:rsid w:val="006F404F"/>
    <w:rsid w:val="00721B55"/>
    <w:rsid w:val="007B159C"/>
    <w:rsid w:val="007B25DC"/>
    <w:rsid w:val="007C0792"/>
    <w:rsid w:val="008000A2"/>
    <w:rsid w:val="00893436"/>
    <w:rsid w:val="008953DD"/>
    <w:rsid w:val="008D004F"/>
    <w:rsid w:val="008D1A35"/>
    <w:rsid w:val="008D1F66"/>
    <w:rsid w:val="008E0D0E"/>
    <w:rsid w:val="00927320"/>
    <w:rsid w:val="009302F7"/>
    <w:rsid w:val="00951E5D"/>
    <w:rsid w:val="0096330E"/>
    <w:rsid w:val="009732A4"/>
    <w:rsid w:val="00980496"/>
    <w:rsid w:val="00981AC5"/>
    <w:rsid w:val="009D4CF3"/>
    <w:rsid w:val="00A02E84"/>
    <w:rsid w:val="00A37E8A"/>
    <w:rsid w:val="00A81C93"/>
    <w:rsid w:val="00A95E04"/>
    <w:rsid w:val="00AB1648"/>
    <w:rsid w:val="00AC5908"/>
    <w:rsid w:val="00AF39E7"/>
    <w:rsid w:val="00B06F72"/>
    <w:rsid w:val="00B44BBE"/>
    <w:rsid w:val="00B62BBC"/>
    <w:rsid w:val="00B81AD7"/>
    <w:rsid w:val="00BA7F58"/>
    <w:rsid w:val="00BB7EB9"/>
    <w:rsid w:val="00BC4160"/>
    <w:rsid w:val="00BD7533"/>
    <w:rsid w:val="00BF5698"/>
    <w:rsid w:val="00C0510A"/>
    <w:rsid w:val="00C0716A"/>
    <w:rsid w:val="00C11C8A"/>
    <w:rsid w:val="00C138E4"/>
    <w:rsid w:val="00C31F31"/>
    <w:rsid w:val="00C33DDD"/>
    <w:rsid w:val="00CB3D18"/>
    <w:rsid w:val="00CC53FB"/>
    <w:rsid w:val="00CD1342"/>
    <w:rsid w:val="00CE64DF"/>
    <w:rsid w:val="00CF62C5"/>
    <w:rsid w:val="00D0668C"/>
    <w:rsid w:val="00D261F6"/>
    <w:rsid w:val="00D670F4"/>
    <w:rsid w:val="00D86E7B"/>
    <w:rsid w:val="00DA77C4"/>
    <w:rsid w:val="00DB4D03"/>
    <w:rsid w:val="00DB6924"/>
    <w:rsid w:val="00E05219"/>
    <w:rsid w:val="00E21822"/>
    <w:rsid w:val="00E219F7"/>
    <w:rsid w:val="00E24390"/>
    <w:rsid w:val="00E379B4"/>
    <w:rsid w:val="00E46565"/>
    <w:rsid w:val="00E9303E"/>
    <w:rsid w:val="00EA44B8"/>
    <w:rsid w:val="00EC74BB"/>
    <w:rsid w:val="00F0033B"/>
    <w:rsid w:val="00F055D7"/>
    <w:rsid w:val="00F16C41"/>
    <w:rsid w:val="00F27863"/>
    <w:rsid w:val="00F45E48"/>
    <w:rsid w:val="00F968A3"/>
    <w:rsid w:val="00FB5BB7"/>
    <w:rsid w:val="00FD5508"/>
    <w:rsid w:val="00FD5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7A"/>
    <w:pPr>
      <w:widowControl w:val="0"/>
      <w:spacing w:line="360" w:lineRule="auto"/>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034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4</DocSecurity>
  <Lines>14</Lines>
  <Paragraphs>4</Paragraphs>
  <ScaleCrop>false</ScaleCrop>
  <Company>微软中国</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2024-12-23T16:04:00Z</dcterms:created>
  <dcterms:modified xsi:type="dcterms:W3CDTF">2024-12-23T16:04:00Z</dcterms:modified>
</cp:coreProperties>
</file>