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2E" w:rsidRDefault="00722435">
      <w:pPr>
        <w:widowControl/>
        <w:snapToGrid w:val="0"/>
        <w:spacing w:line="440" w:lineRule="exact"/>
        <w:jc w:val="center"/>
        <w:rPr>
          <w:rFonts w:ascii="宋体" w:hAnsi="宋体"/>
          <w:b/>
          <w:kern w:val="0"/>
          <w:sz w:val="30"/>
          <w:szCs w:val="30"/>
        </w:rPr>
      </w:pPr>
      <w:r>
        <w:rPr>
          <w:rFonts w:ascii="宋体" w:hAnsi="宋体" w:hint="eastAsia"/>
          <w:b/>
          <w:kern w:val="0"/>
          <w:sz w:val="30"/>
          <w:szCs w:val="30"/>
        </w:rPr>
        <w:t>博时基金管理有限公司关于调整旗下部分证券投资基金主流动性服务商的公告</w:t>
      </w:r>
    </w:p>
    <w:p w:rsidR="00715D2E" w:rsidRDefault="00715D2E">
      <w:pPr>
        <w:widowControl/>
        <w:snapToGrid w:val="0"/>
        <w:spacing w:line="440" w:lineRule="exact"/>
        <w:ind w:firstLine="600"/>
        <w:jc w:val="center"/>
        <w:rPr>
          <w:rFonts w:ascii="宋体" w:hAnsi="宋体"/>
          <w:kern w:val="0"/>
          <w:sz w:val="30"/>
          <w:szCs w:val="30"/>
        </w:rPr>
      </w:pPr>
    </w:p>
    <w:p w:rsidR="00715D2E" w:rsidRDefault="00722435">
      <w:pPr>
        <w:pStyle w:val="a6"/>
        <w:spacing w:before="0" w:beforeAutospacing="0" w:after="0" w:afterAutospacing="0" w:line="360" w:lineRule="auto"/>
        <w:ind w:firstLine="420"/>
      </w:pPr>
      <w:r>
        <w:rPr>
          <w:rFonts w:hint="eastAsia"/>
        </w:rPr>
        <w:t> </w:t>
      </w:r>
      <w:r>
        <w:rPr>
          <w:rFonts w:hint="eastAsia"/>
        </w:rPr>
        <w:t>根据《深圳证券交易所证券投资基金业务指引第</w:t>
      </w:r>
      <w:r>
        <w:rPr>
          <w:rFonts w:hint="eastAsia"/>
        </w:rPr>
        <w:t>2</w:t>
      </w:r>
      <w:r>
        <w:rPr>
          <w:rFonts w:hint="eastAsia"/>
        </w:rPr>
        <w:t>号——流动性服务》等有关规定，自</w:t>
      </w:r>
      <w:r>
        <w:rPr>
          <w:rFonts w:hint="eastAsia"/>
        </w:rPr>
        <w:t>2024</w:t>
      </w:r>
      <w:r>
        <w:rPr>
          <w:rFonts w:hint="eastAsia"/>
        </w:rPr>
        <w:t>年</w:t>
      </w:r>
      <w:r>
        <w:rPr>
          <w:rFonts w:hint="eastAsia"/>
        </w:rPr>
        <w:t>12</w:t>
      </w:r>
      <w:r>
        <w:rPr>
          <w:rFonts w:hint="eastAsia"/>
        </w:rPr>
        <w:t>月</w:t>
      </w:r>
      <w:r>
        <w:rPr>
          <w:rFonts w:hint="eastAsia"/>
        </w:rPr>
        <w:t>23</w:t>
      </w:r>
      <w:r>
        <w:rPr>
          <w:rFonts w:hint="eastAsia"/>
        </w:rPr>
        <w:t>日起，本公司将下列证券投资基金的主流动性服务商调整为一般流动性服务商：</w:t>
      </w:r>
      <w:r>
        <w:rPr>
          <w:rFonts w:hint="eastAsia"/>
        </w:rPr>
        <w:t> </w:t>
      </w:r>
    </w:p>
    <w:p w:rsidR="00715D2E" w:rsidRDefault="00722435">
      <w:pPr>
        <w:pStyle w:val="a6"/>
        <w:spacing w:before="0" w:beforeAutospacing="0" w:after="0" w:afterAutospacing="0" w:line="360" w:lineRule="auto"/>
        <w:ind w:firstLine="420"/>
      </w:pPr>
      <w:r>
        <w:rPr>
          <w:rFonts w:hint="eastAsia"/>
        </w:rPr>
        <w:t> 1</w:t>
      </w:r>
      <w:r>
        <w:rPr>
          <w:rFonts w:hint="eastAsia"/>
        </w:rPr>
        <w:t>、博时中证半导体产业交易型开放式指数证券投资基金（基金代码：</w:t>
      </w:r>
      <w:r>
        <w:rPr>
          <w:rFonts w:hint="eastAsia"/>
        </w:rPr>
        <w:t>159582</w:t>
      </w:r>
      <w:r>
        <w:rPr>
          <w:rFonts w:hint="eastAsia"/>
        </w:rPr>
        <w:t>，基金简称</w:t>
      </w:r>
      <w:bookmarkStart w:id="0" w:name="_GoBack"/>
      <w:bookmarkEnd w:id="0"/>
      <w:r>
        <w:rPr>
          <w:rFonts w:hint="eastAsia"/>
        </w:rPr>
        <w:t>：半导体产业</w:t>
      </w:r>
      <w:r>
        <w:rPr>
          <w:rFonts w:hint="eastAsia"/>
        </w:rPr>
        <w:t>ETF</w:t>
      </w:r>
      <w:r>
        <w:rPr>
          <w:rFonts w:hint="eastAsia"/>
        </w:rPr>
        <w:t>）：</w:t>
      </w:r>
      <w:r>
        <w:rPr>
          <w:rFonts w:hint="eastAsia"/>
        </w:rPr>
        <w:t> </w:t>
      </w:r>
    </w:p>
    <w:p w:rsidR="00715D2E" w:rsidRDefault="00722435">
      <w:pPr>
        <w:pStyle w:val="a6"/>
        <w:spacing w:before="0" w:beforeAutospacing="0" w:after="0" w:afterAutospacing="0" w:line="360" w:lineRule="auto"/>
        <w:ind w:firstLine="420"/>
      </w:pPr>
      <w:r>
        <w:rPr>
          <w:rFonts w:hint="eastAsia"/>
        </w:rPr>
        <w:t> </w:t>
      </w:r>
      <w:r>
        <w:rPr>
          <w:rFonts w:hint="eastAsia"/>
        </w:rPr>
        <w:t>招商证券股份有限公司。</w:t>
      </w:r>
      <w:r>
        <w:rPr>
          <w:rFonts w:hint="eastAsia"/>
        </w:rPr>
        <w:t> </w:t>
      </w:r>
    </w:p>
    <w:p w:rsidR="00715D2E" w:rsidRDefault="00722435">
      <w:pPr>
        <w:pStyle w:val="a6"/>
        <w:spacing w:before="0" w:beforeAutospacing="0" w:after="0" w:afterAutospacing="0" w:line="360" w:lineRule="auto"/>
        <w:ind w:firstLine="420"/>
      </w:pPr>
      <w:r>
        <w:rPr>
          <w:rFonts w:hint="eastAsia"/>
        </w:rPr>
        <w:t> 2</w:t>
      </w:r>
      <w:r>
        <w:rPr>
          <w:rFonts w:hint="eastAsia"/>
        </w:rPr>
        <w:t>、博时恒生科技交易型开放式指数证券投资基金</w:t>
      </w:r>
      <w:r>
        <w:rPr>
          <w:rFonts w:hint="eastAsia"/>
        </w:rPr>
        <w:t>(QDII)</w:t>
      </w:r>
      <w:r>
        <w:rPr>
          <w:rFonts w:hint="eastAsia"/>
        </w:rPr>
        <w:t>（基金代码：</w:t>
      </w:r>
      <w:r>
        <w:rPr>
          <w:rFonts w:hint="eastAsia"/>
        </w:rPr>
        <w:t>159742</w:t>
      </w:r>
      <w:r>
        <w:rPr>
          <w:rFonts w:hint="eastAsia"/>
        </w:rPr>
        <w:t>，基金简称：恒生科技指数</w:t>
      </w:r>
      <w:r>
        <w:rPr>
          <w:rFonts w:hint="eastAsia"/>
        </w:rPr>
        <w:t>ETF</w:t>
      </w:r>
      <w:r>
        <w:rPr>
          <w:rFonts w:hint="eastAsia"/>
        </w:rPr>
        <w:t>）：</w:t>
      </w:r>
      <w:r>
        <w:rPr>
          <w:rFonts w:hint="eastAsia"/>
        </w:rPr>
        <w:t> </w:t>
      </w:r>
    </w:p>
    <w:p w:rsidR="00715D2E" w:rsidRDefault="00722435">
      <w:pPr>
        <w:pStyle w:val="a6"/>
        <w:spacing w:before="0" w:beforeAutospacing="0" w:after="0" w:afterAutospacing="0" w:line="360" w:lineRule="auto"/>
        <w:ind w:firstLine="420"/>
      </w:pPr>
      <w:r>
        <w:rPr>
          <w:rFonts w:hint="eastAsia"/>
        </w:rPr>
        <w:t> </w:t>
      </w:r>
      <w:r>
        <w:rPr>
          <w:rFonts w:hint="eastAsia"/>
        </w:rPr>
        <w:t>华泰证券股份有限公司。</w:t>
      </w:r>
      <w:r>
        <w:rPr>
          <w:rFonts w:hint="eastAsia"/>
        </w:rPr>
        <w:t> </w:t>
      </w:r>
    </w:p>
    <w:p w:rsidR="00715D2E" w:rsidRDefault="00722435">
      <w:pPr>
        <w:pStyle w:val="a6"/>
        <w:spacing w:before="0" w:beforeAutospacing="0" w:after="0" w:afterAutospacing="0" w:line="360" w:lineRule="auto"/>
        <w:ind w:firstLine="420"/>
      </w:pPr>
      <w:r>
        <w:rPr>
          <w:rFonts w:hint="eastAsia"/>
        </w:rPr>
        <w:t> 3</w:t>
      </w:r>
      <w:r>
        <w:rPr>
          <w:rFonts w:hint="eastAsia"/>
        </w:rPr>
        <w:t>、博时黄金交易型开放式证券投资基金（基金代码：</w:t>
      </w:r>
      <w:r>
        <w:rPr>
          <w:rFonts w:hint="eastAsia"/>
        </w:rPr>
        <w:t>159937</w:t>
      </w:r>
      <w:r>
        <w:rPr>
          <w:rFonts w:hint="eastAsia"/>
        </w:rPr>
        <w:t>，基金简称：黄金</w:t>
      </w:r>
      <w:r>
        <w:rPr>
          <w:rFonts w:hint="eastAsia"/>
        </w:rPr>
        <w:t>ETF</w:t>
      </w:r>
      <w:r>
        <w:rPr>
          <w:rFonts w:hint="eastAsia"/>
        </w:rPr>
        <w:t>基金）：</w:t>
      </w:r>
      <w:r>
        <w:rPr>
          <w:rFonts w:hint="eastAsia"/>
        </w:rPr>
        <w:t> </w:t>
      </w:r>
    </w:p>
    <w:p w:rsidR="00715D2E" w:rsidRDefault="00722435">
      <w:pPr>
        <w:pStyle w:val="a6"/>
        <w:spacing w:before="0" w:beforeAutospacing="0" w:after="0" w:afterAutospacing="0" w:line="360" w:lineRule="auto"/>
        <w:ind w:firstLine="420"/>
      </w:pPr>
      <w:r>
        <w:rPr>
          <w:rFonts w:hint="eastAsia"/>
        </w:rPr>
        <w:t> </w:t>
      </w:r>
      <w:r>
        <w:rPr>
          <w:rFonts w:hint="eastAsia"/>
        </w:rPr>
        <w:t>国金证券股份有限公司。</w:t>
      </w:r>
      <w:r>
        <w:rPr>
          <w:rFonts w:hint="eastAsia"/>
        </w:rPr>
        <w:t> </w:t>
      </w:r>
    </w:p>
    <w:p w:rsidR="00715D2E" w:rsidRDefault="00722435">
      <w:pPr>
        <w:pStyle w:val="a6"/>
        <w:spacing w:before="0" w:beforeAutospacing="0" w:after="0" w:afterAutospacing="0" w:line="360" w:lineRule="auto"/>
        <w:ind w:firstLine="420"/>
      </w:pPr>
      <w:r>
        <w:rPr>
          <w:rFonts w:hint="eastAsia"/>
        </w:rPr>
        <w:t> </w:t>
      </w:r>
    </w:p>
    <w:p w:rsidR="00715D2E" w:rsidRDefault="00722435">
      <w:pPr>
        <w:pStyle w:val="a6"/>
        <w:spacing w:before="0" w:beforeAutospacing="0" w:after="0" w:afterAutospacing="0" w:line="360" w:lineRule="auto"/>
        <w:ind w:firstLine="420"/>
      </w:pPr>
      <w:r>
        <w:rPr>
          <w:rFonts w:hint="eastAsia"/>
        </w:rPr>
        <w:t> </w:t>
      </w:r>
      <w:r>
        <w:rPr>
          <w:rFonts w:hint="eastAsia"/>
        </w:rPr>
        <w:t>特此公告。</w:t>
      </w:r>
      <w:r>
        <w:rPr>
          <w:rFonts w:hint="eastAsia"/>
        </w:rPr>
        <w:t> </w:t>
      </w:r>
    </w:p>
    <w:p w:rsidR="00715D2E" w:rsidRDefault="00715D2E">
      <w:pPr>
        <w:spacing w:line="440" w:lineRule="exact"/>
        <w:rPr>
          <w:rFonts w:ascii="宋体" w:hAnsi="宋体"/>
          <w:sz w:val="24"/>
        </w:rPr>
      </w:pPr>
    </w:p>
    <w:p w:rsidR="00715D2E" w:rsidRDefault="00722435">
      <w:pPr>
        <w:spacing w:line="440" w:lineRule="exact"/>
        <w:ind w:firstLine="420"/>
        <w:jc w:val="center"/>
        <w:rPr>
          <w:rFonts w:ascii="宋体" w:hAnsi="宋体"/>
          <w:sz w:val="24"/>
        </w:rPr>
      </w:pPr>
      <w:r>
        <w:rPr>
          <w:rFonts w:ascii="宋体" w:hAnsi="宋体" w:hint="eastAsia"/>
          <w:sz w:val="24"/>
        </w:rPr>
        <w:t xml:space="preserve"> </w:t>
      </w:r>
    </w:p>
    <w:p w:rsidR="00715D2E" w:rsidRDefault="00722435">
      <w:pPr>
        <w:spacing w:line="440" w:lineRule="exact"/>
        <w:ind w:firstLine="420"/>
        <w:jc w:val="right"/>
        <w:rPr>
          <w:rFonts w:ascii="宋体" w:hAnsi="宋体"/>
          <w:sz w:val="24"/>
        </w:rPr>
      </w:pPr>
      <w:r>
        <w:rPr>
          <w:rFonts w:ascii="宋体" w:hAnsi="宋体" w:hint="eastAsia"/>
          <w:sz w:val="24"/>
        </w:rPr>
        <w:t>博时基金管理有限公司</w:t>
      </w:r>
    </w:p>
    <w:p w:rsidR="00715D2E" w:rsidRDefault="00722435">
      <w:pPr>
        <w:spacing w:line="440" w:lineRule="exact"/>
        <w:ind w:firstLine="420"/>
        <w:jc w:val="right"/>
      </w:pPr>
      <w:r>
        <w:rPr>
          <w:rFonts w:ascii="宋体" w:hAnsi="宋体"/>
          <w:sz w:val="24"/>
        </w:rPr>
        <w:t>2024</w:t>
      </w:r>
      <w:r>
        <w:rPr>
          <w:rFonts w:ascii="宋体" w:hAnsi="宋体"/>
          <w:sz w:val="24"/>
        </w:rPr>
        <w:t>年</w:t>
      </w:r>
      <w:r>
        <w:rPr>
          <w:rFonts w:ascii="宋体" w:hAnsi="宋体"/>
          <w:sz w:val="24"/>
        </w:rPr>
        <w:t>12</w:t>
      </w:r>
      <w:r>
        <w:rPr>
          <w:rFonts w:ascii="宋体" w:hAnsi="宋体"/>
          <w:sz w:val="24"/>
        </w:rPr>
        <w:t>月</w:t>
      </w:r>
      <w:r>
        <w:rPr>
          <w:rFonts w:ascii="宋体" w:hAnsi="宋体"/>
          <w:sz w:val="24"/>
        </w:rPr>
        <w:t>24</w:t>
      </w:r>
      <w:r>
        <w:rPr>
          <w:rFonts w:ascii="宋体" w:hAnsi="宋体"/>
          <w:sz w:val="24"/>
        </w:rPr>
        <w:t>日</w:t>
      </w:r>
    </w:p>
    <w:sectPr w:rsidR="00715D2E" w:rsidSect="00715D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0A6589"/>
    <w:rsid w:val="000A6589"/>
    <w:rsid w:val="003D39E9"/>
    <w:rsid w:val="00715D2E"/>
    <w:rsid w:val="00722435"/>
    <w:rsid w:val="0EC15D17"/>
    <w:rsid w:val="14067651"/>
    <w:rsid w:val="14752CB1"/>
    <w:rsid w:val="17344E14"/>
    <w:rsid w:val="1F8C3802"/>
    <w:rsid w:val="234A44E6"/>
    <w:rsid w:val="25B96CAB"/>
    <w:rsid w:val="26574D33"/>
    <w:rsid w:val="26BA22AF"/>
    <w:rsid w:val="3E1D224B"/>
    <w:rsid w:val="43B4209F"/>
    <w:rsid w:val="44925E9D"/>
    <w:rsid w:val="4953170F"/>
    <w:rsid w:val="547B4A8C"/>
    <w:rsid w:val="5A8D40CF"/>
    <w:rsid w:val="60D16957"/>
    <w:rsid w:val="64B36465"/>
    <w:rsid w:val="68E431D2"/>
    <w:rsid w:val="7B0F2A24"/>
    <w:rsid w:val="7F6F5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D2E"/>
    <w:pPr>
      <w:widowControl w:val="0"/>
      <w:jc w:val="both"/>
    </w:pPr>
    <w:rPr>
      <w:kern w:val="2"/>
      <w:sz w:val="21"/>
      <w:szCs w:val="24"/>
    </w:rPr>
  </w:style>
  <w:style w:type="paragraph" w:styleId="4">
    <w:name w:val="heading 4"/>
    <w:basedOn w:val="a"/>
    <w:next w:val="a"/>
    <w:semiHidden/>
    <w:unhideWhenUsed/>
    <w:qFormat/>
    <w:rsid w:val="00715D2E"/>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715D2E"/>
    <w:pPr>
      <w:jc w:val="left"/>
    </w:pPr>
  </w:style>
  <w:style w:type="paragraph" w:styleId="a4">
    <w:name w:val="footer"/>
    <w:basedOn w:val="a"/>
    <w:link w:val="Char"/>
    <w:qFormat/>
    <w:rsid w:val="00715D2E"/>
    <w:pPr>
      <w:tabs>
        <w:tab w:val="center" w:pos="4153"/>
        <w:tab w:val="right" w:pos="8306"/>
      </w:tabs>
      <w:snapToGrid w:val="0"/>
      <w:jc w:val="left"/>
    </w:pPr>
    <w:rPr>
      <w:sz w:val="18"/>
      <w:szCs w:val="18"/>
    </w:rPr>
  </w:style>
  <w:style w:type="paragraph" w:styleId="a5">
    <w:name w:val="header"/>
    <w:basedOn w:val="a"/>
    <w:link w:val="Char0"/>
    <w:qFormat/>
    <w:rsid w:val="00715D2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715D2E"/>
    <w:pPr>
      <w:widowControl/>
      <w:spacing w:before="100" w:beforeAutospacing="1" w:after="100" w:afterAutospacing="1"/>
      <w:jc w:val="left"/>
    </w:pPr>
    <w:rPr>
      <w:rFonts w:ascii="宋体" w:hAnsi="宋体" w:cs="宋体"/>
      <w:kern w:val="0"/>
      <w:sz w:val="24"/>
    </w:rPr>
  </w:style>
  <w:style w:type="paragraph" w:customStyle="1" w:styleId="1">
    <w:name w:val="样式1"/>
    <w:basedOn w:val="4"/>
    <w:next w:val="a"/>
    <w:qFormat/>
    <w:rsid w:val="00715D2E"/>
    <w:pPr>
      <w:numPr>
        <w:numId w:val="1"/>
      </w:numPr>
    </w:pPr>
    <w:rPr>
      <w:rFonts w:asciiTheme="minorHAnsi" w:hAnsiTheme="minorHAnsi"/>
      <w:sz w:val="24"/>
    </w:rPr>
  </w:style>
  <w:style w:type="character" w:customStyle="1" w:styleId="Char0">
    <w:name w:val="页眉 Char"/>
    <w:basedOn w:val="a0"/>
    <w:link w:val="a5"/>
    <w:qFormat/>
    <w:rsid w:val="00715D2E"/>
    <w:rPr>
      <w:kern w:val="2"/>
      <w:sz w:val="18"/>
      <w:szCs w:val="18"/>
    </w:rPr>
  </w:style>
  <w:style w:type="character" w:customStyle="1" w:styleId="Char">
    <w:name w:val="页脚 Char"/>
    <w:basedOn w:val="a0"/>
    <w:link w:val="a4"/>
    <w:rsid w:val="00715D2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4</DocSecurity>
  <Lines>2</Lines>
  <Paragraphs>1</Paragraphs>
  <ScaleCrop>false</ScaleCrop>
  <Company>mycompany</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yyli01.oth</dc:creator>
  <cp:lastModifiedBy>ZHONGM</cp:lastModifiedBy>
  <cp:revision>2</cp:revision>
  <dcterms:created xsi:type="dcterms:W3CDTF">2024-12-23T16:04:00Z</dcterms:created>
  <dcterms:modified xsi:type="dcterms:W3CDTF">2024-12-23T16:04:00Z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B00C3DA7780E49CFB28798986B20F482</vt:lpwstr>
  </property>
</Properties>
</file>