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6602FD" w:rsidRDefault="00A953E5" w:rsidP="00B14D73">
      <w:pPr>
        <w:widowControl/>
        <w:spacing w:line="360" w:lineRule="auto"/>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国联安中短债债券型证券投资基金</w:t>
      </w:r>
      <w:r w:rsidR="00893436" w:rsidRPr="006602FD">
        <w:rPr>
          <w:rFonts w:asciiTheme="minorEastAsia" w:eastAsiaTheme="minorEastAsia" w:hAnsiTheme="minorEastAsia" w:cs="宋体" w:hint="eastAsia"/>
          <w:b/>
          <w:kern w:val="0"/>
          <w:sz w:val="30"/>
          <w:szCs w:val="30"/>
        </w:rPr>
        <w:t>分红公告</w:t>
      </w:r>
    </w:p>
    <w:p w:rsidR="00893436" w:rsidRPr="008656F5" w:rsidRDefault="00893436" w:rsidP="00B14D73">
      <w:pPr>
        <w:spacing w:line="360" w:lineRule="auto"/>
        <w:jc w:val="center"/>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公告送出日期：</w:t>
      </w:r>
      <w:r w:rsidR="00004258">
        <w:rPr>
          <w:rFonts w:asciiTheme="minorEastAsia" w:eastAsiaTheme="minorEastAsia" w:hAnsiTheme="minorEastAsia" w:cs="宋体"/>
          <w:bCs/>
          <w:sz w:val="24"/>
          <w:szCs w:val="24"/>
        </w:rPr>
        <w:t>20</w:t>
      </w:r>
      <w:r w:rsidR="00004258">
        <w:rPr>
          <w:rFonts w:asciiTheme="minorEastAsia" w:eastAsiaTheme="minorEastAsia" w:hAnsiTheme="minorEastAsia" w:cs="宋体" w:hint="eastAsia"/>
          <w:bCs/>
          <w:sz w:val="24"/>
          <w:szCs w:val="24"/>
        </w:rPr>
        <w:t>2</w:t>
      </w:r>
      <w:r w:rsidR="00004258">
        <w:rPr>
          <w:rFonts w:asciiTheme="minorEastAsia" w:eastAsiaTheme="minorEastAsia" w:hAnsiTheme="minorEastAsia" w:cs="宋体"/>
          <w:bCs/>
          <w:sz w:val="24"/>
          <w:szCs w:val="24"/>
        </w:rPr>
        <w:t>4</w:t>
      </w:r>
      <w:r w:rsidR="00A953E5" w:rsidRPr="008656F5">
        <w:rPr>
          <w:rFonts w:asciiTheme="minorEastAsia" w:eastAsiaTheme="minorEastAsia" w:hAnsiTheme="minorEastAsia" w:cs="宋体"/>
          <w:bCs/>
          <w:sz w:val="24"/>
          <w:szCs w:val="24"/>
        </w:rPr>
        <w:t>年</w:t>
      </w:r>
      <w:r w:rsidR="00A953E5">
        <w:rPr>
          <w:rFonts w:asciiTheme="minorEastAsia" w:eastAsiaTheme="minorEastAsia" w:hAnsiTheme="minorEastAsia" w:cs="宋体"/>
          <w:bCs/>
          <w:sz w:val="24"/>
          <w:szCs w:val="24"/>
        </w:rPr>
        <w:t>12</w:t>
      </w:r>
      <w:r w:rsidRPr="008656F5">
        <w:rPr>
          <w:rFonts w:asciiTheme="minorEastAsia" w:eastAsiaTheme="minorEastAsia" w:hAnsiTheme="minorEastAsia" w:cs="宋体"/>
          <w:bCs/>
          <w:sz w:val="24"/>
          <w:szCs w:val="24"/>
        </w:rPr>
        <w:t>月</w:t>
      </w:r>
      <w:r w:rsidR="00004258">
        <w:rPr>
          <w:rFonts w:asciiTheme="minorEastAsia" w:eastAsiaTheme="minorEastAsia" w:hAnsiTheme="minorEastAsia" w:cs="宋体"/>
          <w:bCs/>
          <w:sz w:val="24"/>
          <w:szCs w:val="24"/>
        </w:rPr>
        <w:t>23</w:t>
      </w:r>
      <w:r w:rsidRPr="008656F5">
        <w:rPr>
          <w:rFonts w:asciiTheme="minorEastAsia" w:eastAsiaTheme="minorEastAsia" w:hAnsiTheme="minorEastAsia" w:cs="宋体"/>
          <w:bCs/>
          <w:sz w:val="24"/>
          <w:szCs w:val="24"/>
        </w:rPr>
        <w:t>日</w:t>
      </w:r>
    </w:p>
    <w:p w:rsidR="00893436" w:rsidRPr="008656F5" w:rsidRDefault="00893436" w:rsidP="00B14D73">
      <w:pPr>
        <w:spacing w:line="360" w:lineRule="auto"/>
        <w:jc w:val="center"/>
        <w:rPr>
          <w:rFonts w:asciiTheme="minorEastAsia" w:eastAsiaTheme="minorEastAsia" w:hAnsiTheme="minorEastAsia"/>
          <w:color w:val="000000"/>
          <w:sz w:val="24"/>
          <w:szCs w:val="24"/>
        </w:rPr>
      </w:pPr>
    </w:p>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0" w:name="_Toc275961418"/>
      <w:r w:rsidRPr="008656F5">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8"/>
        <w:gridCol w:w="2410"/>
        <w:gridCol w:w="1701"/>
        <w:gridCol w:w="1559"/>
        <w:gridCol w:w="1601"/>
      </w:tblGrid>
      <w:tr w:rsidR="0039192C" w:rsidRPr="008656F5" w:rsidTr="003A6D68">
        <w:trPr>
          <w:jc w:val="center"/>
        </w:trPr>
        <w:tc>
          <w:tcPr>
            <w:tcW w:w="4778"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基金名称</w:t>
            </w:r>
          </w:p>
        </w:tc>
        <w:tc>
          <w:tcPr>
            <w:tcW w:w="4861" w:type="dxa"/>
            <w:gridSpan w:val="3"/>
            <w:vAlign w:val="center"/>
          </w:tcPr>
          <w:p w:rsidR="0039192C" w:rsidRPr="008656F5" w:rsidRDefault="00A953E5" w:rsidP="00F330C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国联安中短债债券型证券投资基金</w:t>
            </w:r>
          </w:p>
        </w:tc>
      </w:tr>
      <w:tr w:rsidR="0039192C" w:rsidRPr="008656F5" w:rsidTr="003A6D68">
        <w:trPr>
          <w:jc w:val="center"/>
        </w:trPr>
        <w:tc>
          <w:tcPr>
            <w:tcW w:w="4778"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基金简称</w:t>
            </w:r>
          </w:p>
        </w:tc>
        <w:tc>
          <w:tcPr>
            <w:tcW w:w="4861" w:type="dxa"/>
            <w:gridSpan w:val="3"/>
            <w:vAlign w:val="center"/>
          </w:tcPr>
          <w:p w:rsidR="0039192C" w:rsidRPr="008656F5" w:rsidRDefault="00A953E5" w:rsidP="00A50A31">
            <w:pPr>
              <w:spacing w:line="360" w:lineRule="auto"/>
              <w:rPr>
                <w:rFonts w:asciiTheme="minorEastAsia" w:eastAsiaTheme="minorEastAsia" w:hAnsiTheme="minorEastAsia"/>
                <w:sz w:val="24"/>
                <w:szCs w:val="24"/>
              </w:rPr>
            </w:pPr>
            <w:r w:rsidRPr="003A6D68">
              <w:rPr>
                <w:rFonts w:asciiTheme="minorEastAsia" w:eastAsiaTheme="minorEastAsia" w:hAnsiTheme="minorEastAsia" w:hint="eastAsia"/>
                <w:sz w:val="24"/>
                <w:szCs w:val="24"/>
              </w:rPr>
              <w:t>国联安中短债债券</w:t>
            </w:r>
          </w:p>
        </w:tc>
      </w:tr>
      <w:tr w:rsidR="0039192C" w:rsidRPr="008656F5" w:rsidTr="003A6D68">
        <w:trPr>
          <w:jc w:val="center"/>
        </w:trPr>
        <w:tc>
          <w:tcPr>
            <w:tcW w:w="4778"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基金主代码</w:t>
            </w:r>
          </w:p>
        </w:tc>
        <w:tc>
          <w:tcPr>
            <w:tcW w:w="4861" w:type="dxa"/>
            <w:gridSpan w:val="3"/>
            <w:vAlign w:val="center"/>
          </w:tcPr>
          <w:p w:rsidR="0039192C" w:rsidRPr="008656F5" w:rsidRDefault="00A953E5" w:rsidP="00A50A31">
            <w:pPr>
              <w:spacing w:line="360" w:lineRule="auto"/>
              <w:rPr>
                <w:rFonts w:asciiTheme="minorEastAsia" w:eastAsiaTheme="minorEastAsia" w:hAnsiTheme="minorEastAsia"/>
                <w:sz w:val="24"/>
                <w:szCs w:val="24"/>
              </w:rPr>
            </w:pPr>
            <w:r w:rsidRPr="003A6D68">
              <w:rPr>
                <w:rFonts w:asciiTheme="minorEastAsia" w:eastAsiaTheme="minorEastAsia" w:hAnsiTheme="minorEastAsia"/>
                <w:sz w:val="24"/>
                <w:szCs w:val="24"/>
              </w:rPr>
              <w:t>014636</w:t>
            </w:r>
          </w:p>
        </w:tc>
      </w:tr>
      <w:tr w:rsidR="0039192C" w:rsidRPr="008656F5" w:rsidTr="003A6D68">
        <w:trPr>
          <w:jc w:val="center"/>
        </w:trPr>
        <w:tc>
          <w:tcPr>
            <w:tcW w:w="4778" w:type="dxa"/>
            <w:gridSpan w:val="2"/>
            <w:vAlign w:val="center"/>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基金合同生效日</w:t>
            </w:r>
          </w:p>
        </w:tc>
        <w:tc>
          <w:tcPr>
            <w:tcW w:w="4861" w:type="dxa"/>
            <w:gridSpan w:val="3"/>
            <w:vAlign w:val="center"/>
          </w:tcPr>
          <w:p w:rsidR="0039192C" w:rsidRPr="008656F5" w:rsidRDefault="00A953E5" w:rsidP="00973E05">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2022</w:t>
            </w:r>
            <w:r w:rsidR="00921065">
              <w:rPr>
                <w:rFonts w:asciiTheme="minorEastAsia" w:eastAsiaTheme="minorEastAsia" w:hAnsiTheme="minorEastAsia"/>
                <w:sz w:val="24"/>
                <w:szCs w:val="24"/>
              </w:rPr>
              <w:t>年</w:t>
            </w:r>
            <w:r>
              <w:rPr>
                <w:rFonts w:asciiTheme="minorEastAsia" w:eastAsiaTheme="minorEastAsia" w:hAnsiTheme="minorEastAsia"/>
                <w:sz w:val="24"/>
                <w:szCs w:val="24"/>
              </w:rPr>
              <w:t>5</w:t>
            </w:r>
            <w:r w:rsidR="00921065">
              <w:rPr>
                <w:rFonts w:asciiTheme="minorEastAsia" w:eastAsiaTheme="minorEastAsia" w:hAnsiTheme="minorEastAsia"/>
                <w:sz w:val="24"/>
                <w:szCs w:val="24"/>
              </w:rPr>
              <w:t>月</w:t>
            </w:r>
            <w:r>
              <w:rPr>
                <w:rFonts w:asciiTheme="minorEastAsia" w:eastAsiaTheme="minorEastAsia" w:hAnsiTheme="minorEastAsia"/>
                <w:sz w:val="24"/>
                <w:szCs w:val="24"/>
              </w:rPr>
              <w:t>11</w:t>
            </w:r>
            <w:r w:rsidR="00973E05">
              <w:rPr>
                <w:rFonts w:asciiTheme="minorEastAsia" w:eastAsiaTheme="minorEastAsia" w:hAnsiTheme="minorEastAsia"/>
                <w:sz w:val="24"/>
                <w:szCs w:val="24"/>
              </w:rPr>
              <w:t>日</w:t>
            </w:r>
          </w:p>
        </w:tc>
      </w:tr>
      <w:tr w:rsidR="0039192C" w:rsidRPr="008656F5" w:rsidTr="003A6D68">
        <w:trPr>
          <w:jc w:val="center"/>
        </w:trPr>
        <w:tc>
          <w:tcPr>
            <w:tcW w:w="4778"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基金管理人名称</w:t>
            </w:r>
          </w:p>
        </w:tc>
        <w:tc>
          <w:tcPr>
            <w:tcW w:w="4861" w:type="dxa"/>
            <w:gridSpan w:val="3"/>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国联安基金管理有限公司</w:t>
            </w:r>
          </w:p>
        </w:tc>
      </w:tr>
      <w:tr w:rsidR="0039192C" w:rsidRPr="008656F5" w:rsidTr="003A6D68">
        <w:trPr>
          <w:jc w:val="center"/>
        </w:trPr>
        <w:tc>
          <w:tcPr>
            <w:tcW w:w="4778"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基金托管人名称</w:t>
            </w:r>
          </w:p>
        </w:tc>
        <w:tc>
          <w:tcPr>
            <w:tcW w:w="4861" w:type="dxa"/>
            <w:gridSpan w:val="3"/>
            <w:vAlign w:val="center"/>
          </w:tcPr>
          <w:p w:rsidR="0039192C" w:rsidRPr="008656F5" w:rsidRDefault="0050078E" w:rsidP="00B14D73">
            <w:pPr>
              <w:spacing w:line="360" w:lineRule="auto"/>
              <w:rPr>
                <w:rFonts w:asciiTheme="minorEastAsia" w:eastAsiaTheme="minorEastAsia" w:hAnsiTheme="minorEastAsia"/>
                <w:sz w:val="24"/>
                <w:szCs w:val="24"/>
              </w:rPr>
            </w:pPr>
            <w:r w:rsidRPr="0050078E">
              <w:rPr>
                <w:rFonts w:asciiTheme="minorEastAsia" w:eastAsiaTheme="minorEastAsia" w:hAnsiTheme="minorEastAsia" w:hint="eastAsia"/>
                <w:sz w:val="24"/>
                <w:szCs w:val="24"/>
              </w:rPr>
              <w:t>中国</w:t>
            </w:r>
            <w:r w:rsidR="00A953E5">
              <w:rPr>
                <w:rFonts w:asciiTheme="minorEastAsia" w:eastAsiaTheme="minorEastAsia" w:hAnsiTheme="minorEastAsia" w:hint="eastAsia"/>
                <w:sz w:val="24"/>
                <w:szCs w:val="24"/>
              </w:rPr>
              <w:t>光大</w:t>
            </w:r>
            <w:r w:rsidRPr="0050078E">
              <w:rPr>
                <w:rFonts w:asciiTheme="minorEastAsia" w:eastAsiaTheme="minorEastAsia" w:hAnsiTheme="minorEastAsia" w:hint="eastAsia"/>
                <w:sz w:val="24"/>
                <w:szCs w:val="24"/>
              </w:rPr>
              <w:t>银行股份有限公司</w:t>
            </w:r>
          </w:p>
        </w:tc>
      </w:tr>
      <w:tr w:rsidR="0039192C" w:rsidRPr="008656F5" w:rsidTr="003A6D68">
        <w:trPr>
          <w:jc w:val="center"/>
        </w:trPr>
        <w:tc>
          <w:tcPr>
            <w:tcW w:w="4778" w:type="dxa"/>
            <w:gridSpan w:val="2"/>
          </w:tcPr>
          <w:p w:rsidR="0039192C" w:rsidRPr="008656F5" w:rsidRDefault="0039192C"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公告依据</w:t>
            </w:r>
          </w:p>
        </w:tc>
        <w:tc>
          <w:tcPr>
            <w:tcW w:w="4861" w:type="dxa"/>
            <w:gridSpan w:val="3"/>
            <w:vAlign w:val="center"/>
          </w:tcPr>
          <w:p w:rsidR="0039192C" w:rsidRPr="008656F5" w:rsidRDefault="0039192C"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w:t>
            </w:r>
            <w:r w:rsidR="00A953E5">
              <w:rPr>
                <w:rFonts w:asciiTheme="minorEastAsia" w:eastAsiaTheme="minorEastAsia" w:hAnsiTheme="minorEastAsia" w:hint="eastAsia"/>
                <w:sz w:val="24"/>
                <w:szCs w:val="24"/>
              </w:rPr>
              <w:t>国联安中短债债券型证券投资基金</w:t>
            </w:r>
            <w:r w:rsidRPr="008656F5">
              <w:rPr>
                <w:rFonts w:asciiTheme="minorEastAsia" w:eastAsiaTheme="minorEastAsia" w:hAnsiTheme="minorEastAsia"/>
                <w:sz w:val="24"/>
                <w:szCs w:val="24"/>
              </w:rPr>
              <w:t>基金合同》（以下简称“《基金合同》”）、《</w:t>
            </w:r>
            <w:r w:rsidR="00A953E5">
              <w:rPr>
                <w:rFonts w:asciiTheme="minorEastAsia" w:eastAsiaTheme="minorEastAsia" w:hAnsiTheme="minorEastAsia" w:hint="eastAsia"/>
                <w:sz w:val="24"/>
                <w:szCs w:val="24"/>
              </w:rPr>
              <w:t>国联安中短债债券型证券投资基金</w:t>
            </w:r>
            <w:r w:rsidR="003F5BA0">
              <w:rPr>
                <w:rFonts w:asciiTheme="minorEastAsia" w:eastAsiaTheme="minorEastAsia" w:hAnsiTheme="minorEastAsia"/>
                <w:sz w:val="24"/>
                <w:szCs w:val="24"/>
              </w:rPr>
              <w:t>招募说明书（更新）》等相关法律文件</w:t>
            </w:r>
            <w:r w:rsidR="00032C44">
              <w:rPr>
                <w:rFonts w:asciiTheme="minorEastAsia" w:eastAsiaTheme="minorEastAsia" w:hAnsiTheme="minorEastAsia" w:hint="eastAsia"/>
                <w:sz w:val="24"/>
                <w:szCs w:val="24"/>
              </w:rPr>
              <w:t>及相关法律法规</w:t>
            </w:r>
          </w:p>
        </w:tc>
      </w:tr>
      <w:tr w:rsidR="00893436" w:rsidRPr="008656F5" w:rsidTr="003A6D68">
        <w:trPr>
          <w:jc w:val="center"/>
        </w:trPr>
        <w:tc>
          <w:tcPr>
            <w:tcW w:w="4778" w:type="dxa"/>
            <w:gridSpan w:val="2"/>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收益分配基准日</w:t>
            </w:r>
          </w:p>
        </w:tc>
        <w:tc>
          <w:tcPr>
            <w:tcW w:w="4861" w:type="dxa"/>
            <w:gridSpan w:val="3"/>
          </w:tcPr>
          <w:p w:rsidR="00893436" w:rsidRPr="008656F5" w:rsidRDefault="00004258" w:rsidP="00D336CC">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20</w:t>
            </w:r>
            <w:r>
              <w:rPr>
                <w:rFonts w:asciiTheme="minorEastAsia" w:eastAsiaTheme="minorEastAsia" w:hAnsiTheme="minorEastAsia" w:hint="eastAsia"/>
                <w:sz w:val="24"/>
                <w:szCs w:val="24"/>
              </w:rPr>
              <w:t>2</w:t>
            </w:r>
            <w:r>
              <w:rPr>
                <w:rFonts w:asciiTheme="minorEastAsia" w:eastAsiaTheme="minorEastAsia" w:hAnsiTheme="minorEastAsia"/>
                <w:sz w:val="24"/>
                <w:szCs w:val="24"/>
              </w:rPr>
              <w:t>4</w:t>
            </w:r>
            <w:r w:rsidR="00164F39" w:rsidRPr="008656F5">
              <w:rPr>
                <w:rFonts w:asciiTheme="minorEastAsia" w:eastAsiaTheme="minorEastAsia" w:hAnsiTheme="minorEastAsia"/>
                <w:sz w:val="24"/>
                <w:szCs w:val="24"/>
              </w:rPr>
              <w:t>年</w:t>
            </w:r>
            <w:r w:rsidR="000C44FB">
              <w:rPr>
                <w:rFonts w:asciiTheme="minorEastAsia" w:eastAsiaTheme="minorEastAsia" w:hAnsiTheme="minorEastAsia" w:hint="eastAsia"/>
                <w:sz w:val="24"/>
                <w:szCs w:val="24"/>
              </w:rPr>
              <w:t>1</w:t>
            </w:r>
            <w:r w:rsidR="000C44FB">
              <w:rPr>
                <w:rFonts w:asciiTheme="minorEastAsia" w:eastAsiaTheme="minorEastAsia" w:hAnsiTheme="minorEastAsia"/>
                <w:sz w:val="24"/>
                <w:szCs w:val="24"/>
              </w:rPr>
              <w:t>2</w:t>
            </w:r>
            <w:r w:rsidR="0039192C" w:rsidRPr="008656F5">
              <w:rPr>
                <w:rFonts w:asciiTheme="minorEastAsia" w:eastAsiaTheme="minorEastAsia" w:hAnsiTheme="minorEastAsia"/>
                <w:sz w:val="24"/>
                <w:szCs w:val="24"/>
              </w:rPr>
              <w:t>月</w:t>
            </w:r>
            <w:r>
              <w:rPr>
                <w:rFonts w:asciiTheme="minorEastAsia" w:eastAsiaTheme="minorEastAsia" w:hAnsiTheme="minorEastAsia"/>
                <w:sz w:val="24"/>
                <w:szCs w:val="24"/>
              </w:rPr>
              <w:t>17</w:t>
            </w:r>
            <w:r w:rsidR="0039192C" w:rsidRPr="008656F5">
              <w:rPr>
                <w:rFonts w:asciiTheme="minorEastAsia" w:eastAsiaTheme="minorEastAsia" w:hAnsiTheme="minorEastAsia"/>
                <w:sz w:val="24"/>
                <w:szCs w:val="24"/>
              </w:rPr>
              <w:t>日</w:t>
            </w:r>
          </w:p>
        </w:tc>
      </w:tr>
      <w:tr w:rsidR="00893436" w:rsidRPr="008656F5" w:rsidTr="003A6D68">
        <w:trPr>
          <w:jc w:val="center"/>
        </w:trPr>
        <w:tc>
          <w:tcPr>
            <w:tcW w:w="4778" w:type="dxa"/>
            <w:gridSpan w:val="2"/>
            <w:vAlign w:val="center"/>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有关年度分红次数的说明</w:t>
            </w:r>
          </w:p>
        </w:tc>
        <w:tc>
          <w:tcPr>
            <w:tcW w:w="4861" w:type="dxa"/>
            <w:gridSpan w:val="3"/>
            <w:vAlign w:val="center"/>
          </w:tcPr>
          <w:p w:rsidR="00893436" w:rsidRPr="008656F5" w:rsidRDefault="009732A4" w:rsidP="007D1AA6">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本次分红为</w:t>
            </w:r>
            <w:r w:rsidR="000D4C22">
              <w:rPr>
                <w:rFonts w:asciiTheme="minorEastAsia" w:eastAsiaTheme="minorEastAsia" w:hAnsiTheme="minorEastAsia"/>
                <w:sz w:val="24"/>
                <w:szCs w:val="24"/>
              </w:rPr>
              <w:t>20</w:t>
            </w:r>
            <w:r w:rsidR="000D4C22">
              <w:rPr>
                <w:rFonts w:asciiTheme="minorEastAsia" w:eastAsiaTheme="minorEastAsia" w:hAnsiTheme="minorEastAsia" w:hint="eastAsia"/>
                <w:sz w:val="24"/>
                <w:szCs w:val="24"/>
              </w:rPr>
              <w:t>2</w:t>
            </w:r>
            <w:r w:rsidR="000D4C22">
              <w:rPr>
                <w:rFonts w:asciiTheme="minorEastAsia" w:eastAsiaTheme="minorEastAsia" w:hAnsiTheme="minorEastAsia"/>
                <w:sz w:val="24"/>
                <w:szCs w:val="24"/>
              </w:rPr>
              <w:t>4</w:t>
            </w:r>
            <w:r w:rsidRPr="008656F5">
              <w:rPr>
                <w:rFonts w:asciiTheme="minorEastAsia" w:eastAsiaTheme="minorEastAsia" w:hAnsiTheme="minorEastAsia"/>
                <w:sz w:val="24"/>
                <w:szCs w:val="24"/>
              </w:rPr>
              <w:t>年度的</w:t>
            </w:r>
            <w:r w:rsidR="000C44FB" w:rsidRPr="008656F5">
              <w:rPr>
                <w:rFonts w:asciiTheme="minorEastAsia" w:eastAsiaTheme="minorEastAsia" w:hAnsiTheme="minorEastAsia"/>
                <w:sz w:val="24"/>
                <w:szCs w:val="24"/>
              </w:rPr>
              <w:t>第</w:t>
            </w:r>
            <w:r w:rsidR="00A953E5">
              <w:rPr>
                <w:rFonts w:asciiTheme="minorEastAsia" w:eastAsiaTheme="minorEastAsia" w:hAnsiTheme="minorEastAsia"/>
                <w:sz w:val="24"/>
                <w:szCs w:val="24"/>
              </w:rPr>
              <w:t>1</w:t>
            </w:r>
            <w:r w:rsidR="008E5B91">
              <w:rPr>
                <w:rFonts w:asciiTheme="minorEastAsia" w:eastAsiaTheme="minorEastAsia" w:hAnsiTheme="minorEastAsia"/>
                <w:sz w:val="24"/>
                <w:szCs w:val="24"/>
              </w:rPr>
              <w:t>次分红</w:t>
            </w:r>
          </w:p>
        </w:tc>
      </w:tr>
      <w:tr w:rsidR="00E73FCF" w:rsidRPr="008656F5" w:rsidTr="0055019F">
        <w:trPr>
          <w:jc w:val="center"/>
        </w:trPr>
        <w:tc>
          <w:tcPr>
            <w:tcW w:w="4778" w:type="dxa"/>
            <w:gridSpan w:val="2"/>
          </w:tcPr>
          <w:p w:rsidR="00E73FCF" w:rsidRPr="008656F5" w:rsidRDefault="00E73FCF" w:rsidP="00E73FCF">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下属分级基金的基金简称</w:t>
            </w:r>
          </w:p>
        </w:tc>
        <w:tc>
          <w:tcPr>
            <w:tcW w:w="1701" w:type="dxa"/>
          </w:tcPr>
          <w:p w:rsidR="00E73FCF" w:rsidRPr="008656F5" w:rsidRDefault="00E73FCF" w:rsidP="00E73FCF">
            <w:pPr>
              <w:spacing w:line="360" w:lineRule="auto"/>
              <w:rPr>
                <w:rFonts w:asciiTheme="minorEastAsia" w:eastAsiaTheme="minorEastAsia" w:hAnsiTheme="minorEastAsia"/>
                <w:sz w:val="24"/>
                <w:szCs w:val="24"/>
              </w:rPr>
            </w:pPr>
            <w:r w:rsidRPr="00A34F2D">
              <w:rPr>
                <w:rFonts w:asciiTheme="minorEastAsia" w:eastAsiaTheme="minorEastAsia" w:hAnsiTheme="minorEastAsia" w:hint="eastAsia"/>
                <w:sz w:val="24"/>
                <w:szCs w:val="24"/>
              </w:rPr>
              <w:t>国联安中短债债券</w:t>
            </w:r>
            <w:r w:rsidRPr="00FE513D">
              <w:rPr>
                <w:rFonts w:asciiTheme="minorEastAsia" w:eastAsiaTheme="minorEastAsia" w:hAnsiTheme="minorEastAsia"/>
                <w:sz w:val="24"/>
                <w:szCs w:val="24"/>
              </w:rPr>
              <w:t xml:space="preserve"> A</w:t>
            </w:r>
          </w:p>
        </w:tc>
        <w:tc>
          <w:tcPr>
            <w:tcW w:w="1559" w:type="dxa"/>
          </w:tcPr>
          <w:p w:rsidR="00E73FCF" w:rsidRPr="008656F5" w:rsidRDefault="00E73FCF" w:rsidP="00E73FCF">
            <w:pPr>
              <w:spacing w:line="360" w:lineRule="auto"/>
              <w:rPr>
                <w:rFonts w:asciiTheme="minorEastAsia" w:eastAsiaTheme="minorEastAsia" w:hAnsiTheme="minorEastAsia"/>
                <w:sz w:val="24"/>
                <w:szCs w:val="24"/>
              </w:rPr>
            </w:pPr>
            <w:r w:rsidRPr="00A34F2D">
              <w:rPr>
                <w:rFonts w:asciiTheme="minorEastAsia" w:eastAsiaTheme="minorEastAsia" w:hAnsiTheme="minorEastAsia" w:hint="eastAsia"/>
                <w:sz w:val="24"/>
                <w:szCs w:val="24"/>
              </w:rPr>
              <w:t>国联安中短债债券</w:t>
            </w:r>
            <w:r w:rsidRPr="00FE513D">
              <w:rPr>
                <w:rFonts w:asciiTheme="minorEastAsia" w:eastAsiaTheme="minorEastAsia" w:hAnsiTheme="minorEastAsia"/>
                <w:sz w:val="24"/>
                <w:szCs w:val="24"/>
              </w:rPr>
              <w:t xml:space="preserve"> </w:t>
            </w:r>
            <w:r>
              <w:rPr>
                <w:rFonts w:asciiTheme="minorEastAsia" w:eastAsiaTheme="minorEastAsia" w:hAnsiTheme="minorEastAsia"/>
                <w:sz w:val="24"/>
                <w:szCs w:val="24"/>
              </w:rPr>
              <w:t>C</w:t>
            </w:r>
          </w:p>
        </w:tc>
        <w:tc>
          <w:tcPr>
            <w:tcW w:w="1601" w:type="dxa"/>
          </w:tcPr>
          <w:p w:rsidR="00E73FCF" w:rsidRPr="008656F5" w:rsidRDefault="00E73FCF" w:rsidP="00E73FCF">
            <w:pPr>
              <w:spacing w:line="360" w:lineRule="auto"/>
              <w:rPr>
                <w:rFonts w:asciiTheme="minorEastAsia" w:eastAsiaTheme="minorEastAsia" w:hAnsiTheme="minorEastAsia"/>
                <w:sz w:val="24"/>
                <w:szCs w:val="24"/>
              </w:rPr>
            </w:pPr>
            <w:r w:rsidRPr="00A34F2D">
              <w:rPr>
                <w:rFonts w:asciiTheme="minorEastAsia" w:eastAsiaTheme="minorEastAsia" w:hAnsiTheme="minorEastAsia" w:hint="eastAsia"/>
                <w:sz w:val="24"/>
                <w:szCs w:val="24"/>
              </w:rPr>
              <w:t>国联安中短债债券</w:t>
            </w:r>
            <w:r w:rsidRPr="00FE513D">
              <w:rPr>
                <w:rFonts w:asciiTheme="minorEastAsia" w:eastAsiaTheme="minorEastAsia" w:hAnsiTheme="minorEastAsia"/>
                <w:sz w:val="24"/>
                <w:szCs w:val="24"/>
              </w:rPr>
              <w:t xml:space="preserve"> </w:t>
            </w:r>
            <w:r>
              <w:rPr>
                <w:rFonts w:asciiTheme="minorEastAsia" w:eastAsiaTheme="minorEastAsia" w:hAnsiTheme="minorEastAsia"/>
                <w:sz w:val="24"/>
                <w:szCs w:val="24"/>
              </w:rPr>
              <w:t>D</w:t>
            </w:r>
          </w:p>
        </w:tc>
      </w:tr>
      <w:tr w:rsidR="00E73FCF" w:rsidRPr="008656F5" w:rsidTr="0055019F">
        <w:trPr>
          <w:jc w:val="center"/>
        </w:trPr>
        <w:tc>
          <w:tcPr>
            <w:tcW w:w="4778" w:type="dxa"/>
            <w:gridSpan w:val="2"/>
          </w:tcPr>
          <w:p w:rsidR="00E73FCF" w:rsidRPr="008656F5" w:rsidRDefault="00E73FCF" w:rsidP="00E73FCF">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下属分级基金的交易代码</w:t>
            </w:r>
          </w:p>
        </w:tc>
        <w:tc>
          <w:tcPr>
            <w:tcW w:w="1701" w:type="dxa"/>
          </w:tcPr>
          <w:p w:rsidR="00E73FCF" w:rsidRPr="008656F5" w:rsidRDefault="00E73FCF" w:rsidP="00E73FCF">
            <w:pPr>
              <w:spacing w:line="360" w:lineRule="auto"/>
              <w:rPr>
                <w:rFonts w:asciiTheme="minorEastAsia" w:eastAsiaTheme="minorEastAsia" w:hAnsiTheme="minorEastAsia"/>
                <w:sz w:val="24"/>
                <w:szCs w:val="24"/>
              </w:rPr>
            </w:pPr>
            <w:r w:rsidRPr="00A34F2D">
              <w:rPr>
                <w:rFonts w:asciiTheme="minorEastAsia" w:eastAsiaTheme="minorEastAsia" w:hAnsiTheme="minorEastAsia" w:hint="eastAsia"/>
                <w:sz w:val="24"/>
                <w:szCs w:val="24"/>
              </w:rPr>
              <w:t>014636</w:t>
            </w:r>
          </w:p>
        </w:tc>
        <w:tc>
          <w:tcPr>
            <w:tcW w:w="1559" w:type="dxa"/>
          </w:tcPr>
          <w:p w:rsidR="00E73FCF" w:rsidRPr="008656F5" w:rsidRDefault="00E73FCF" w:rsidP="00E73FCF">
            <w:pPr>
              <w:spacing w:line="360" w:lineRule="auto"/>
              <w:rPr>
                <w:rFonts w:asciiTheme="minorEastAsia" w:eastAsiaTheme="minorEastAsia" w:hAnsiTheme="minorEastAsia"/>
                <w:sz w:val="24"/>
                <w:szCs w:val="24"/>
              </w:rPr>
            </w:pPr>
            <w:r w:rsidRPr="00A34F2D">
              <w:rPr>
                <w:rFonts w:asciiTheme="minorEastAsia" w:eastAsiaTheme="minorEastAsia" w:hAnsiTheme="minorEastAsia" w:hint="eastAsia"/>
                <w:sz w:val="24"/>
                <w:szCs w:val="24"/>
              </w:rPr>
              <w:t>01463</w:t>
            </w:r>
            <w:r w:rsidR="000F558A">
              <w:rPr>
                <w:rFonts w:asciiTheme="minorEastAsia" w:eastAsiaTheme="minorEastAsia" w:hAnsiTheme="minorEastAsia"/>
                <w:sz w:val="24"/>
                <w:szCs w:val="24"/>
              </w:rPr>
              <w:t>7</w:t>
            </w:r>
          </w:p>
        </w:tc>
        <w:tc>
          <w:tcPr>
            <w:tcW w:w="1601" w:type="dxa"/>
          </w:tcPr>
          <w:p w:rsidR="00E73FCF" w:rsidRPr="008656F5" w:rsidRDefault="00E73FCF" w:rsidP="00E73FCF">
            <w:pPr>
              <w:spacing w:line="360" w:lineRule="auto"/>
              <w:rPr>
                <w:rFonts w:asciiTheme="minorEastAsia" w:eastAsiaTheme="minorEastAsia" w:hAnsiTheme="minorEastAsia"/>
                <w:sz w:val="24"/>
                <w:szCs w:val="24"/>
              </w:rPr>
            </w:pPr>
            <w:r w:rsidRPr="00E73FCF">
              <w:rPr>
                <w:rFonts w:asciiTheme="minorEastAsia" w:eastAsiaTheme="minorEastAsia" w:hAnsiTheme="minorEastAsia"/>
                <w:sz w:val="24"/>
                <w:szCs w:val="24"/>
              </w:rPr>
              <w:t>022147</w:t>
            </w:r>
          </w:p>
        </w:tc>
      </w:tr>
      <w:tr w:rsidR="00E73FCF" w:rsidRPr="008656F5" w:rsidTr="0055019F">
        <w:trPr>
          <w:jc w:val="center"/>
        </w:trPr>
        <w:tc>
          <w:tcPr>
            <w:tcW w:w="2368" w:type="dxa"/>
            <w:vMerge w:val="restart"/>
            <w:vAlign w:val="center"/>
          </w:tcPr>
          <w:p w:rsidR="00E73FCF" w:rsidRPr="008656F5" w:rsidRDefault="00E73FCF" w:rsidP="00E73FCF">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截止基准日下属分级基金的相关指标</w:t>
            </w:r>
          </w:p>
        </w:tc>
        <w:tc>
          <w:tcPr>
            <w:tcW w:w="2410" w:type="dxa"/>
          </w:tcPr>
          <w:p w:rsidR="00E73FCF" w:rsidRPr="008656F5" w:rsidRDefault="00E73FCF" w:rsidP="00E73FCF">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基准日下属分级基金份额净值</w:t>
            </w:r>
            <w:r w:rsidRPr="008656F5">
              <w:rPr>
                <w:rFonts w:asciiTheme="minorEastAsia" w:eastAsiaTheme="minorEastAsia" w:hAnsiTheme="minorEastAsia" w:hint="eastAsia"/>
                <w:sz w:val="24"/>
                <w:szCs w:val="24"/>
              </w:rPr>
              <w:t>（单位：</w:t>
            </w:r>
            <w:r w:rsidRPr="008656F5">
              <w:rPr>
                <w:rFonts w:asciiTheme="minorEastAsia" w:eastAsiaTheme="minorEastAsia" w:hAnsiTheme="minorEastAsia" w:hint="eastAsia"/>
                <w:color w:val="000000"/>
                <w:kern w:val="0"/>
                <w:sz w:val="24"/>
                <w:szCs w:val="24"/>
              </w:rPr>
              <w:t>元</w:t>
            </w:r>
            <w:r w:rsidRPr="008656F5">
              <w:rPr>
                <w:rFonts w:asciiTheme="minorEastAsia" w:eastAsiaTheme="minorEastAsia" w:hAnsiTheme="minorEastAsia" w:hint="eastAsia"/>
                <w:sz w:val="24"/>
                <w:szCs w:val="24"/>
              </w:rPr>
              <w:t>）</w:t>
            </w:r>
          </w:p>
        </w:tc>
        <w:tc>
          <w:tcPr>
            <w:tcW w:w="1701" w:type="dxa"/>
          </w:tcPr>
          <w:p w:rsidR="00E73FCF" w:rsidRPr="0055019F" w:rsidRDefault="00E73FCF" w:rsidP="0055019F">
            <w:pPr>
              <w:widowControl/>
              <w:spacing w:line="360" w:lineRule="auto"/>
              <w:rPr>
                <w:rFonts w:asciiTheme="minorEastAsia" w:eastAsiaTheme="minorEastAsia" w:hAnsiTheme="minorEastAsia"/>
                <w:sz w:val="24"/>
                <w:szCs w:val="24"/>
              </w:rPr>
            </w:pPr>
            <w:bookmarkStart w:id="1" w:name="_Hlk140825317"/>
            <w:r w:rsidRPr="0055019F">
              <w:rPr>
                <w:rFonts w:asciiTheme="minorEastAsia" w:eastAsiaTheme="minorEastAsia" w:hAnsiTheme="minorEastAsia"/>
                <w:sz w:val="24"/>
                <w:szCs w:val="24"/>
              </w:rPr>
              <w:t>1.0509</w:t>
            </w:r>
          </w:p>
          <w:bookmarkEnd w:id="1"/>
          <w:p w:rsidR="00E73FCF" w:rsidRPr="00A17357" w:rsidRDefault="00E73FCF">
            <w:pPr>
              <w:spacing w:line="360" w:lineRule="auto"/>
              <w:rPr>
                <w:rFonts w:asciiTheme="minorEastAsia" w:eastAsiaTheme="minorEastAsia" w:hAnsiTheme="minorEastAsia"/>
                <w:sz w:val="24"/>
                <w:szCs w:val="24"/>
              </w:rPr>
            </w:pPr>
          </w:p>
        </w:tc>
        <w:tc>
          <w:tcPr>
            <w:tcW w:w="1559" w:type="dxa"/>
          </w:tcPr>
          <w:p w:rsidR="00E73FCF" w:rsidRPr="0055019F" w:rsidRDefault="00E73FCF" w:rsidP="0055019F">
            <w:pPr>
              <w:widowControl/>
              <w:spacing w:line="360" w:lineRule="auto"/>
              <w:rPr>
                <w:rFonts w:asciiTheme="minorEastAsia" w:eastAsiaTheme="minorEastAsia" w:hAnsiTheme="minorEastAsia"/>
                <w:sz w:val="24"/>
                <w:szCs w:val="24"/>
              </w:rPr>
            </w:pPr>
            <w:bookmarkStart w:id="2" w:name="_Hlk153531347"/>
            <w:r w:rsidRPr="0055019F">
              <w:rPr>
                <w:rFonts w:asciiTheme="minorEastAsia" w:eastAsiaTheme="minorEastAsia" w:hAnsiTheme="minorEastAsia"/>
                <w:sz w:val="24"/>
                <w:szCs w:val="24"/>
              </w:rPr>
              <w:t>1.0450</w:t>
            </w:r>
          </w:p>
          <w:bookmarkEnd w:id="2"/>
          <w:p w:rsidR="00E73FCF" w:rsidRPr="00A17357" w:rsidRDefault="00E73FCF">
            <w:pPr>
              <w:spacing w:line="360" w:lineRule="auto"/>
              <w:rPr>
                <w:rFonts w:asciiTheme="minorEastAsia" w:eastAsiaTheme="minorEastAsia" w:hAnsiTheme="minorEastAsia"/>
                <w:sz w:val="24"/>
                <w:szCs w:val="24"/>
              </w:rPr>
            </w:pPr>
          </w:p>
        </w:tc>
        <w:tc>
          <w:tcPr>
            <w:tcW w:w="1601" w:type="dxa"/>
          </w:tcPr>
          <w:p w:rsidR="00E73FCF" w:rsidRPr="00E73FCF" w:rsidRDefault="00E73FCF" w:rsidP="0055019F">
            <w:pPr>
              <w:widowControl/>
              <w:spacing w:line="360" w:lineRule="auto"/>
              <w:rPr>
                <w:rFonts w:asciiTheme="minorEastAsia" w:eastAsiaTheme="minorEastAsia" w:hAnsiTheme="minorEastAsia"/>
                <w:sz w:val="24"/>
                <w:szCs w:val="24"/>
              </w:rPr>
            </w:pPr>
            <w:r w:rsidRPr="0055019F">
              <w:rPr>
                <w:rFonts w:asciiTheme="minorEastAsia" w:eastAsiaTheme="minorEastAsia" w:hAnsiTheme="minorEastAsia"/>
                <w:sz w:val="24"/>
                <w:szCs w:val="24"/>
              </w:rPr>
              <w:t>1.0503</w:t>
            </w:r>
          </w:p>
        </w:tc>
      </w:tr>
      <w:tr w:rsidR="00E73FCF" w:rsidRPr="008656F5" w:rsidTr="0055019F">
        <w:trPr>
          <w:trHeight w:val="405"/>
          <w:jc w:val="center"/>
        </w:trPr>
        <w:tc>
          <w:tcPr>
            <w:tcW w:w="2368" w:type="dxa"/>
            <w:vMerge/>
          </w:tcPr>
          <w:p w:rsidR="00E73FCF" w:rsidRPr="008656F5" w:rsidRDefault="00E73FCF" w:rsidP="00E73FCF">
            <w:pPr>
              <w:spacing w:line="360" w:lineRule="auto"/>
              <w:rPr>
                <w:rFonts w:asciiTheme="minorEastAsia" w:eastAsiaTheme="minorEastAsia" w:hAnsiTheme="minorEastAsia"/>
                <w:color w:val="000000"/>
                <w:sz w:val="24"/>
                <w:szCs w:val="24"/>
              </w:rPr>
            </w:pPr>
          </w:p>
        </w:tc>
        <w:tc>
          <w:tcPr>
            <w:tcW w:w="2410" w:type="dxa"/>
            <w:vAlign w:val="center"/>
          </w:tcPr>
          <w:p w:rsidR="00E73FCF" w:rsidRPr="008656F5" w:rsidRDefault="00E73FCF" w:rsidP="00E73FCF">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基准日下属分级基金可供分配利润</w:t>
            </w:r>
            <w:r w:rsidRPr="008656F5">
              <w:rPr>
                <w:rFonts w:asciiTheme="minorEastAsia" w:eastAsiaTheme="minorEastAsia" w:hAnsiTheme="minorEastAsia" w:hint="eastAsia"/>
                <w:sz w:val="24"/>
                <w:szCs w:val="24"/>
              </w:rPr>
              <w:t>（单位：</w:t>
            </w:r>
            <w:r w:rsidRPr="008656F5">
              <w:rPr>
                <w:rFonts w:asciiTheme="minorEastAsia" w:eastAsiaTheme="minorEastAsia" w:hAnsiTheme="minorEastAsia" w:hint="eastAsia"/>
                <w:color w:val="000000"/>
                <w:kern w:val="0"/>
                <w:sz w:val="24"/>
                <w:szCs w:val="24"/>
              </w:rPr>
              <w:t>元</w:t>
            </w:r>
            <w:r w:rsidRPr="008656F5">
              <w:rPr>
                <w:rFonts w:asciiTheme="minorEastAsia" w:eastAsiaTheme="minorEastAsia" w:hAnsiTheme="minorEastAsia" w:hint="eastAsia"/>
                <w:sz w:val="24"/>
                <w:szCs w:val="24"/>
              </w:rPr>
              <w:t>）</w:t>
            </w:r>
          </w:p>
        </w:tc>
        <w:tc>
          <w:tcPr>
            <w:tcW w:w="1701" w:type="dxa"/>
          </w:tcPr>
          <w:p w:rsidR="00E73FCF" w:rsidRPr="003A6D68" w:rsidRDefault="00E73FCF" w:rsidP="00E73FCF">
            <w:pPr>
              <w:spacing w:line="360" w:lineRule="auto"/>
              <w:rPr>
                <w:rFonts w:asciiTheme="minorEastAsia" w:eastAsiaTheme="minorEastAsia" w:hAnsiTheme="minorEastAsia"/>
                <w:sz w:val="24"/>
                <w:szCs w:val="24"/>
              </w:rPr>
            </w:pPr>
            <w:r w:rsidRPr="00E73FCF">
              <w:rPr>
                <w:rFonts w:asciiTheme="minorEastAsia" w:eastAsiaTheme="minorEastAsia" w:hAnsiTheme="minorEastAsia"/>
                <w:sz w:val="24"/>
                <w:szCs w:val="24"/>
              </w:rPr>
              <w:t>76,828,301.12</w:t>
            </w:r>
          </w:p>
        </w:tc>
        <w:tc>
          <w:tcPr>
            <w:tcW w:w="1559" w:type="dxa"/>
          </w:tcPr>
          <w:p w:rsidR="00E73FCF" w:rsidRPr="003A6D68" w:rsidRDefault="00E73FCF" w:rsidP="00E73FCF">
            <w:pPr>
              <w:spacing w:line="360" w:lineRule="auto"/>
              <w:rPr>
                <w:rFonts w:asciiTheme="minorEastAsia" w:eastAsiaTheme="minorEastAsia" w:hAnsiTheme="minorEastAsia"/>
                <w:sz w:val="24"/>
                <w:szCs w:val="24"/>
              </w:rPr>
            </w:pPr>
            <w:r w:rsidRPr="00E73FCF">
              <w:rPr>
                <w:rFonts w:asciiTheme="minorEastAsia" w:eastAsiaTheme="minorEastAsia" w:hAnsiTheme="minorEastAsia"/>
                <w:sz w:val="24"/>
                <w:szCs w:val="24"/>
              </w:rPr>
              <w:t>562,300.62</w:t>
            </w:r>
          </w:p>
        </w:tc>
        <w:tc>
          <w:tcPr>
            <w:tcW w:w="1601" w:type="dxa"/>
          </w:tcPr>
          <w:p w:rsidR="00E73FCF" w:rsidRPr="003A6D68" w:rsidRDefault="00E73FCF" w:rsidP="00E73FCF">
            <w:pPr>
              <w:spacing w:line="360" w:lineRule="auto"/>
              <w:rPr>
                <w:rFonts w:asciiTheme="minorEastAsia" w:eastAsiaTheme="minorEastAsia" w:hAnsiTheme="minorEastAsia"/>
                <w:sz w:val="24"/>
                <w:szCs w:val="24"/>
              </w:rPr>
            </w:pPr>
            <w:r w:rsidRPr="00E73FCF">
              <w:rPr>
                <w:rFonts w:asciiTheme="minorEastAsia" w:eastAsiaTheme="minorEastAsia" w:hAnsiTheme="minorEastAsia"/>
                <w:sz w:val="24"/>
                <w:szCs w:val="24"/>
              </w:rPr>
              <w:t>12.97</w:t>
            </w:r>
          </w:p>
        </w:tc>
      </w:tr>
      <w:tr w:rsidR="00E73FCF" w:rsidRPr="008656F5" w:rsidTr="0055019F">
        <w:trPr>
          <w:jc w:val="center"/>
        </w:trPr>
        <w:tc>
          <w:tcPr>
            <w:tcW w:w="4778" w:type="dxa"/>
            <w:gridSpan w:val="2"/>
          </w:tcPr>
          <w:p w:rsidR="00E73FCF" w:rsidRPr="008656F5" w:rsidRDefault="00E73FCF" w:rsidP="00E73FCF">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本次下属分级基金分红方案（单位：元/10份基金份额）</w:t>
            </w:r>
          </w:p>
        </w:tc>
        <w:tc>
          <w:tcPr>
            <w:tcW w:w="1701" w:type="dxa"/>
          </w:tcPr>
          <w:p w:rsidR="00E73FCF" w:rsidRPr="003A6D68" w:rsidRDefault="00E73FCF" w:rsidP="00E73FCF">
            <w:pPr>
              <w:widowControl/>
              <w:spacing w:line="360" w:lineRule="auto"/>
              <w:rPr>
                <w:rFonts w:asciiTheme="minorEastAsia" w:eastAsiaTheme="minorEastAsia" w:hAnsiTheme="minorEastAsia"/>
                <w:sz w:val="24"/>
                <w:szCs w:val="24"/>
              </w:rPr>
            </w:pPr>
            <w:r w:rsidRPr="003A6D68">
              <w:rPr>
                <w:rFonts w:asciiTheme="minorEastAsia" w:eastAsiaTheme="minorEastAsia" w:hAnsiTheme="minorEastAsia"/>
                <w:sz w:val="24"/>
                <w:szCs w:val="24"/>
              </w:rPr>
              <w:t>0.</w:t>
            </w:r>
            <w:r w:rsidR="000D4C22">
              <w:rPr>
                <w:rFonts w:asciiTheme="minorEastAsia" w:eastAsiaTheme="minorEastAsia" w:hAnsiTheme="minorEastAsia"/>
                <w:sz w:val="24"/>
                <w:szCs w:val="24"/>
              </w:rPr>
              <w:t>3</w:t>
            </w:r>
            <w:r w:rsidR="00DA65DB">
              <w:rPr>
                <w:rFonts w:asciiTheme="minorEastAsia" w:eastAsiaTheme="minorEastAsia" w:hAnsiTheme="minorEastAsia"/>
                <w:sz w:val="24"/>
                <w:szCs w:val="24"/>
              </w:rPr>
              <w:t>1</w:t>
            </w:r>
          </w:p>
          <w:p w:rsidR="00E73FCF" w:rsidRPr="009574CB" w:rsidRDefault="00E73FCF" w:rsidP="00E73FCF">
            <w:pPr>
              <w:spacing w:line="360" w:lineRule="auto"/>
              <w:rPr>
                <w:rFonts w:asciiTheme="minorEastAsia" w:eastAsiaTheme="minorEastAsia" w:hAnsiTheme="minorEastAsia"/>
                <w:sz w:val="24"/>
                <w:szCs w:val="24"/>
              </w:rPr>
            </w:pPr>
          </w:p>
        </w:tc>
        <w:tc>
          <w:tcPr>
            <w:tcW w:w="1559" w:type="dxa"/>
          </w:tcPr>
          <w:p w:rsidR="00E73FCF" w:rsidRPr="003A6D68" w:rsidRDefault="00E73FCF" w:rsidP="00E73FCF">
            <w:pPr>
              <w:widowControl/>
              <w:spacing w:line="360" w:lineRule="auto"/>
              <w:rPr>
                <w:rFonts w:asciiTheme="minorEastAsia" w:eastAsiaTheme="minorEastAsia" w:hAnsiTheme="minorEastAsia"/>
                <w:sz w:val="24"/>
                <w:szCs w:val="24"/>
              </w:rPr>
            </w:pPr>
            <w:r w:rsidRPr="003A6D68">
              <w:rPr>
                <w:rFonts w:asciiTheme="minorEastAsia" w:eastAsiaTheme="minorEastAsia" w:hAnsiTheme="minorEastAsia"/>
                <w:sz w:val="24"/>
                <w:szCs w:val="24"/>
              </w:rPr>
              <w:t>0.</w:t>
            </w:r>
            <w:r w:rsidR="000D4C22">
              <w:rPr>
                <w:rFonts w:asciiTheme="minorEastAsia" w:eastAsiaTheme="minorEastAsia" w:hAnsiTheme="minorEastAsia"/>
                <w:sz w:val="24"/>
                <w:szCs w:val="24"/>
              </w:rPr>
              <w:t>3</w:t>
            </w:r>
            <w:r w:rsidR="00DA65DB">
              <w:rPr>
                <w:rFonts w:asciiTheme="minorEastAsia" w:eastAsiaTheme="minorEastAsia" w:hAnsiTheme="minorEastAsia"/>
                <w:sz w:val="24"/>
                <w:szCs w:val="24"/>
              </w:rPr>
              <w:t>1</w:t>
            </w:r>
          </w:p>
          <w:p w:rsidR="00E73FCF" w:rsidRPr="009574CB" w:rsidRDefault="00E73FCF" w:rsidP="00E73FCF">
            <w:pPr>
              <w:spacing w:line="360" w:lineRule="auto"/>
              <w:rPr>
                <w:rFonts w:asciiTheme="minorEastAsia" w:eastAsiaTheme="minorEastAsia" w:hAnsiTheme="minorEastAsia"/>
                <w:sz w:val="24"/>
                <w:szCs w:val="24"/>
              </w:rPr>
            </w:pPr>
          </w:p>
        </w:tc>
        <w:tc>
          <w:tcPr>
            <w:tcW w:w="1601" w:type="dxa"/>
          </w:tcPr>
          <w:p w:rsidR="00E73FCF" w:rsidRPr="003A6D68" w:rsidRDefault="00E73FCF" w:rsidP="00E73FCF">
            <w:pPr>
              <w:widowControl/>
              <w:spacing w:line="360" w:lineRule="auto"/>
              <w:rPr>
                <w:rFonts w:asciiTheme="minorEastAsia" w:eastAsiaTheme="minorEastAsia" w:hAnsiTheme="minorEastAsia"/>
                <w:sz w:val="24"/>
                <w:szCs w:val="24"/>
              </w:rPr>
            </w:pPr>
            <w:r w:rsidRPr="003A6D68">
              <w:rPr>
                <w:rFonts w:asciiTheme="minorEastAsia" w:eastAsiaTheme="minorEastAsia" w:hAnsiTheme="minorEastAsia"/>
                <w:sz w:val="24"/>
                <w:szCs w:val="24"/>
              </w:rPr>
              <w:t>0.</w:t>
            </w:r>
            <w:r w:rsidR="000D4C22">
              <w:rPr>
                <w:rFonts w:asciiTheme="minorEastAsia" w:eastAsiaTheme="minorEastAsia" w:hAnsiTheme="minorEastAsia"/>
                <w:sz w:val="24"/>
                <w:szCs w:val="24"/>
              </w:rPr>
              <w:t>3</w:t>
            </w:r>
            <w:r w:rsidR="00DA65DB">
              <w:rPr>
                <w:rFonts w:asciiTheme="minorEastAsia" w:eastAsiaTheme="minorEastAsia" w:hAnsiTheme="minorEastAsia"/>
                <w:sz w:val="24"/>
                <w:szCs w:val="24"/>
              </w:rPr>
              <w:t>1</w:t>
            </w:r>
            <w:bookmarkStart w:id="3" w:name="_GoBack"/>
            <w:bookmarkEnd w:id="3"/>
          </w:p>
          <w:p w:rsidR="00E73FCF" w:rsidRPr="009574CB" w:rsidRDefault="00E73FCF" w:rsidP="00E73FCF">
            <w:pPr>
              <w:spacing w:line="360" w:lineRule="auto"/>
              <w:rPr>
                <w:rFonts w:asciiTheme="minorEastAsia" w:eastAsiaTheme="minorEastAsia" w:hAnsiTheme="minorEastAsia"/>
                <w:sz w:val="24"/>
                <w:szCs w:val="24"/>
              </w:rPr>
            </w:pPr>
          </w:p>
        </w:tc>
      </w:tr>
    </w:tbl>
    <w:p w:rsidR="00893436" w:rsidRPr="004E693A" w:rsidRDefault="008A19EC" w:rsidP="002461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r w:rsidR="00C108DB" w:rsidRPr="000668B9">
        <w:rPr>
          <w:rFonts w:asciiTheme="minorEastAsia" w:eastAsiaTheme="minorEastAsia" w:hAnsiTheme="minorEastAsia" w:hint="eastAsia"/>
          <w:color w:val="000000"/>
          <w:sz w:val="24"/>
          <w:szCs w:val="24"/>
        </w:rPr>
        <w:t>基金收益分配后基金份额净值不能低于面值，即基金收益分配基准日的基金份额净值减去每单位基金份额收益分配金额后不能低于面值</w:t>
      </w:r>
      <w:r w:rsidR="00C108DB">
        <w:rPr>
          <w:rFonts w:asciiTheme="minorEastAsia" w:eastAsiaTheme="minorEastAsia" w:hAnsiTheme="minorEastAsia" w:hint="eastAsia"/>
          <w:color w:val="000000"/>
          <w:sz w:val="24"/>
          <w:szCs w:val="24"/>
        </w:rPr>
        <w:t>。</w:t>
      </w:r>
    </w:p>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4" w:name="_Toc275961419"/>
      <w:r w:rsidRPr="008656F5">
        <w:rPr>
          <w:rFonts w:asciiTheme="minorEastAsia" w:eastAsiaTheme="minorEastAsia" w:hAnsiTheme="minorEastAsia"/>
          <w:bCs w:val="0"/>
          <w:color w:val="000000"/>
          <w:sz w:val="24"/>
          <w:szCs w:val="24"/>
        </w:rPr>
        <w:lastRenderedPageBreak/>
        <w:t>2 与分红相关的其他信息</w:t>
      </w:r>
      <w:bookmarkEnd w:id="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6405"/>
      </w:tblGrid>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权益登记日</w:t>
            </w:r>
          </w:p>
        </w:tc>
        <w:tc>
          <w:tcPr>
            <w:tcW w:w="4355" w:type="dxa"/>
          </w:tcPr>
          <w:p w:rsidR="00893436" w:rsidRPr="008656F5" w:rsidRDefault="00004258" w:rsidP="0020536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000C44FB" w:rsidRPr="000C1091">
              <w:rPr>
                <w:rFonts w:asciiTheme="minorEastAsia" w:eastAsiaTheme="minorEastAsia" w:hAnsiTheme="minorEastAsia" w:hint="eastAsia"/>
                <w:sz w:val="24"/>
                <w:szCs w:val="24"/>
              </w:rPr>
              <w:t>年</w:t>
            </w:r>
            <w:r w:rsidR="000C44FB">
              <w:rPr>
                <w:rFonts w:asciiTheme="minorEastAsia" w:eastAsiaTheme="minorEastAsia" w:hAnsiTheme="minorEastAsia"/>
                <w:sz w:val="24"/>
                <w:szCs w:val="24"/>
              </w:rPr>
              <w:t>12</w:t>
            </w:r>
            <w:r w:rsidR="00A63BE1" w:rsidRPr="00A63BE1">
              <w:rPr>
                <w:rFonts w:asciiTheme="minorEastAsia" w:eastAsiaTheme="minorEastAsia" w:hAnsiTheme="minorEastAsia" w:hint="eastAsia"/>
                <w:sz w:val="24"/>
                <w:szCs w:val="24"/>
              </w:rPr>
              <w:t>月</w:t>
            </w:r>
            <w:r>
              <w:rPr>
                <w:rFonts w:asciiTheme="minorEastAsia" w:eastAsiaTheme="minorEastAsia" w:hAnsiTheme="minorEastAsia"/>
                <w:sz w:val="24"/>
                <w:szCs w:val="24"/>
              </w:rPr>
              <w:t>24</w:t>
            </w:r>
            <w:r w:rsidR="00A63BE1" w:rsidRPr="00A63BE1">
              <w:rPr>
                <w:rFonts w:asciiTheme="minorEastAsia" w:eastAsiaTheme="minorEastAsia" w:hAnsiTheme="minorEastAsia" w:hint="eastAsia"/>
                <w:sz w:val="24"/>
                <w:szCs w:val="24"/>
              </w:rPr>
              <w:t>日</w:t>
            </w:r>
          </w:p>
        </w:tc>
      </w:tr>
      <w:tr w:rsidR="00D9646B" w:rsidRPr="008656F5" w:rsidTr="00D9646B">
        <w:trPr>
          <w:jc w:val="center"/>
        </w:trPr>
        <w:tc>
          <w:tcPr>
            <w:tcW w:w="4355" w:type="dxa"/>
          </w:tcPr>
          <w:p w:rsidR="0099338F" w:rsidRPr="008656F5" w:rsidRDefault="0099338F"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除息日</w:t>
            </w:r>
          </w:p>
        </w:tc>
        <w:tc>
          <w:tcPr>
            <w:tcW w:w="8710" w:type="dxa"/>
          </w:tcPr>
          <w:p w:rsidR="0099338F" w:rsidRPr="008656F5" w:rsidRDefault="00004258" w:rsidP="0020536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Pr="000C1091">
              <w:rPr>
                <w:rFonts w:asciiTheme="minorEastAsia" w:eastAsiaTheme="minorEastAsia" w:hAnsiTheme="minorEastAsia" w:hint="eastAsia"/>
                <w:sz w:val="24"/>
                <w:szCs w:val="24"/>
              </w:rPr>
              <w:t>年</w:t>
            </w:r>
            <w:r>
              <w:rPr>
                <w:rFonts w:asciiTheme="minorEastAsia" w:eastAsiaTheme="minorEastAsia" w:hAnsiTheme="minorEastAsia"/>
                <w:sz w:val="24"/>
                <w:szCs w:val="24"/>
              </w:rPr>
              <w:t>12</w:t>
            </w:r>
            <w:r w:rsidRPr="00A63BE1">
              <w:rPr>
                <w:rFonts w:asciiTheme="minorEastAsia" w:eastAsiaTheme="minorEastAsia" w:hAnsiTheme="minorEastAsia" w:hint="eastAsia"/>
                <w:sz w:val="24"/>
                <w:szCs w:val="24"/>
              </w:rPr>
              <w:t>月</w:t>
            </w:r>
            <w:r>
              <w:rPr>
                <w:rFonts w:asciiTheme="minorEastAsia" w:eastAsiaTheme="minorEastAsia" w:hAnsiTheme="minorEastAsia"/>
                <w:sz w:val="24"/>
                <w:szCs w:val="24"/>
              </w:rPr>
              <w:t>24</w:t>
            </w:r>
            <w:r w:rsidRPr="00A63BE1">
              <w:rPr>
                <w:rFonts w:asciiTheme="minorEastAsia" w:eastAsiaTheme="minorEastAsia" w:hAnsiTheme="minorEastAsia" w:hint="eastAsia"/>
                <w:sz w:val="24"/>
                <w:szCs w:val="24"/>
              </w:rPr>
              <w:t>日</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现金红利发放日</w:t>
            </w:r>
          </w:p>
        </w:tc>
        <w:tc>
          <w:tcPr>
            <w:tcW w:w="4355" w:type="dxa"/>
          </w:tcPr>
          <w:p w:rsidR="00893436" w:rsidRPr="008656F5" w:rsidRDefault="00004258" w:rsidP="0020536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Pr="000C1091">
              <w:rPr>
                <w:rFonts w:asciiTheme="minorEastAsia" w:eastAsiaTheme="minorEastAsia" w:hAnsiTheme="minorEastAsia" w:hint="eastAsia"/>
                <w:sz w:val="24"/>
                <w:szCs w:val="24"/>
              </w:rPr>
              <w:t>年</w:t>
            </w:r>
            <w:r>
              <w:rPr>
                <w:rFonts w:asciiTheme="minorEastAsia" w:eastAsiaTheme="minorEastAsia" w:hAnsiTheme="minorEastAsia"/>
                <w:sz w:val="24"/>
                <w:szCs w:val="24"/>
              </w:rPr>
              <w:t>12</w:t>
            </w:r>
            <w:r w:rsidRPr="00A63BE1">
              <w:rPr>
                <w:rFonts w:asciiTheme="minorEastAsia" w:eastAsiaTheme="minorEastAsia" w:hAnsiTheme="minorEastAsia" w:hint="eastAsia"/>
                <w:sz w:val="24"/>
                <w:szCs w:val="24"/>
              </w:rPr>
              <w:t>月</w:t>
            </w:r>
            <w:r>
              <w:rPr>
                <w:rFonts w:asciiTheme="minorEastAsia" w:eastAsiaTheme="minorEastAsia" w:hAnsiTheme="minorEastAsia"/>
                <w:sz w:val="24"/>
                <w:szCs w:val="24"/>
              </w:rPr>
              <w:t>25</w:t>
            </w:r>
            <w:r w:rsidRPr="00A63BE1">
              <w:rPr>
                <w:rFonts w:asciiTheme="minorEastAsia" w:eastAsiaTheme="minorEastAsia" w:hAnsiTheme="minorEastAsia" w:hint="eastAsia"/>
                <w:sz w:val="24"/>
                <w:szCs w:val="24"/>
              </w:rPr>
              <w:t>日</w:t>
            </w:r>
          </w:p>
        </w:tc>
      </w:tr>
      <w:tr w:rsidR="00893436" w:rsidRPr="008656F5" w:rsidTr="0083403A">
        <w:trPr>
          <w:jc w:val="center"/>
        </w:trPr>
        <w:tc>
          <w:tcPr>
            <w:tcW w:w="4355" w:type="dxa"/>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分红对象</w:t>
            </w:r>
          </w:p>
        </w:tc>
        <w:tc>
          <w:tcPr>
            <w:tcW w:w="4355" w:type="dxa"/>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权益登记日在国联安基金管理有限公司登记在册的本基金全体持有人</w:t>
            </w:r>
          </w:p>
        </w:tc>
      </w:tr>
      <w:tr w:rsidR="00893436" w:rsidRPr="008656F5" w:rsidTr="0083403A">
        <w:trPr>
          <w:jc w:val="center"/>
        </w:trPr>
        <w:tc>
          <w:tcPr>
            <w:tcW w:w="4355" w:type="dxa"/>
            <w:shd w:val="clear" w:color="auto" w:fill="auto"/>
            <w:vAlign w:val="center"/>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红利再投资相关事项的说明</w:t>
            </w:r>
          </w:p>
        </w:tc>
        <w:tc>
          <w:tcPr>
            <w:tcW w:w="4355" w:type="dxa"/>
            <w:shd w:val="clear" w:color="auto" w:fill="auto"/>
          </w:tcPr>
          <w:p w:rsidR="00893436"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选择红利再投资方式的投资者红利再投资所得的基金份额将按</w:t>
            </w:r>
            <w:r w:rsidR="00004258">
              <w:rPr>
                <w:rFonts w:asciiTheme="minorEastAsia" w:eastAsiaTheme="minorEastAsia" w:hAnsiTheme="minorEastAsia" w:hint="eastAsia"/>
                <w:sz w:val="24"/>
                <w:szCs w:val="24"/>
              </w:rPr>
              <w:t>202</w:t>
            </w:r>
            <w:r w:rsidR="00004258">
              <w:rPr>
                <w:rFonts w:asciiTheme="minorEastAsia" w:eastAsiaTheme="minorEastAsia" w:hAnsiTheme="minorEastAsia"/>
                <w:sz w:val="24"/>
                <w:szCs w:val="24"/>
              </w:rPr>
              <w:t>4</w:t>
            </w:r>
            <w:r w:rsidR="000C44FB" w:rsidRPr="00953A4F">
              <w:rPr>
                <w:rFonts w:asciiTheme="minorEastAsia" w:eastAsiaTheme="minorEastAsia" w:hAnsiTheme="minorEastAsia" w:hint="eastAsia"/>
                <w:sz w:val="24"/>
                <w:szCs w:val="24"/>
              </w:rPr>
              <w:t>年</w:t>
            </w:r>
            <w:r w:rsidR="000C44FB">
              <w:rPr>
                <w:rFonts w:asciiTheme="minorEastAsia" w:eastAsiaTheme="minorEastAsia" w:hAnsiTheme="minorEastAsia"/>
                <w:sz w:val="24"/>
                <w:szCs w:val="24"/>
              </w:rPr>
              <w:t>12</w:t>
            </w:r>
            <w:r w:rsidR="00953A4F" w:rsidRPr="00953A4F">
              <w:rPr>
                <w:rFonts w:asciiTheme="minorEastAsia" w:eastAsiaTheme="minorEastAsia" w:hAnsiTheme="minorEastAsia" w:hint="eastAsia"/>
                <w:sz w:val="24"/>
                <w:szCs w:val="24"/>
              </w:rPr>
              <w:t>月</w:t>
            </w:r>
            <w:r w:rsidR="00004258">
              <w:rPr>
                <w:rFonts w:asciiTheme="minorEastAsia" w:eastAsiaTheme="minorEastAsia" w:hAnsiTheme="minorEastAsia"/>
                <w:sz w:val="24"/>
                <w:szCs w:val="24"/>
              </w:rPr>
              <w:t>24</w:t>
            </w:r>
            <w:r w:rsidR="00953A4F" w:rsidRPr="00953A4F">
              <w:rPr>
                <w:rFonts w:asciiTheme="minorEastAsia" w:eastAsiaTheme="minorEastAsia" w:hAnsiTheme="minorEastAsia" w:hint="eastAsia"/>
                <w:sz w:val="24"/>
                <w:szCs w:val="24"/>
              </w:rPr>
              <w:t>日</w:t>
            </w:r>
            <w:r w:rsidRPr="008656F5">
              <w:rPr>
                <w:rFonts w:asciiTheme="minorEastAsia" w:eastAsiaTheme="minorEastAsia" w:hAnsiTheme="minorEastAsia"/>
                <w:sz w:val="24"/>
                <w:szCs w:val="24"/>
              </w:rPr>
              <w:t>的基金份额净值计算确定，红利再投资所得份额的持有期限自份额确认日开始计算。选择红利再投资方式的投资者其红利再投资的基金份额将于</w:t>
            </w:r>
            <w:r w:rsidR="00004258">
              <w:rPr>
                <w:rFonts w:asciiTheme="minorEastAsia" w:eastAsiaTheme="minorEastAsia" w:hAnsiTheme="minorEastAsia" w:hint="eastAsia"/>
                <w:sz w:val="24"/>
                <w:szCs w:val="24"/>
              </w:rPr>
              <w:t>202</w:t>
            </w:r>
            <w:r w:rsidR="00004258">
              <w:rPr>
                <w:rFonts w:asciiTheme="minorEastAsia" w:eastAsiaTheme="minorEastAsia" w:hAnsiTheme="minorEastAsia"/>
                <w:sz w:val="24"/>
                <w:szCs w:val="24"/>
              </w:rPr>
              <w:t>4</w:t>
            </w:r>
            <w:r w:rsidR="000C44FB" w:rsidRPr="008A3A2C">
              <w:rPr>
                <w:rFonts w:asciiTheme="minorEastAsia" w:eastAsiaTheme="minorEastAsia" w:hAnsiTheme="minorEastAsia" w:hint="eastAsia"/>
                <w:sz w:val="24"/>
                <w:szCs w:val="24"/>
              </w:rPr>
              <w:t>年</w:t>
            </w:r>
            <w:r w:rsidR="000C44FB">
              <w:rPr>
                <w:rFonts w:asciiTheme="minorEastAsia" w:eastAsiaTheme="minorEastAsia" w:hAnsiTheme="minorEastAsia"/>
                <w:sz w:val="24"/>
                <w:szCs w:val="24"/>
              </w:rPr>
              <w:t>12</w:t>
            </w:r>
            <w:r w:rsidR="00A63BE1" w:rsidRPr="00A63BE1">
              <w:rPr>
                <w:rFonts w:asciiTheme="minorEastAsia" w:eastAsiaTheme="minorEastAsia" w:hAnsiTheme="minorEastAsia" w:hint="eastAsia"/>
                <w:sz w:val="24"/>
                <w:szCs w:val="24"/>
              </w:rPr>
              <w:t>月</w:t>
            </w:r>
            <w:r w:rsidR="00004258">
              <w:rPr>
                <w:rFonts w:asciiTheme="minorEastAsia" w:eastAsiaTheme="minorEastAsia" w:hAnsiTheme="minorEastAsia"/>
                <w:sz w:val="24"/>
                <w:szCs w:val="24"/>
              </w:rPr>
              <w:t>25</w:t>
            </w:r>
            <w:r w:rsidR="00A63BE1" w:rsidRPr="00A63BE1">
              <w:rPr>
                <w:rFonts w:asciiTheme="minorEastAsia" w:eastAsiaTheme="minorEastAsia" w:hAnsiTheme="minorEastAsia" w:hint="eastAsia"/>
                <w:sz w:val="24"/>
                <w:szCs w:val="24"/>
              </w:rPr>
              <w:t>日</w:t>
            </w:r>
            <w:r w:rsidRPr="008656F5">
              <w:rPr>
                <w:rFonts w:asciiTheme="minorEastAsia" w:eastAsiaTheme="minorEastAsia" w:hAnsiTheme="minorEastAsia"/>
                <w:sz w:val="24"/>
                <w:szCs w:val="24"/>
              </w:rPr>
              <w:t>直接计入其基金账户，自</w:t>
            </w:r>
            <w:r w:rsidR="00004258">
              <w:rPr>
                <w:rFonts w:asciiTheme="minorEastAsia" w:eastAsiaTheme="minorEastAsia" w:hAnsiTheme="minorEastAsia" w:hint="eastAsia"/>
                <w:sz w:val="24"/>
                <w:szCs w:val="24"/>
              </w:rPr>
              <w:t>202</w:t>
            </w:r>
            <w:r w:rsidR="00004258">
              <w:rPr>
                <w:rFonts w:asciiTheme="minorEastAsia" w:eastAsiaTheme="minorEastAsia" w:hAnsiTheme="minorEastAsia"/>
                <w:sz w:val="24"/>
                <w:szCs w:val="24"/>
              </w:rPr>
              <w:t>4</w:t>
            </w:r>
            <w:r w:rsidR="000C44FB" w:rsidRPr="008A0739">
              <w:rPr>
                <w:rFonts w:asciiTheme="minorEastAsia" w:eastAsiaTheme="minorEastAsia" w:hAnsiTheme="minorEastAsia" w:hint="eastAsia"/>
                <w:sz w:val="24"/>
                <w:szCs w:val="24"/>
              </w:rPr>
              <w:t>年</w:t>
            </w:r>
            <w:r w:rsidR="000C44FB">
              <w:rPr>
                <w:rFonts w:asciiTheme="minorEastAsia" w:eastAsiaTheme="minorEastAsia" w:hAnsiTheme="minorEastAsia"/>
                <w:sz w:val="24"/>
                <w:szCs w:val="24"/>
              </w:rPr>
              <w:t>12</w:t>
            </w:r>
            <w:r w:rsidR="00A63BE1" w:rsidRPr="00A63BE1">
              <w:rPr>
                <w:rFonts w:asciiTheme="minorEastAsia" w:eastAsiaTheme="minorEastAsia" w:hAnsiTheme="minorEastAsia" w:hint="eastAsia"/>
                <w:sz w:val="24"/>
                <w:szCs w:val="24"/>
              </w:rPr>
              <w:t>月</w:t>
            </w:r>
            <w:r w:rsidR="00004258">
              <w:rPr>
                <w:rFonts w:asciiTheme="minorEastAsia" w:eastAsiaTheme="minorEastAsia" w:hAnsiTheme="minorEastAsia"/>
                <w:sz w:val="24"/>
                <w:szCs w:val="24"/>
              </w:rPr>
              <w:t>26</w:t>
            </w:r>
            <w:r w:rsidR="00A63BE1" w:rsidRPr="00A63BE1">
              <w:rPr>
                <w:rFonts w:asciiTheme="minorEastAsia" w:eastAsiaTheme="minorEastAsia" w:hAnsiTheme="minorEastAsia" w:hint="eastAsia"/>
                <w:sz w:val="24"/>
                <w:szCs w:val="24"/>
              </w:rPr>
              <w:t>日</w:t>
            </w:r>
            <w:r w:rsidRPr="008656F5">
              <w:rPr>
                <w:rFonts w:asciiTheme="minorEastAsia" w:eastAsiaTheme="minorEastAsia" w:hAnsiTheme="minorEastAsia"/>
                <w:sz w:val="24"/>
                <w:szCs w:val="24"/>
              </w:rPr>
              <w:t>起投资者可以查询、赎回。</w:t>
            </w:r>
          </w:p>
          <w:p w:rsidR="00C645B2" w:rsidRPr="008656F5" w:rsidRDefault="00C645B2" w:rsidP="00B14D73">
            <w:pPr>
              <w:spacing w:line="360" w:lineRule="auto"/>
              <w:rPr>
                <w:rFonts w:asciiTheme="minorEastAsia" w:eastAsiaTheme="minorEastAsia" w:hAnsiTheme="minorEastAsia"/>
                <w:sz w:val="24"/>
                <w:szCs w:val="24"/>
              </w:rPr>
            </w:pPr>
            <w:r w:rsidRPr="00C645B2">
              <w:rPr>
                <w:rFonts w:asciiTheme="minorEastAsia" w:eastAsiaTheme="minorEastAsia" w:hAnsiTheme="minorEastAsia" w:hint="eastAsia"/>
                <w:sz w:val="24"/>
                <w:szCs w:val="24"/>
              </w:rPr>
              <w:t>权益登记日之前（不含权益登记日）办理了转托管转出尚未办理转托管转入的基金份额，其分红方式按照红利再投资处理，所转出的基金份额待转托管转入确认后与红利再投资所得份额一并划转。</w:t>
            </w:r>
          </w:p>
        </w:tc>
      </w:tr>
      <w:tr w:rsidR="00893436" w:rsidRPr="008656F5" w:rsidTr="00051CDE">
        <w:trPr>
          <w:jc w:val="center"/>
        </w:trPr>
        <w:tc>
          <w:tcPr>
            <w:tcW w:w="4355" w:type="dxa"/>
            <w:tcBorders>
              <w:bottom w:val="single" w:sz="4" w:space="0" w:color="auto"/>
            </w:tcBorders>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税收相关事项的说明</w:t>
            </w:r>
          </w:p>
        </w:tc>
        <w:tc>
          <w:tcPr>
            <w:tcW w:w="4355" w:type="dxa"/>
            <w:tcBorders>
              <w:bottom w:val="single" w:sz="4" w:space="0" w:color="auto"/>
            </w:tcBorders>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根据财政部、国家税务总局的相关规定，基金向投资者分配的基金收益，暂免征收所得税。</w:t>
            </w:r>
          </w:p>
        </w:tc>
      </w:tr>
      <w:tr w:rsidR="00893436" w:rsidRPr="008656F5" w:rsidTr="00051CDE">
        <w:trPr>
          <w:jc w:val="center"/>
        </w:trPr>
        <w:tc>
          <w:tcPr>
            <w:tcW w:w="4355" w:type="dxa"/>
            <w:tcBorders>
              <w:top w:val="single" w:sz="4" w:space="0" w:color="auto"/>
              <w:left w:val="single" w:sz="4" w:space="0" w:color="auto"/>
              <w:bottom w:val="single" w:sz="4" w:space="0" w:color="auto"/>
              <w:right w:val="single" w:sz="4" w:space="0" w:color="auto"/>
            </w:tcBorders>
          </w:tcPr>
          <w:p w:rsidR="00893436" w:rsidRPr="008656F5" w:rsidRDefault="00893436" w:rsidP="00B14D73">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color w:val="000000"/>
                <w:sz w:val="24"/>
                <w:szCs w:val="24"/>
              </w:rPr>
              <w:t>费用相关事项的说明</w:t>
            </w:r>
          </w:p>
        </w:tc>
        <w:tc>
          <w:tcPr>
            <w:tcW w:w="4355" w:type="dxa"/>
            <w:tcBorders>
              <w:top w:val="single" w:sz="4" w:space="0" w:color="auto"/>
              <w:left w:val="single" w:sz="4" w:space="0" w:color="auto"/>
              <w:bottom w:val="single" w:sz="4" w:space="0" w:color="auto"/>
              <w:right w:val="single" w:sz="4" w:space="0" w:color="auto"/>
            </w:tcBorders>
            <w:shd w:val="clear" w:color="auto" w:fill="auto"/>
          </w:tcPr>
          <w:p w:rsidR="00893436" w:rsidRPr="008656F5" w:rsidRDefault="00BA7F58" w:rsidP="00B14D73">
            <w:pPr>
              <w:spacing w:line="360" w:lineRule="auto"/>
              <w:rPr>
                <w:rFonts w:asciiTheme="minorEastAsia" w:eastAsiaTheme="minorEastAsia" w:hAnsiTheme="minorEastAsia"/>
                <w:sz w:val="24"/>
                <w:szCs w:val="24"/>
              </w:rPr>
            </w:pPr>
            <w:r w:rsidRPr="008656F5">
              <w:rPr>
                <w:rFonts w:asciiTheme="minorEastAsia" w:eastAsiaTheme="minorEastAsia" w:hAnsiTheme="minorEastAsia"/>
                <w:sz w:val="24"/>
                <w:szCs w:val="24"/>
              </w:rPr>
              <w:t>本基金本次分红免收分红手续费。选择红利再投资方式的投资者其红利再投资所得的基金份额免收申购费用。</w:t>
            </w:r>
          </w:p>
        </w:tc>
      </w:tr>
    </w:tbl>
    <w:p w:rsidR="00B96C9B" w:rsidRDefault="007314E5">
      <w:pPr>
        <w:spacing w:line="360" w:lineRule="auto"/>
        <w:rPr>
          <w:rFonts w:asciiTheme="minorEastAsia" w:eastAsiaTheme="minorEastAsia" w:hAnsiTheme="minorEastAsia"/>
          <w:color w:val="000000"/>
          <w:sz w:val="24"/>
          <w:szCs w:val="24"/>
        </w:rPr>
      </w:pPr>
      <w:r>
        <w:rPr>
          <w:rFonts w:asciiTheme="minorEastAsia" w:eastAsiaTheme="minorEastAsia" w:hAnsiTheme="minorEastAsia"/>
          <w:sz w:val="24"/>
          <w:szCs w:val="24"/>
        </w:rPr>
        <w:t>注：（1）现金红利款将于</w:t>
      </w:r>
      <w:r w:rsidR="00004258">
        <w:rPr>
          <w:rFonts w:asciiTheme="minorEastAsia" w:eastAsiaTheme="minorEastAsia" w:hAnsiTheme="minorEastAsia" w:hint="eastAsia"/>
          <w:sz w:val="24"/>
          <w:szCs w:val="24"/>
        </w:rPr>
        <w:t>202</w:t>
      </w:r>
      <w:r w:rsidR="00004258">
        <w:rPr>
          <w:rFonts w:asciiTheme="minorEastAsia" w:eastAsiaTheme="minorEastAsia" w:hAnsiTheme="minorEastAsia"/>
          <w:sz w:val="24"/>
          <w:szCs w:val="24"/>
        </w:rPr>
        <w:t>4</w:t>
      </w:r>
      <w:r w:rsidR="000C44FB" w:rsidRPr="006E4C7D">
        <w:rPr>
          <w:rFonts w:asciiTheme="minorEastAsia" w:eastAsiaTheme="minorEastAsia" w:hAnsiTheme="minorEastAsia" w:hint="eastAsia"/>
          <w:sz w:val="24"/>
          <w:szCs w:val="24"/>
        </w:rPr>
        <w:t>年</w:t>
      </w:r>
      <w:r w:rsidR="000C44FB">
        <w:rPr>
          <w:rFonts w:asciiTheme="minorEastAsia" w:eastAsiaTheme="minorEastAsia" w:hAnsiTheme="minorEastAsia"/>
          <w:sz w:val="24"/>
          <w:szCs w:val="24"/>
        </w:rPr>
        <w:t>12</w:t>
      </w:r>
      <w:r w:rsidR="00A63BE1" w:rsidRPr="00A63BE1">
        <w:rPr>
          <w:rFonts w:asciiTheme="minorEastAsia" w:eastAsiaTheme="minorEastAsia" w:hAnsiTheme="minorEastAsia" w:hint="eastAsia"/>
          <w:sz w:val="24"/>
          <w:szCs w:val="24"/>
        </w:rPr>
        <w:t>月</w:t>
      </w:r>
      <w:r w:rsidR="00004258">
        <w:rPr>
          <w:rFonts w:asciiTheme="minorEastAsia" w:eastAsiaTheme="minorEastAsia" w:hAnsiTheme="minorEastAsia"/>
          <w:sz w:val="24"/>
          <w:szCs w:val="24"/>
        </w:rPr>
        <w:t>25</w:t>
      </w:r>
      <w:r w:rsidR="00A63BE1" w:rsidRPr="00A63BE1">
        <w:rPr>
          <w:rFonts w:asciiTheme="minorEastAsia" w:eastAsiaTheme="minorEastAsia" w:hAnsiTheme="minorEastAsia" w:hint="eastAsia"/>
          <w:sz w:val="24"/>
          <w:szCs w:val="24"/>
        </w:rPr>
        <w:t>日</w:t>
      </w:r>
      <w:r>
        <w:rPr>
          <w:rFonts w:asciiTheme="minorEastAsia" w:eastAsiaTheme="minorEastAsia" w:hAnsiTheme="minorEastAsia"/>
          <w:sz w:val="24"/>
          <w:szCs w:val="24"/>
        </w:rPr>
        <w:t>自基金托管账户划出。</w:t>
      </w:r>
    </w:p>
    <w:p w:rsidR="00893436" w:rsidRPr="008656F5" w:rsidRDefault="00284B1B" w:rsidP="0083403A">
      <w:pPr>
        <w:spacing w:line="360" w:lineRule="auto"/>
        <w:rPr>
          <w:rFonts w:asciiTheme="minorEastAsia" w:eastAsiaTheme="minorEastAsia" w:hAnsiTheme="minorEastAsia"/>
          <w:color w:val="000000"/>
          <w:sz w:val="24"/>
          <w:szCs w:val="24"/>
        </w:rPr>
      </w:pPr>
      <w:r w:rsidRPr="008656F5">
        <w:rPr>
          <w:rFonts w:asciiTheme="minorEastAsia" w:eastAsiaTheme="minorEastAsia" w:hAnsiTheme="minorEastAsia"/>
          <w:sz w:val="24"/>
          <w:szCs w:val="24"/>
        </w:rPr>
        <w:t>（2）冻结基金份额的红利发放按照《国联安基金管理有限公司开放式基金业务规则》的相关规定处理。</w:t>
      </w:r>
    </w:p>
    <w:p w:rsidR="00893436" w:rsidRPr="008656F5" w:rsidRDefault="00893436" w:rsidP="00B14D73">
      <w:pPr>
        <w:pStyle w:val="2"/>
        <w:spacing w:line="360" w:lineRule="auto"/>
        <w:rPr>
          <w:rFonts w:asciiTheme="minorEastAsia" w:eastAsiaTheme="minorEastAsia" w:hAnsiTheme="minorEastAsia"/>
          <w:bCs w:val="0"/>
          <w:color w:val="000000"/>
          <w:sz w:val="24"/>
          <w:szCs w:val="24"/>
        </w:rPr>
      </w:pPr>
      <w:bookmarkStart w:id="5" w:name="_Toc275961420"/>
      <w:r w:rsidRPr="008656F5">
        <w:rPr>
          <w:rFonts w:asciiTheme="minorEastAsia" w:eastAsiaTheme="minorEastAsia" w:hAnsiTheme="minorEastAsia"/>
          <w:bCs w:val="0"/>
          <w:color w:val="000000"/>
          <w:sz w:val="24"/>
          <w:szCs w:val="24"/>
        </w:rPr>
        <w:t>3 其他需要提示的事项</w:t>
      </w:r>
      <w:bookmarkEnd w:id="5"/>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（1）权益登记日当日申请申购或转换转入的基金份额不享有本次分红权益，权益登记日当日申请赎回或转换转出的基金份额享有本次分红权益。</w:t>
      </w:r>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（2）本基金分红方式分为两种：现金分红与红利再投资。基金份额持有人可以在基金开放日的交易时间内到相关销售网点选择或更改分红方式，本次分红</w:t>
      </w:r>
      <w:r>
        <w:rPr>
          <w:rFonts w:asciiTheme="minorEastAsia" w:eastAsiaTheme="minorEastAsia" w:hAnsiTheme="minorEastAsia"/>
          <w:sz w:val="24"/>
          <w:szCs w:val="24"/>
        </w:rPr>
        <w:lastRenderedPageBreak/>
        <w:t>最终分红方式以权益登记日之前（不含</w:t>
      </w:r>
      <w:r w:rsidR="00004258">
        <w:rPr>
          <w:rFonts w:asciiTheme="minorEastAsia" w:eastAsiaTheme="minorEastAsia" w:hAnsiTheme="minorEastAsia" w:hint="eastAsia"/>
          <w:sz w:val="24"/>
          <w:szCs w:val="24"/>
        </w:rPr>
        <w:t>202</w:t>
      </w:r>
      <w:r w:rsidR="00004258">
        <w:rPr>
          <w:rFonts w:asciiTheme="minorEastAsia" w:eastAsiaTheme="minorEastAsia" w:hAnsiTheme="minorEastAsia"/>
          <w:sz w:val="24"/>
          <w:szCs w:val="24"/>
        </w:rPr>
        <w:t>4</w:t>
      </w:r>
      <w:r w:rsidR="000C44FB" w:rsidRPr="00771B3C">
        <w:rPr>
          <w:rFonts w:asciiTheme="minorEastAsia" w:eastAsiaTheme="minorEastAsia" w:hAnsiTheme="minorEastAsia" w:hint="eastAsia"/>
          <w:sz w:val="24"/>
          <w:szCs w:val="24"/>
        </w:rPr>
        <w:t>年</w:t>
      </w:r>
      <w:r w:rsidR="000C44FB">
        <w:rPr>
          <w:rFonts w:asciiTheme="minorEastAsia" w:eastAsiaTheme="minorEastAsia" w:hAnsiTheme="minorEastAsia"/>
          <w:sz w:val="24"/>
          <w:szCs w:val="24"/>
        </w:rPr>
        <w:t>12</w:t>
      </w:r>
      <w:r w:rsidR="00A63BE1" w:rsidRPr="00A63BE1">
        <w:rPr>
          <w:rFonts w:asciiTheme="minorEastAsia" w:eastAsiaTheme="minorEastAsia" w:hAnsiTheme="minorEastAsia" w:hint="eastAsia"/>
          <w:sz w:val="24"/>
          <w:szCs w:val="24"/>
        </w:rPr>
        <w:t>月</w:t>
      </w:r>
      <w:r w:rsidR="00004258">
        <w:rPr>
          <w:rFonts w:asciiTheme="minorEastAsia" w:eastAsiaTheme="minorEastAsia" w:hAnsiTheme="minorEastAsia"/>
          <w:sz w:val="24"/>
          <w:szCs w:val="24"/>
        </w:rPr>
        <w:t>24</w:t>
      </w:r>
      <w:r w:rsidR="00A63BE1" w:rsidRPr="00A63BE1">
        <w:rPr>
          <w:rFonts w:asciiTheme="minorEastAsia" w:eastAsiaTheme="minorEastAsia" w:hAnsiTheme="minorEastAsia" w:hint="eastAsia"/>
          <w:sz w:val="24"/>
          <w:szCs w:val="24"/>
        </w:rPr>
        <w:t>日</w:t>
      </w:r>
      <w:r>
        <w:rPr>
          <w:rFonts w:asciiTheme="minorEastAsia" w:eastAsiaTheme="minorEastAsia" w:hAnsiTheme="minorEastAsia"/>
          <w:sz w:val="24"/>
          <w:szCs w:val="24"/>
        </w:rPr>
        <w:t>）最后一次选择或更改并经注册登记机构确认的分红方式为准。敬请基金份额持有人及时到相关销售网点查询分红方式；若希望更改分红方式的，请务必在规定的时间前到相关销售网点办理变更手续。对于未在权益登记日之前选择具体分红方式的基金份额持有人，本基金默认的分红方式为现金分红方式。</w:t>
      </w:r>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（3）本次分红不会改变本基金的风险收益特征，也不会降低本基金的投资风险或提高本基金的投资收益。</w:t>
      </w:r>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（4）因分红导致基金份额净值调整至面值附近，在市场波动等因素的影响下，基金投资仍有可能出现亏损或基金份额净值仍有可能低于面值。</w:t>
      </w:r>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（5）咨询办法 </w:t>
      </w:r>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①本基金管理人网站：www.</w:t>
      </w:r>
      <w:r w:rsidR="004E693A">
        <w:rPr>
          <w:rFonts w:asciiTheme="minorEastAsia" w:eastAsiaTheme="minorEastAsia" w:hAnsiTheme="minorEastAsia"/>
          <w:sz w:val="24"/>
          <w:szCs w:val="24"/>
        </w:rPr>
        <w:t>cpicfunds</w:t>
      </w:r>
      <w:r>
        <w:rPr>
          <w:rFonts w:asciiTheme="minorEastAsia" w:eastAsiaTheme="minorEastAsia" w:hAnsiTheme="minorEastAsia"/>
          <w:sz w:val="24"/>
          <w:szCs w:val="24"/>
        </w:rPr>
        <w:t>.com。</w:t>
      </w:r>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②本基金管理人客户服务电话：021-38784766，400-7000-365（免长途话费）。</w:t>
      </w:r>
    </w:p>
    <w:p w:rsidR="00B96C9B" w:rsidRDefault="007314E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（6）风险提示：本基金管理人承诺以诚实信用、勤勉尽责的原则管理和运用基金财产，但不保证基金一定盈利，也不保证最低收益。基金的过往业绩并不代表其将来表现</w:t>
      </w:r>
      <w:r w:rsidR="00EF2D5D">
        <w:rPr>
          <w:rFonts w:asciiTheme="minorEastAsia" w:eastAsiaTheme="minorEastAsia" w:hAnsiTheme="minorEastAsia" w:hint="eastAsia"/>
          <w:sz w:val="24"/>
          <w:szCs w:val="24"/>
        </w:rPr>
        <w:t>，</w:t>
      </w:r>
      <w:r w:rsidR="00195D2B" w:rsidRPr="00195D2B">
        <w:rPr>
          <w:rFonts w:asciiTheme="minorEastAsia" w:eastAsiaTheme="minorEastAsia" w:hAnsiTheme="minorEastAsia" w:hint="eastAsia"/>
          <w:sz w:val="24"/>
          <w:szCs w:val="24"/>
        </w:rPr>
        <w:t>基金管理人管理的其他基金的业绩并不构成本基金业绩表现的保证。</w:t>
      </w:r>
      <w:r>
        <w:rPr>
          <w:rFonts w:asciiTheme="minorEastAsia" w:eastAsiaTheme="minorEastAsia" w:hAnsiTheme="minorEastAsia"/>
          <w:sz w:val="24"/>
          <w:szCs w:val="24"/>
        </w:rPr>
        <w:t>投资有风险，敬请投资</w:t>
      </w:r>
      <w:r w:rsidR="00E14942">
        <w:rPr>
          <w:rFonts w:asciiTheme="minorEastAsia" w:eastAsiaTheme="minorEastAsia" w:hAnsiTheme="minorEastAsia" w:hint="eastAsia"/>
          <w:sz w:val="24"/>
          <w:szCs w:val="24"/>
        </w:rPr>
        <w:t>者</w:t>
      </w:r>
      <w:r>
        <w:rPr>
          <w:rFonts w:asciiTheme="minorEastAsia" w:eastAsiaTheme="minorEastAsia" w:hAnsiTheme="minorEastAsia"/>
          <w:sz w:val="24"/>
          <w:szCs w:val="24"/>
        </w:rPr>
        <w:t>认真阅读基金的相关法律文件，并选择适合自身风险承受能力的投资品种进行投资。</w:t>
      </w:r>
    </w:p>
    <w:p w:rsidR="00205368" w:rsidRDefault="00205368" w:rsidP="0083403A">
      <w:pPr>
        <w:spacing w:line="360" w:lineRule="auto"/>
        <w:ind w:firstLineChars="200" w:firstLine="480"/>
        <w:rPr>
          <w:rFonts w:asciiTheme="minorEastAsia" w:eastAsiaTheme="minorEastAsia" w:hAnsiTheme="minorEastAsia"/>
          <w:sz w:val="24"/>
          <w:szCs w:val="24"/>
        </w:rPr>
      </w:pPr>
    </w:p>
    <w:p w:rsidR="00364C2A" w:rsidRDefault="00284B1B" w:rsidP="0083403A">
      <w:pPr>
        <w:spacing w:line="360" w:lineRule="auto"/>
        <w:ind w:firstLineChars="200" w:firstLine="480"/>
        <w:rPr>
          <w:rFonts w:asciiTheme="minorEastAsia" w:eastAsiaTheme="minorEastAsia" w:hAnsiTheme="minorEastAsia"/>
          <w:sz w:val="24"/>
          <w:szCs w:val="24"/>
        </w:rPr>
      </w:pPr>
      <w:r w:rsidRPr="008656F5">
        <w:rPr>
          <w:rFonts w:asciiTheme="minorEastAsia" w:eastAsiaTheme="minorEastAsia" w:hAnsiTheme="minorEastAsia"/>
          <w:sz w:val="24"/>
          <w:szCs w:val="24"/>
        </w:rPr>
        <w:t>特此公告。</w:t>
      </w:r>
    </w:p>
    <w:p w:rsidR="00D9646B" w:rsidRDefault="00D9646B" w:rsidP="0083403A">
      <w:pPr>
        <w:spacing w:line="360" w:lineRule="auto"/>
        <w:ind w:firstLineChars="200" w:firstLine="480"/>
        <w:rPr>
          <w:rFonts w:asciiTheme="minorEastAsia" w:eastAsiaTheme="minorEastAsia" w:hAnsiTheme="minorEastAsia"/>
          <w:sz w:val="24"/>
          <w:szCs w:val="24"/>
        </w:rPr>
      </w:pPr>
    </w:p>
    <w:p w:rsidR="00D9646B" w:rsidRDefault="00D9646B" w:rsidP="00953A4F">
      <w:pPr>
        <w:spacing w:line="360" w:lineRule="auto"/>
        <w:rPr>
          <w:rFonts w:asciiTheme="minorEastAsia" w:eastAsiaTheme="minorEastAsia" w:hAnsiTheme="minorEastAsia"/>
          <w:sz w:val="24"/>
          <w:szCs w:val="24"/>
        </w:rPr>
      </w:pPr>
    </w:p>
    <w:p w:rsidR="00D9646B" w:rsidRPr="00D36675" w:rsidRDefault="00D9646B" w:rsidP="00D36675">
      <w:pPr>
        <w:spacing w:line="360" w:lineRule="auto"/>
        <w:ind w:firstLineChars="200" w:firstLine="480"/>
        <w:jc w:val="right"/>
        <w:rPr>
          <w:rFonts w:asciiTheme="minorEastAsia" w:eastAsiaTheme="minorEastAsia" w:hAnsiTheme="minorEastAsia"/>
          <w:sz w:val="24"/>
          <w:szCs w:val="24"/>
        </w:rPr>
      </w:pPr>
      <w:r w:rsidRPr="00D36675">
        <w:rPr>
          <w:rFonts w:asciiTheme="minorEastAsia" w:eastAsiaTheme="minorEastAsia" w:hAnsiTheme="minorEastAsia" w:hint="eastAsia"/>
          <w:sz w:val="24"/>
          <w:szCs w:val="24"/>
        </w:rPr>
        <w:t>国联安基金管理有限公司</w:t>
      </w:r>
    </w:p>
    <w:p w:rsidR="00D9646B" w:rsidRPr="008656F5" w:rsidRDefault="00004258" w:rsidP="00D36675">
      <w:pPr>
        <w:spacing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sz w:val="24"/>
          <w:szCs w:val="24"/>
        </w:rPr>
        <w:t>4</w:t>
      </w:r>
      <w:r w:rsidR="000C44FB" w:rsidRPr="00D36675">
        <w:rPr>
          <w:rFonts w:asciiTheme="minorEastAsia" w:eastAsiaTheme="minorEastAsia" w:hAnsiTheme="minorEastAsia" w:hint="eastAsia"/>
          <w:sz w:val="24"/>
          <w:szCs w:val="24"/>
        </w:rPr>
        <w:t>年</w:t>
      </w:r>
      <w:r w:rsidR="000C44FB">
        <w:rPr>
          <w:rFonts w:asciiTheme="minorEastAsia" w:eastAsiaTheme="minorEastAsia" w:hAnsiTheme="minorEastAsia"/>
          <w:sz w:val="24"/>
          <w:szCs w:val="24"/>
        </w:rPr>
        <w:t>12</w:t>
      </w:r>
      <w:r w:rsidR="005E05FC">
        <w:rPr>
          <w:rFonts w:asciiTheme="minorEastAsia" w:eastAsiaTheme="minorEastAsia" w:hAnsiTheme="minorEastAsia" w:hint="eastAsia"/>
          <w:sz w:val="24"/>
          <w:szCs w:val="24"/>
        </w:rPr>
        <w:t>月</w:t>
      </w:r>
      <w:r>
        <w:rPr>
          <w:rFonts w:asciiTheme="minorEastAsia" w:eastAsiaTheme="minorEastAsia" w:hAnsiTheme="minorEastAsia"/>
          <w:sz w:val="24"/>
          <w:szCs w:val="24"/>
        </w:rPr>
        <w:t>23</w:t>
      </w:r>
      <w:r w:rsidR="00914CA8" w:rsidRPr="00D36675">
        <w:rPr>
          <w:rFonts w:asciiTheme="minorEastAsia" w:eastAsiaTheme="minorEastAsia" w:hAnsiTheme="minorEastAsia" w:hint="eastAsia"/>
          <w:sz w:val="24"/>
          <w:szCs w:val="24"/>
        </w:rPr>
        <w:t>日</w:t>
      </w:r>
    </w:p>
    <w:sectPr w:rsidR="00D9646B" w:rsidRPr="008656F5"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F9" w:rsidRDefault="00BF3FF9" w:rsidP="00893436">
      <w:r>
        <w:separator/>
      </w:r>
    </w:p>
  </w:endnote>
  <w:endnote w:type="continuationSeparator" w:id="0">
    <w:p w:rsidR="00BF3FF9" w:rsidRDefault="00BF3FF9"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F9" w:rsidRDefault="00BF3FF9" w:rsidP="00893436">
      <w:r>
        <w:separator/>
      </w:r>
    </w:p>
  </w:footnote>
  <w:footnote w:type="continuationSeparator" w:id="0">
    <w:p w:rsidR="00BF3FF9" w:rsidRDefault="00BF3FF9"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04258"/>
    <w:rsid w:val="0000658D"/>
    <w:rsid w:val="0003247C"/>
    <w:rsid w:val="00032C44"/>
    <w:rsid w:val="00033F5C"/>
    <w:rsid w:val="00034395"/>
    <w:rsid w:val="00035431"/>
    <w:rsid w:val="00041353"/>
    <w:rsid w:val="0004794D"/>
    <w:rsid w:val="000506E4"/>
    <w:rsid w:val="00051CDE"/>
    <w:rsid w:val="00053698"/>
    <w:rsid w:val="00053CF4"/>
    <w:rsid w:val="00057AC1"/>
    <w:rsid w:val="00062910"/>
    <w:rsid w:val="000668B9"/>
    <w:rsid w:val="00085F5C"/>
    <w:rsid w:val="00090896"/>
    <w:rsid w:val="00095846"/>
    <w:rsid w:val="0009778C"/>
    <w:rsid w:val="000A19B2"/>
    <w:rsid w:val="000A3658"/>
    <w:rsid w:val="000A72FE"/>
    <w:rsid w:val="000B1843"/>
    <w:rsid w:val="000B36B0"/>
    <w:rsid w:val="000B6FCE"/>
    <w:rsid w:val="000C1091"/>
    <w:rsid w:val="000C34DD"/>
    <w:rsid w:val="000C39F6"/>
    <w:rsid w:val="000C44FB"/>
    <w:rsid w:val="000D4C22"/>
    <w:rsid w:val="000E05EF"/>
    <w:rsid w:val="000E436C"/>
    <w:rsid w:val="000F558A"/>
    <w:rsid w:val="000F7E7C"/>
    <w:rsid w:val="00104E31"/>
    <w:rsid w:val="00106289"/>
    <w:rsid w:val="00106A10"/>
    <w:rsid w:val="00111BD0"/>
    <w:rsid w:val="00124B1D"/>
    <w:rsid w:val="00127441"/>
    <w:rsid w:val="00133331"/>
    <w:rsid w:val="00135CA1"/>
    <w:rsid w:val="00146B26"/>
    <w:rsid w:val="00150955"/>
    <w:rsid w:val="001550C9"/>
    <w:rsid w:val="0016074B"/>
    <w:rsid w:val="00164F39"/>
    <w:rsid w:val="001705B8"/>
    <w:rsid w:val="00180BD9"/>
    <w:rsid w:val="0019588B"/>
    <w:rsid w:val="00195D2B"/>
    <w:rsid w:val="001A1EEE"/>
    <w:rsid w:val="001B6A2A"/>
    <w:rsid w:val="001D48DA"/>
    <w:rsid w:val="001D789E"/>
    <w:rsid w:val="001E15DB"/>
    <w:rsid w:val="001E6361"/>
    <w:rsid w:val="001E63D5"/>
    <w:rsid w:val="001F3984"/>
    <w:rsid w:val="00202BA9"/>
    <w:rsid w:val="00205368"/>
    <w:rsid w:val="00207729"/>
    <w:rsid w:val="00215C32"/>
    <w:rsid w:val="00215E51"/>
    <w:rsid w:val="00223D57"/>
    <w:rsid w:val="0022433C"/>
    <w:rsid w:val="00226206"/>
    <w:rsid w:val="00242E4D"/>
    <w:rsid w:val="0024611B"/>
    <w:rsid w:val="00255EC1"/>
    <w:rsid w:val="00263A63"/>
    <w:rsid w:val="00266A99"/>
    <w:rsid w:val="00267A7C"/>
    <w:rsid w:val="00281169"/>
    <w:rsid w:val="00284B1B"/>
    <w:rsid w:val="002933F2"/>
    <w:rsid w:val="002A12A1"/>
    <w:rsid w:val="002A4AD0"/>
    <w:rsid w:val="002A63B7"/>
    <w:rsid w:val="002B631A"/>
    <w:rsid w:val="002B6707"/>
    <w:rsid w:val="002B6A76"/>
    <w:rsid w:val="002C154D"/>
    <w:rsid w:val="002F0E42"/>
    <w:rsid w:val="002F3C23"/>
    <w:rsid w:val="002F7852"/>
    <w:rsid w:val="003160F8"/>
    <w:rsid w:val="0032061C"/>
    <w:rsid w:val="00323007"/>
    <w:rsid w:val="003304ED"/>
    <w:rsid w:val="003340A3"/>
    <w:rsid w:val="00335FD4"/>
    <w:rsid w:val="00346826"/>
    <w:rsid w:val="003474A2"/>
    <w:rsid w:val="00356D77"/>
    <w:rsid w:val="00362297"/>
    <w:rsid w:val="003705AE"/>
    <w:rsid w:val="00375920"/>
    <w:rsid w:val="003838B2"/>
    <w:rsid w:val="0039192C"/>
    <w:rsid w:val="003A1027"/>
    <w:rsid w:val="003A6D68"/>
    <w:rsid w:val="003D1376"/>
    <w:rsid w:val="003E1891"/>
    <w:rsid w:val="003E51F2"/>
    <w:rsid w:val="003F5BA0"/>
    <w:rsid w:val="004020B1"/>
    <w:rsid w:val="00410642"/>
    <w:rsid w:val="00413675"/>
    <w:rsid w:val="00417890"/>
    <w:rsid w:val="004242F5"/>
    <w:rsid w:val="004409F1"/>
    <w:rsid w:val="0044418B"/>
    <w:rsid w:val="00453E47"/>
    <w:rsid w:val="00461A8E"/>
    <w:rsid w:val="00486934"/>
    <w:rsid w:val="004966BA"/>
    <w:rsid w:val="004A29BD"/>
    <w:rsid w:val="004C08FC"/>
    <w:rsid w:val="004C0B89"/>
    <w:rsid w:val="004C1215"/>
    <w:rsid w:val="004E693A"/>
    <w:rsid w:val="004E6CF6"/>
    <w:rsid w:val="004F4F84"/>
    <w:rsid w:val="0050078E"/>
    <w:rsid w:val="0050279B"/>
    <w:rsid w:val="0050632D"/>
    <w:rsid w:val="00506E3A"/>
    <w:rsid w:val="00511E41"/>
    <w:rsid w:val="0053204E"/>
    <w:rsid w:val="0055019F"/>
    <w:rsid w:val="00551127"/>
    <w:rsid w:val="005715B6"/>
    <w:rsid w:val="00573685"/>
    <w:rsid w:val="005741BC"/>
    <w:rsid w:val="005C046D"/>
    <w:rsid w:val="005C384E"/>
    <w:rsid w:val="005C6A4E"/>
    <w:rsid w:val="005C74A7"/>
    <w:rsid w:val="005C7E82"/>
    <w:rsid w:val="005E05FC"/>
    <w:rsid w:val="005E2B41"/>
    <w:rsid w:val="005E4BE3"/>
    <w:rsid w:val="00602C3F"/>
    <w:rsid w:val="00607897"/>
    <w:rsid w:val="00624CBD"/>
    <w:rsid w:val="00646A18"/>
    <w:rsid w:val="006537D6"/>
    <w:rsid w:val="00654C69"/>
    <w:rsid w:val="006602FD"/>
    <w:rsid w:val="006649D0"/>
    <w:rsid w:val="00674F34"/>
    <w:rsid w:val="00686D81"/>
    <w:rsid w:val="00687863"/>
    <w:rsid w:val="0069386D"/>
    <w:rsid w:val="006A2450"/>
    <w:rsid w:val="006A2E06"/>
    <w:rsid w:val="006B1C0F"/>
    <w:rsid w:val="006C45B9"/>
    <w:rsid w:val="006D1B94"/>
    <w:rsid w:val="006E4C7D"/>
    <w:rsid w:val="006E5135"/>
    <w:rsid w:val="006E7182"/>
    <w:rsid w:val="00705D4D"/>
    <w:rsid w:val="00721B55"/>
    <w:rsid w:val="00723716"/>
    <w:rsid w:val="00726E5A"/>
    <w:rsid w:val="007314E5"/>
    <w:rsid w:val="007349F8"/>
    <w:rsid w:val="00771B3C"/>
    <w:rsid w:val="007A0535"/>
    <w:rsid w:val="007B648F"/>
    <w:rsid w:val="007C7B20"/>
    <w:rsid w:val="007D1AA6"/>
    <w:rsid w:val="007D292D"/>
    <w:rsid w:val="00803D53"/>
    <w:rsid w:val="0083403A"/>
    <w:rsid w:val="00843486"/>
    <w:rsid w:val="008649BD"/>
    <w:rsid w:val="008656F5"/>
    <w:rsid w:val="00880E4A"/>
    <w:rsid w:val="008853BF"/>
    <w:rsid w:val="00893436"/>
    <w:rsid w:val="008A0739"/>
    <w:rsid w:val="008A19EC"/>
    <w:rsid w:val="008A2479"/>
    <w:rsid w:val="008A3A2C"/>
    <w:rsid w:val="008B36FE"/>
    <w:rsid w:val="008B4234"/>
    <w:rsid w:val="008B699C"/>
    <w:rsid w:val="008C2F2A"/>
    <w:rsid w:val="008D1F66"/>
    <w:rsid w:val="008D6256"/>
    <w:rsid w:val="008D6EE8"/>
    <w:rsid w:val="008E4E6E"/>
    <w:rsid w:val="008E524D"/>
    <w:rsid w:val="008E5B91"/>
    <w:rsid w:val="008F02E1"/>
    <w:rsid w:val="008F1FF3"/>
    <w:rsid w:val="00914CA8"/>
    <w:rsid w:val="00921065"/>
    <w:rsid w:val="00927A61"/>
    <w:rsid w:val="009302F7"/>
    <w:rsid w:val="00931D51"/>
    <w:rsid w:val="00932D0D"/>
    <w:rsid w:val="00942137"/>
    <w:rsid w:val="009539C3"/>
    <w:rsid w:val="00953A4F"/>
    <w:rsid w:val="009574CB"/>
    <w:rsid w:val="009732A4"/>
    <w:rsid w:val="00973E05"/>
    <w:rsid w:val="0098571A"/>
    <w:rsid w:val="0099338F"/>
    <w:rsid w:val="009B4BCB"/>
    <w:rsid w:val="009B60AF"/>
    <w:rsid w:val="009C062C"/>
    <w:rsid w:val="009E201D"/>
    <w:rsid w:val="00A146CF"/>
    <w:rsid w:val="00A17357"/>
    <w:rsid w:val="00A33EF0"/>
    <w:rsid w:val="00A3499A"/>
    <w:rsid w:val="00A40B8B"/>
    <w:rsid w:val="00A50A31"/>
    <w:rsid w:val="00A628C4"/>
    <w:rsid w:val="00A63BE1"/>
    <w:rsid w:val="00A80EEF"/>
    <w:rsid w:val="00A81C93"/>
    <w:rsid w:val="00A83087"/>
    <w:rsid w:val="00A84B15"/>
    <w:rsid w:val="00A84CD9"/>
    <w:rsid w:val="00A852E5"/>
    <w:rsid w:val="00A92D2B"/>
    <w:rsid w:val="00A953E5"/>
    <w:rsid w:val="00AA302D"/>
    <w:rsid w:val="00AB3930"/>
    <w:rsid w:val="00AB6D44"/>
    <w:rsid w:val="00AB6D6C"/>
    <w:rsid w:val="00AC5318"/>
    <w:rsid w:val="00AD2114"/>
    <w:rsid w:val="00AD422D"/>
    <w:rsid w:val="00AE6A1F"/>
    <w:rsid w:val="00AE7BC6"/>
    <w:rsid w:val="00AF4ACB"/>
    <w:rsid w:val="00AF5663"/>
    <w:rsid w:val="00AF5766"/>
    <w:rsid w:val="00AF7F6C"/>
    <w:rsid w:val="00B022CB"/>
    <w:rsid w:val="00B11F02"/>
    <w:rsid w:val="00B14D73"/>
    <w:rsid w:val="00B26CD4"/>
    <w:rsid w:val="00B44BBE"/>
    <w:rsid w:val="00B77B08"/>
    <w:rsid w:val="00B847C2"/>
    <w:rsid w:val="00B96C9B"/>
    <w:rsid w:val="00BA12AD"/>
    <w:rsid w:val="00BA2E4F"/>
    <w:rsid w:val="00BA7F58"/>
    <w:rsid w:val="00BB0BC0"/>
    <w:rsid w:val="00BC127B"/>
    <w:rsid w:val="00BD1B54"/>
    <w:rsid w:val="00BD7533"/>
    <w:rsid w:val="00BF3FF9"/>
    <w:rsid w:val="00BF5698"/>
    <w:rsid w:val="00C07D99"/>
    <w:rsid w:val="00C108DB"/>
    <w:rsid w:val="00C14728"/>
    <w:rsid w:val="00C22756"/>
    <w:rsid w:val="00C2697B"/>
    <w:rsid w:val="00C33DDD"/>
    <w:rsid w:val="00C3473F"/>
    <w:rsid w:val="00C34C43"/>
    <w:rsid w:val="00C645B2"/>
    <w:rsid w:val="00C71C6E"/>
    <w:rsid w:val="00C722E5"/>
    <w:rsid w:val="00C72C2E"/>
    <w:rsid w:val="00C82C9D"/>
    <w:rsid w:val="00C84603"/>
    <w:rsid w:val="00C851D9"/>
    <w:rsid w:val="00C9696B"/>
    <w:rsid w:val="00C97EB6"/>
    <w:rsid w:val="00CA0375"/>
    <w:rsid w:val="00CA7262"/>
    <w:rsid w:val="00CB3D18"/>
    <w:rsid w:val="00CC333F"/>
    <w:rsid w:val="00CC53FB"/>
    <w:rsid w:val="00CC5686"/>
    <w:rsid w:val="00CD5288"/>
    <w:rsid w:val="00CE4654"/>
    <w:rsid w:val="00CE47AA"/>
    <w:rsid w:val="00CE5DCF"/>
    <w:rsid w:val="00CF0985"/>
    <w:rsid w:val="00D000B6"/>
    <w:rsid w:val="00D05220"/>
    <w:rsid w:val="00D1666D"/>
    <w:rsid w:val="00D20292"/>
    <w:rsid w:val="00D2422B"/>
    <w:rsid w:val="00D318CC"/>
    <w:rsid w:val="00D336CC"/>
    <w:rsid w:val="00D36675"/>
    <w:rsid w:val="00D43B0C"/>
    <w:rsid w:val="00D464D2"/>
    <w:rsid w:val="00D54F3B"/>
    <w:rsid w:val="00D60895"/>
    <w:rsid w:val="00D60F02"/>
    <w:rsid w:val="00D61407"/>
    <w:rsid w:val="00D75DEA"/>
    <w:rsid w:val="00D9646B"/>
    <w:rsid w:val="00DA0586"/>
    <w:rsid w:val="00DA65DB"/>
    <w:rsid w:val="00DA66D8"/>
    <w:rsid w:val="00DA77C4"/>
    <w:rsid w:val="00DB23F3"/>
    <w:rsid w:val="00DB6924"/>
    <w:rsid w:val="00DE30DA"/>
    <w:rsid w:val="00DF3106"/>
    <w:rsid w:val="00E14942"/>
    <w:rsid w:val="00E165FD"/>
    <w:rsid w:val="00E216E5"/>
    <w:rsid w:val="00E24390"/>
    <w:rsid w:val="00E248FA"/>
    <w:rsid w:val="00E27472"/>
    <w:rsid w:val="00E34977"/>
    <w:rsid w:val="00E379B4"/>
    <w:rsid w:val="00E42139"/>
    <w:rsid w:val="00E51FD9"/>
    <w:rsid w:val="00E54355"/>
    <w:rsid w:val="00E63628"/>
    <w:rsid w:val="00E73FCF"/>
    <w:rsid w:val="00E77C50"/>
    <w:rsid w:val="00E80565"/>
    <w:rsid w:val="00E8116A"/>
    <w:rsid w:val="00E907CA"/>
    <w:rsid w:val="00E9386A"/>
    <w:rsid w:val="00E94E61"/>
    <w:rsid w:val="00EC34ED"/>
    <w:rsid w:val="00EE2433"/>
    <w:rsid w:val="00EF2D5D"/>
    <w:rsid w:val="00EF3CEB"/>
    <w:rsid w:val="00F0033B"/>
    <w:rsid w:val="00F055D7"/>
    <w:rsid w:val="00F23A0B"/>
    <w:rsid w:val="00F330C1"/>
    <w:rsid w:val="00F3486A"/>
    <w:rsid w:val="00F40931"/>
    <w:rsid w:val="00F4212E"/>
    <w:rsid w:val="00F45E48"/>
    <w:rsid w:val="00F760C4"/>
    <w:rsid w:val="00F84D56"/>
    <w:rsid w:val="00F922C9"/>
    <w:rsid w:val="00FA0868"/>
    <w:rsid w:val="00FB4847"/>
    <w:rsid w:val="00FC26AD"/>
    <w:rsid w:val="00FC4488"/>
    <w:rsid w:val="00FC53E1"/>
    <w:rsid w:val="00FD2A28"/>
    <w:rsid w:val="00FD7921"/>
    <w:rsid w:val="00FD7D3B"/>
    <w:rsid w:val="00FE513D"/>
    <w:rsid w:val="00FE7BF2"/>
    <w:rsid w:val="00FF0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BB0BC0"/>
    <w:rPr>
      <w:sz w:val="21"/>
      <w:szCs w:val="21"/>
    </w:rPr>
  </w:style>
  <w:style w:type="paragraph" w:styleId="aa">
    <w:name w:val="annotation text"/>
    <w:basedOn w:val="a"/>
    <w:link w:val="Char4"/>
    <w:uiPriority w:val="99"/>
    <w:semiHidden/>
    <w:unhideWhenUsed/>
    <w:rsid w:val="00BB0BC0"/>
    <w:pPr>
      <w:jc w:val="left"/>
    </w:pPr>
  </w:style>
  <w:style w:type="character" w:customStyle="1" w:styleId="Char4">
    <w:name w:val="批注文字 Char"/>
    <w:basedOn w:val="a0"/>
    <w:link w:val="aa"/>
    <w:uiPriority w:val="99"/>
    <w:semiHidden/>
    <w:rsid w:val="00BB0BC0"/>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BB0BC0"/>
    <w:rPr>
      <w:b/>
      <w:bCs/>
    </w:rPr>
  </w:style>
  <w:style w:type="character" w:customStyle="1" w:styleId="Char5">
    <w:name w:val="批注主题 Char"/>
    <w:basedOn w:val="Char4"/>
    <w:link w:val="ab"/>
    <w:uiPriority w:val="99"/>
    <w:semiHidden/>
    <w:rsid w:val="00BB0BC0"/>
    <w:rPr>
      <w:rFonts w:ascii="Times New Roman" w:eastAsia="方正仿宋简体" w:hAnsi="Times New Roman" w:cs="Times New Roman"/>
      <w:b/>
      <w:bCs/>
      <w:sz w:val="32"/>
      <w:szCs w:val="20"/>
    </w:rPr>
  </w:style>
  <w:style w:type="paragraph" w:styleId="ac">
    <w:name w:val="Revision"/>
    <w:hidden/>
    <w:uiPriority w:val="99"/>
    <w:semiHidden/>
    <w:rsid w:val="008C2F2A"/>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27681560">
      <w:bodyDiv w:val="1"/>
      <w:marLeft w:val="0"/>
      <w:marRight w:val="0"/>
      <w:marTop w:val="0"/>
      <w:marBottom w:val="0"/>
      <w:divBdr>
        <w:top w:val="none" w:sz="0" w:space="0" w:color="auto"/>
        <w:left w:val="none" w:sz="0" w:space="0" w:color="auto"/>
        <w:bottom w:val="none" w:sz="0" w:space="0" w:color="auto"/>
        <w:right w:val="none" w:sz="0" w:space="0" w:color="auto"/>
      </w:divBdr>
      <w:divsChild>
        <w:div w:id="779841460">
          <w:marLeft w:val="0"/>
          <w:marRight w:val="0"/>
          <w:marTop w:val="0"/>
          <w:marBottom w:val="0"/>
          <w:divBdr>
            <w:top w:val="none" w:sz="0" w:space="0" w:color="auto"/>
            <w:left w:val="none" w:sz="0" w:space="0" w:color="auto"/>
            <w:bottom w:val="none" w:sz="0" w:space="0" w:color="auto"/>
            <w:right w:val="none" w:sz="0" w:space="0" w:color="auto"/>
          </w:divBdr>
        </w:div>
      </w:divsChild>
    </w:div>
    <w:div w:id="45758877">
      <w:bodyDiv w:val="1"/>
      <w:marLeft w:val="0"/>
      <w:marRight w:val="0"/>
      <w:marTop w:val="0"/>
      <w:marBottom w:val="0"/>
      <w:divBdr>
        <w:top w:val="none" w:sz="0" w:space="0" w:color="auto"/>
        <w:left w:val="none" w:sz="0" w:space="0" w:color="auto"/>
        <w:bottom w:val="none" w:sz="0" w:space="0" w:color="auto"/>
        <w:right w:val="none" w:sz="0" w:space="0" w:color="auto"/>
      </w:divBdr>
    </w:div>
    <w:div w:id="52895400">
      <w:bodyDiv w:val="1"/>
      <w:marLeft w:val="0"/>
      <w:marRight w:val="0"/>
      <w:marTop w:val="0"/>
      <w:marBottom w:val="0"/>
      <w:divBdr>
        <w:top w:val="none" w:sz="0" w:space="0" w:color="auto"/>
        <w:left w:val="none" w:sz="0" w:space="0" w:color="auto"/>
        <w:bottom w:val="none" w:sz="0" w:space="0" w:color="auto"/>
        <w:right w:val="none" w:sz="0" w:space="0" w:color="auto"/>
      </w:divBdr>
    </w:div>
    <w:div w:id="108163066">
      <w:bodyDiv w:val="1"/>
      <w:marLeft w:val="0"/>
      <w:marRight w:val="0"/>
      <w:marTop w:val="0"/>
      <w:marBottom w:val="0"/>
      <w:divBdr>
        <w:top w:val="none" w:sz="0" w:space="0" w:color="auto"/>
        <w:left w:val="none" w:sz="0" w:space="0" w:color="auto"/>
        <w:bottom w:val="none" w:sz="0" w:space="0" w:color="auto"/>
        <w:right w:val="none" w:sz="0" w:space="0" w:color="auto"/>
      </w:divBdr>
    </w:div>
    <w:div w:id="126317842">
      <w:bodyDiv w:val="1"/>
      <w:marLeft w:val="0"/>
      <w:marRight w:val="0"/>
      <w:marTop w:val="0"/>
      <w:marBottom w:val="0"/>
      <w:divBdr>
        <w:top w:val="none" w:sz="0" w:space="0" w:color="auto"/>
        <w:left w:val="none" w:sz="0" w:space="0" w:color="auto"/>
        <w:bottom w:val="none" w:sz="0" w:space="0" w:color="auto"/>
        <w:right w:val="none" w:sz="0" w:space="0" w:color="auto"/>
      </w:divBdr>
    </w:div>
    <w:div w:id="151222194">
      <w:bodyDiv w:val="1"/>
      <w:marLeft w:val="0"/>
      <w:marRight w:val="0"/>
      <w:marTop w:val="0"/>
      <w:marBottom w:val="0"/>
      <w:divBdr>
        <w:top w:val="none" w:sz="0" w:space="0" w:color="auto"/>
        <w:left w:val="none" w:sz="0" w:space="0" w:color="auto"/>
        <w:bottom w:val="none" w:sz="0" w:space="0" w:color="auto"/>
        <w:right w:val="none" w:sz="0" w:space="0" w:color="auto"/>
      </w:divBdr>
      <w:divsChild>
        <w:div w:id="2024815360">
          <w:marLeft w:val="0"/>
          <w:marRight w:val="0"/>
          <w:marTop w:val="0"/>
          <w:marBottom w:val="0"/>
          <w:divBdr>
            <w:top w:val="none" w:sz="0" w:space="0" w:color="auto"/>
            <w:left w:val="none" w:sz="0" w:space="0" w:color="auto"/>
            <w:bottom w:val="none" w:sz="0" w:space="0" w:color="auto"/>
            <w:right w:val="none" w:sz="0" w:space="0" w:color="auto"/>
          </w:divBdr>
        </w:div>
      </w:divsChild>
    </w:div>
    <w:div w:id="169292548">
      <w:bodyDiv w:val="1"/>
      <w:marLeft w:val="0"/>
      <w:marRight w:val="0"/>
      <w:marTop w:val="0"/>
      <w:marBottom w:val="0"/>
      <w:divBdr>
        <w:top w:val="none" w:sz="0" w:space="0" w:color="auto"/>
        <w:left w:val="none" w:sz="0" w:space="0" w:color="auto"/>
        <w:bottom w:val="none" w:sz="0" w:space="0" w:color="auto"/>
        <w:right w:val="none" w:sz="0" w:space="0" w:color="auto"/>
      </w:divBdr>
    </w:div>
    <w:div w:id="197667326">
      <w:bodyDiv w:val="1"/>
      <w:marLeft w:val="0"/>
      <w:marRight w:val="0"/>
      <w:marTop w:val="0"/>
      <w:marBottom w:val="0"/>
      <w:divBdr>
        <w:top w:val="none" w:sz="0" w:space="0" w:color="auto"/>
        <w:left w:val="none" w:sz="0" w:space="0" w:color="auto"/>
        <w:bottom w:val="none" w:sz="0" w:space="0" w:color="auto"/>
        <w:right w:val="none" w:sz="0" w:space="0" w:color="auto"/>
      </w:divBdr>
    </w:div>
    <w:div w:id="250043340">
      <w:bodyDiv w:val="1"/>
      <w:marLeft w:val="0"/>
      <w:marRight w:val="0"/>
      <w:marTop w:val="0"/>
      <w:marBottom w:val="0"/>
      <w:divBdr>
        <w:top w:val="none" w:sz="0" w:space="0" w:color="auto"/>
        <w:left w:val="none" w:sz="0" w:space="0" w:color="auto"/>
        <w:bottom w:val="none" w:sz="0" w:space="0" w:color="auto"/>
        <w:right w:val="none" w:sz="0" w:space="0" w:color="auto"/>
      </w:divBdr>
    </w:div>
    <w:div w:id="352463961">
      <w:bodyDiv w:val="1"/>
      <w:marLeft w:val="0"/>
      <w:marRight w:val="0"/>
      <w:marTop w:val="0"/>
      <w:marBottom w:val="0"/>
      <w:divBdr>
        <w:top w:val="none" w:sz="0" w:space="0" w:color="auto"/>
        <w:left w:val="none" w:sz="0" w:space="0" w:color="auto"/>
        <w:bottom w:val="none" w:sz="0" w:space="0" w:color="auto"/>
        <w:right w:val="none" w:sz="0" w:space="0" w:color="auto"/>
      </w:divBdr>
    </w:div>
    <w:div w:id="365064676">
      <w:bodyDiv w:val="1"/>
      <w:marLeft w:val="0"/>
      <w:marRight w:val="0"/>
      <w:marTop w:val="0"/>
      <w:marBottom w:val="0"/>
      <w:divBdr>
        <w:top w:val="none" w:sz="0" w:space="0" w:color="auto"/>
        <w:left w:val="none" w:sz="0" w:space="0" w:color="auto"/>
        <w:bottom w:val="none" w:sz="0" w:space="0" w:color="auto"/>
        <w:right w:val="none" w:sz="0" w:space="0" w:color="auto"/>
      </w:divBdr>
    </w:div>
    <w:div w:id="394204480">
      <w:bodyDiv w:val="1"/>
      <w:marLeft w:val="0"/>
      <w:marRight w:val="0"/>
      <w:marTop w:val="0"/>
      <w:marBottom w:val="0"/>
      <w:divBdr>
        <w:top w:val="none" w:sz="0" w:space="0" w:color="auto"/>
        <w:left w:val="none" w:sz="0" w:space="0" w:color="auto"/>
        <w:bottom w:val="none" w:sz="0" w:space="0" w:color="auto"/>
        <w:right w:val="none" w:sz="0" w:space="0" w:color="auto"/>
      </w:divBdr>
    </w:div>
    <w:div w:id="476729567">
      <w:bodyDiv w:val="1"/>
      <w:marLeft w:val="0"/>
      <w:marRight w:val="0"/>
      <w:marTop w:val="0"/>
      <w:marBottom w:val="0"/>
      <w:divBdr>
        <w:top w:val="none" w:sz="0" w:space="0" w:color="auto"/>
        <w:left w:val="none" w:sz="0" w:space="0" w:color="auto"/>
        <w:bottom w:val="none" w:sz="0" w:space="0" w:color="auto"/>
        <w:right w:val="none" w:sz="0" w:space="0" w:color="auto"/>
      </w:divBdr>
      <w:divsChild>
        <w:div w:id="1549411683">
          <w:marLeft w:val="0"/>
          <w:marRight w:val="0"/>
          <w:marTop w:val="0"/>
          <w:marBottom w:val="0"/>
          <w:divBdr>
            <w:top w:val="none" w:sz="0" w:space="0" w:color="auto"/>
            <w:left w:val="none" w:sz="0" w:space="0" w:color="auto"/>
            <w:bottom w:val="none" w:sz="0" w:space="0" w:color="auto"/>
            <w:right w:val="none" w:sz="0" w:space="0" w:color="auto"/>
          </w:divBdr>
        </w:div>
      </w:divsChild>
    </w:div>
    <w:div w:id="515002014">
      <w:bodyDiv w:val="1"/>
      <w:marLeft w:val="0"/>
      <w:marRight w:val="0"/>
      <w:marTop w:val="0"/>
      <w:marBottom w:val="0"/>
      <w:divBdr>
        <w:top w:val="none" w:sz="0" w:space="0" w:color="auto"/>
        <w:left w:val="none" w:sz="0" w:space="0" w:color="auto"/>
        <w:bottom w:val="none" w:sz="0" w:space="0" w:color="auto"/>
        <w:right w:val="none" w:sz="0" w:space="0" w:color="auto"/>
      </w:divBdr>
    </w:div>
    <w:div w:id="548346418">
      <w:bodyDiv w:val="1"/>
      <w:marLeft w:val="0"/>
      <w:marRight w:val="0"/>
      <w:marTop w:val="0"/>
      <w:marBottom w:val="0"/>
      <w:divBdr>
        <w:top w:val="none" w:sz="0" w:space="0" w:color="auto"/>
        <w:left w:val="none" w:sz="0" w:space="0" w:color="auto"/>
        <w:bottom w:val="none" w:sz="0" w:space="0" w:color="auto"/>
        <w:right w:val="none" w:sz="0" w:space="0" w:color="auto"/>
      </w:divBdr>
    </w:div>
    <w:div w:id="627662274">
      <w:bodyDiv w:val="1"/>
      <w:marLeft w:val="0"/>
      <w:marRight w:val="0"/>
      <w:marTop w:val="0"/>
      <w:marBottom w:val="0"/>
      <w:divBdr>
        <w:top w:val="none" w:sz="0" w:space="0" w:color="auto"/>
        <w:left w:val="none" w:sz="0" w:space="0" w:color="auto"/>
        <w:bottom w:val="none" w:sz="0" w:space="0" w:color="auto"/>
        <w:right w:val="none" w:sz="0" w:space="0" w:color="auto"/>
      </w:divBdr>
    </w:div>
    <w:div w:id="640118770">
      <w:bodyDiv w:val="1"/>
      <w:marLeft w:val="0"/>
      <w:marRight w:val="0"/>
      <w:marTop w:val="0"/>
      <w:marBottom w:val="0"/>
      <w:divBdr>
        <w:top w:val="none" w:sz="0" w:space="0" w:color="auto"/>
        <w:left w:val="none" w:sz="0" w:space="0" w:color="auto"/>
        <w:bottom w:val="none" w:sz="0" w:space="0" w:color="auto"/>
        <w:right w:val="none" w:sz="0" w:space="0" w:color="auto"/>
      </w:divBdr>
    </w:div>
    <w:div w:id="701903373">
      <w:bodyDiv w:val="1"/>
      <w:marLeft w:val="0"/>
      <w:marRight w:val="0"/>
      <w:marTop w:val="0"/>
      <w:marBottom w:val="0"/>
      <w:divBdr>
        <w:top w:val="none" w:sz="0" w:space="0" w:color="auto"/>
        <w:left w:val="none" w:sz="0" w:space="0" w:color="auto"/>
        <w:bottom w:val="none" w:sz="0" w:space="0" w:color="auto"/>
        <w:right w:val="none" w:sz="0" w:space="0" w:color="auto"/>
      </w:divBdr>
    </w:div>
    <w:div w:id="762531730">
      <w:bodyDiv w:val="1"/>
      <w:marLeft w:val="0"/>
      <w:marRight w:val="0"/>
      <w:marTop w:val="0"/>
      <w:marBottom w:val="0"/>
      <w:divBdr>
        <w:top w:val="none" w:sz="0" w:space="0" w:color="auto"/>
        <w:left w:val="none" w:sz="0" w:space="0" w:color="auto"/>
        <w:bottom w:val="none" w:sz="0" w:space="0" w:color="auto"/>
        <w:right w:val="none" w:sz="0" w:space="0" w:color="auto"/>
      </w:divBdr>
      <w:divsChild>
        <w:div w:id="1473599327">
          <w:marLeft w:val="0"/>
          <w:marRight w:val="0"/>
          <w:marTop w:val="0"/>
          <w:marBottom w:val="0"/>
          <w:divBdr>
            <w:top w:val="none" w:sz="0" w:space="0" w:color="auto"/>
            <w:left w:val="none" w:sz="0" w:space="0" w:color="auto"/>
            <w:bottom w:val="none" w:sz="0" w:space="0" w:color="auto"/>
            <w:right w:val="none" w:sz="0" w:space="0" w:color="auto"/>
          </w:divBdr>
        </w:div>
      </w:divsChild>
    </w:div>
    <w:div w:id="810253263">
      <w:bodyDiv w:val="1"/>
      <w:marLeft w:val="0"/>
      <w:marRight w:val="0"/>
      <w:marTop w:val="0"/>
      <w:marBottom w:val="0"/>
      <w:divBdr>
        <w:top w:val="none" w:sz="0" w:space="0" w:color="auto"/>
        <w:left w:val="none" w:sz="0" w:space="0" w:color="auto"/>
        <w:bottom w:val="none" w:sz="0" w:space="0" w:color="auto"/>
        <w:right w:val="none" w:sz="0" w:space="0" w:color="auto"/>
      </w:divBdr>
    </w:div>
    <w:div w:id="813177390">
      <w:bodyDiv w:val="1"/>
      <w:marLeft w:val="0"/>
      <w:marRight w:val="0"/>
      <w:marTop w:val="0"/>
      <w:marBottom w:val="0"/>
      <w:divBdr>
        <w:top w:val="none" w:sz="0" w:space="0" w:color="auto"/>
        <w:left w:val="none" w:sz="0" w:space="0" w:color="auto"/>
        <w:bottom w:val="none" w:sz="0" w:space="0" w:color="auto"/>
        <w:right w:val="none" w:sz="0" w:space="0" w:color="auto"/>
      </w:divBdr>
    </w:div>
    <w:div w:id="869415387">
      <w:bodyDiv w:val="1"/>
      <w:marLeft w:val="0"/>
      <w:marRight w:val="0"/>
      <w:marTop w:val="0"/>
      <w:marBottom w:val="0"/>
      <w:divBdr>
        <w:top w:val="none" w:sz="0" w:space="0" w:color="auto"/>
        <w:left w:val="none" w:sz="0" w:space="0" w:color="auto"/>
        <w:bottom w:val="none" w:sz="0" w:space="0" w:color="auto"/>
        <w:right w:val="none" w:sz="0" w:space="0" w:color="auto"/>
      </w:divBdr>
    </w:div>
    <w:div w:id="890189869">
      <w:bodyDiv w:val="1"/>
      <w:marLeft w:val="0"/>
      <w:marRight w:val="0"/>
      <w:marTop w:val="0"/>
      <w:marBottom w:val="0"/>
      <w:divBdr>
        <w:top w:val="none" w:sz="0" w:space="0" w:color="auto"/>
        <w:left w:val="none" w:sz="0" w:space="0" w:color="auto"/>
        <w:bottom w:val="none" w:sz="0" w:space="0" w:color="auto"/>
        <w:right w:val="none" w:sz="0" w:space="0" w:color="auto"/>
      </w:divBdr>
    </w:div>
    <w:div w:id="954991098">
      <w:bodyDiv w:val="1"/>
      <w:marLeft w:val="0"/>
      <w:marRight w:val="0"/>
      <w:marTop w:val="0"/>
      <w:marBottom w:val="0"/>
      <w:divBdr>
        <w:top w:val="none" w:sz="0" w:space="0" w:color="auto"/>
        <w:left w:val="none" w:sz="0" w:space="0" w:color="auto"/>
        <w:bottom w:val="none" w:sz="0" w:space="0" w:color="auto"/>
        <w:right w:val="none" w:sz="0" w:space="0" w:color="auto"/>
      </w:divBdr>
    </w:div>
    <w:div w:id="956330204">
      <w:bodyDiv w:val="1"/>
      <w:marLeft w:val="0"/>
      <w:marRight w:val="0"/>
      <w:marTop w:val="0"/>
      <w:marBottom w:val="0"/>
      <w:divBdr>
        <w:top w:val="none" w:sz="0" w:space="0" w:color="auto"/>
        <w:left w:val="none" w:sz="0" w:space="0" w:color="auto"/>
        <w:bottom w:val="none" w:sz="0" w:space="0" w:color="auto"/>
        <w:right w:val="none" w:sz="0" w:space="0" w:color="auto"/>
      </w:divBdr>
    </w:div>
    <w:div w:id="962199587">
      <w:bodyDiv w:val="1"/>
      <w:marLeft w:val="0"/>
      <w:marRight w:val="0"/>
      <w:marTop w:val="0"/>
      <w:marBottom w:val="0"/>
      <w:divBdr>
        <w:top w:val="none" w:sz="0" w:space="0" w:color="auto"/>
        <w:left w:val="none" w:sz="0" w:space="0" w:color="auto"/>
        <w:bottom w:val="none" w:sz="0" w:space="0" w:color="auto"/>
        <w:right w:val="none" w:sz="0" w:space="0" w:color="auto"/>
      </w:divBdr>
    </w:div>
    <w:div w:id="993988438">
      <w:bodyDiv w:val="1"/>
      <w:marLeft w:val="0"/>
      <w:marRight w:val="0"/>
      <w:marTop w:val="0"/>
      <w:marBottom w:val="0"/>
      <w:divBdr>
        <w:top w:val="none" w:sz="0" w:space="0" w:color="auto"/>
        <w:left w:val="none" w:sz="0" w:space="0" w:color="auto"/>
        <w:bottom w:val="none" w:sz="0" w:space="0" w:color="auto"/>
        <w:right w:val="none" w:sz="0" w:space="0" w:color="auto"/>
      </w:divBdr>
    </w:div>
    <w:div w:id="1004429482">
      <w:bodyDiv w:val="1"/>
      <w:marLeft w:val="0"/>
      <w:marRight w:val="0"/>
      <w:marTop w:val="0"/>
      <w:marBottom w:val="0"/>
      <w:divBdr>
        <w:top w:val="none" w:sz="0" w:space="0" w:color="auto"/>
        <w:left w:val="none" w:sz="0" w:space="0" w:color="auto"/>
        <w:bottom w:val="none" w:sz="0" w:space="0" w:color="auto"/>
        <w:right w:val="none" w:sz="0" w:space="0" w:color="auto"/>
      </w:divBdr>
    </w:div>
    <w:div w:id="1024399022">
      <w:bodyDiv w:val="1"/>
      <w:marLeft w:val="0"/>
      <w:marRight w:val="0"/>
      <w:marTop w:val="0"/>
      <w:marBottom w:val="0"/>
      <w:divBdr>
        <w:top w:val="none" w:sz="0" w:space="0" w:color="auto"/>
        <w:left w:val="none" w:sz="0" w:space="0" w:color="auto"/>
        <w:bottom w:val="none" w:sz="0" w:space="0" w:color="auto"/>
        <w:right w:val="none" w:sz="0" w:space="0" w:color="auto"/>
      </w:divBdr>
      <w:divsChild>
        <w:div w:id="194392646">
          <w:marLeft w:val="0"/>
          <w:marRight w:val="0"/>
          <w:marTop w:val="0"/>
          <w:marBottom w:val="0"/>
          <w:divBdr>
            <w:top w:val="none" w:sz="0" w:space="0" w:color="auto"/>
            <w:left w:val="none" w:sz="0" w:space="0" w:color="auto"/>
            <w:bottom w:val="none" w:sz="0" w:space="0" w:color="auto"/>
            <w:right w:val="none" w:sz="0" w:space="0" w:color="auto"/>
          </w:divBdr>
        </w:div>
      </w:divsChild>
    </w:div>
    <w:div w:id="1059479147">
      <w:bodyDiv w:val="1"/>
      <w:marLeft w:val="0"/>
      <w:marRight w:val="0"/>
      <w:marTop w:val="0"/>
      <w:marBottom w:val="0"/>
      <w:divBdr>
        <w:top w:val="none" w:sz="0" w:space="0" w:color="auto"/>
        <w:left w:val="none" w:sz="0" w:space="0" w:color="auto"/>
        <w:bottom w:val="none" w:sz="0" w:space="0" w:color="auto"/>
        <w:right w:val="none" w:sz="0" w:space="0" w:color="auto"/>
      </w:divBdr>
    </w:div>
    <w:div w:id="1109738985">
      <w:bodyDiv w:val="1"/>
      <w:marLeft w:val="0"/>
      <w:marRight w:val="0"/>
      <w:marTop w:val="0"/>
      <w:marBottom w:val="0"/>
      <w:divBdr>
        <w:top w:val="none" w:sz="0" w:space="0" w:color="auto"/>
        <w:left w:val="none" w:sz="0" w:space="0" w:color="auto"/>
        <w:bottom w:val="none" w:sz="0" w:space="0" w:color="auto"/>
        <w:right w:val="none" w:sz="0" w:space="0" w:color="auto"/>
      </w:divBdr>
    </w:div>
    <w:div w:id="1121342043">
      <w:bodyDiv w:val="1"/>
      <w:marLeft w:val="0"/>
      <w:marRight w:val="0"/>
      <w:marTop w:val="0"/>
      <w:marBottom w:val="0"/>
      <w:divBdr>
        <w:top w:val="none" w:sz="0" w:space="0" w:color="auto"/>
        <w:left w:val="none" w:sz="0" w:space="0" w:color="auto"/>
        <w:bottom w:val="none" w:sz="0" w:space="0" w:color="auto"/>
        <w:right w:val="none" w:sz="0" w:space="0" w:color="auto"/>
      </w:divBdr>
      <w:divsChild>
        <w:div w:id="1811091871">
          <w:marLeft w:val="0"/>
          <w:marRight w:val="0"/>
          <w:marTop w:val="0"/>
          <w:marBottom w:val="0"/>
          <w:divBdr>
            <w:top w:val="none" w:sz="0" w:space="0" w:color="auto"/>
            <w:left w:val="none" w:sz="0" w:space="0" w:color="auto"/>
            <w:bottom w:val="none" w:sz="0" w:space="0" w:color="auto"/>
            <w:right w:val="none" w:sz="0" w:space="0" w:color="auto"/>
          </w:divBdr>
        </w:div>
      </w:divsChild>
    </w:div>
    <w:div w:id="1304891320">
      <w:bodyDiv w:val="1"/>
      <w:marLeft w:val="0"/>
      <w:marRight w:val="0"/>
      <w:marTop w:val="0"/>
      <w:marBottom w:val="0"/>
      <w:divBdr>
        <w:top w:val="none" w:sz="0" w:space="0" w:color="auto"/>
        <w:left w:val="none" w:sz="0" w:space="0" w:color="auto"/>
        <w:bottom w:val="none" w:sz="0" w:space="0" w:color="auto"/>
        <w:right w:val="none" w:sz="0" w:space="0" w:color="auto"/>
      </w:divBdr>
    </w:div>
    <w:div w:id="1316184054">
      <w:bodyDiv w:val="1"/>
      <w:marLeft w:val="0"/>
      <w:marRight w:val="0"/>
      <w:marTop w:val="0"/>
      <w:marBottom w:val="0"/>
      <w:divBdr>
        <w:top w:val="none" w:sz="0" w:space="0" w:color="auto"/>
        <w:left w:val="none" w:sz="0" w:space="0" w:color="auto"/>
        <w:bottom w:val="none" w:sz="0" w:space="0" w:color="auto"/>
        <w:right w:val="none" w:sz="0" w:space="0" w:color="auto"/>
      </w:divBdr>
    </w:div>
    <w:div w:id="1340741098">
      <w:bodyDiv w:val="1"/>
      <w:marLeft w:val="0"/>
      <w:marRight w:val="0"/>
      <w:marTop w:val="0"/>
      <w:marBottom w:val="0"/>
      <w:divBdr>
        <w:top w:val="none" w:sz="0" w:space="0" w:color="auto"/>
        <w:left w:val="none" w:sz="0" w:space="0" w:color="auto"/>
        <w:bottom w:val="none" w:sz="0" w:space="0" w:color="auto"/>
        <w:right w:val="none" w:sz="0" w:space="0" w:color="auto"/>
      </w:divBdr>
    </w:div>
    <w:div w:id="1343315205">
      <w:bodyDiv w:val="1"/>
      <w:marLeft w:val="0"/>
      <w:marRight w:val="0"/>
      <w:marTop w:val="0"/>
      <w:marBottom w:val="0"/>
      <w:divBdr>
        <w:top w:val="none" w:sz="0" w:space="0" w:color="auto"/>
        <w:left w:val="none" w:sz="0" w:space="0" w:color="auto"/>
        <w:bottom w:val="none" w:sz="0" w:space="0" w:color="auto"/>
        <w:right w:val="none" w:sz="0" w:space="0" w:color="auto"/>
      </w:divBdr>
    </w:div>
    <w:div w:id="1347635994">
      <w:bodyDiv w:val="1"/>
      <w:marLeft w:val="0"/>
      <w:marRight w:val="0"/>
      <w:marTop w:val="0"/>
      <w:marBottom w:val="0"/>
      <w:divBdr>
        <w:top w:val="none" w:sz="0" w:space="0" w:color="auto"/>
        <w:left w:val="none" w:sz="0" w:space="0" w:color="auto"/>
        <w:bottom w:val="none" w:sz="0" w:space="0" w:color="auto"/>
        <w:right w:val="none" w:sz="0" w:space="0" w:color="auto"/>
      </w:divBdr>
    </w:div>
    <w:div w:id="1385829857">
      <w:bodyDiv w:val="1"/>
      <w:marLeft w:val="0"/>
      <w:marRight w:val="0"/>
      <w:marTop w:val="0"/>
      <w:marBottom w:val="0"/>
      <w:divBdr>
        <w:top w:val="none" w:sz="0" w:space="0" w:color="auto"/>
        <w:left w:val="none" w:sz="0" w:space="0" w:color="auto"/>
        <w:bottom w:val="none" w:sz="0" w:space="0" w:color="auto"/>
        <w:right w:val="none" w:sz="0" w:space="0" w:color="auto"/>
      </w:divBdr>
      <w:divsChild>
        <w:div w:id="1007174155">
          <w:marLeft w:val="0"/>
          <w:marRight w:val="0"/>
          <w:marTop w:val="0"/>
          <w:marBottom w:val="0"/>
          <w:divBdr>
            <w:top w:val="none" w:sz="0" w:space="0" w:color="auto"/>
            <w:left w:val="none" w:sz="0" w:space="0" w:color="auto"/>
            <w:bottom w:val="none" w:sz="0" w:space="0" w:color="auto"/>
            <w:right w:val="none" w:sz="0" w:space="0" w:color="auto"/>
          </w:divBdr>
        </w:div>
      </w:divsChild>
    </w:div>
    <w:div w:id="1475677655">
      <w:bodyDiv w:val="1"/>
      <w:marLeft w:val="0"/>
      <w:marRight w:val="0"/>
      <w:marTop w:val="0"/>
      <w:marBottom w:val="0"/>
      <w:divBdr>
        <w:top w:val="none" w:sz="0" w:space="0" w:color="auto"/>
        <w:left w:val="none" w:sz="0" w:space="0" w:color="auto"/>
        <w:bottom w:val="none" w:sz="0" w:space="0" w:color="auto"/>
        <w:right w:val="none" w:sz="0" w:space="0" w:color="auto"/>
      </w:divBdr>
    </w:div>
    <w:div w:id="1510102067">
      <w:bodyDiv w:val="1"/>
      <w:marLeft w:val="0"/>
      <w:marRight w:val="0"/>
      <w:marTop w:val="0"/>
      <w:marBottom w:val="0"/>
      <w:divBdr>
        <w:top w:val="none" w:sz="0" w:space="0" w:color="auto"/>
        <w:left w:val="none" w:sz="0" w:space="0" w:color="auto"/>
        <w:bottom w:val="none" w:sz="0" w:space="0" w:color="auto"/>
        <w:right w:val="none" w:sz="0" w:space="0" w:color="auto"/>
      </w:divBdr>
    </w:div>
    <w:div w:id="1520463507">
      <w:bodyDiv w:val="1"/>
      <w:marLeft w:val="0"/>
      <w:marRight w:val="0"/>
      <w:marTop w:val="0"/>
      <w:marBottom w:val="0"/>
      <w:divBdr>
        <w:top w:val="none" w:sz="0" w:space="0" w:color="auto"/>
        <w:left w:val="none" w:sz="0" w:space="0" w:color="auto"/>
        <w:bottom w:val="none" w:sz="0" w:space="0" w:color="auto"/>
        <w:right w:val="none" w:sz="0" w:space="0" w:color="auto"/>
      </w:divBdr>
    </w:div>
    <w:div w:id="1535771652">
      <w:bodyDiv w:val="1"/>
      <w:marLeft w:val="0"/>
      <w:marRight w:val="0"/>
      <w:marTop w:val="0"/>
      <w:marBottom w:val="0"/>
      <w:divBdr>
        <w:top w:val="none" w:sz="0" w:space="0" w:color="auto"/>
        <w:left w:val="none" w:sz="0" w:space="0" w:color="auto"/>
        <w:bottom w:val="none" w:sz="0" w:space="0" w:color="auto"/>
        <w:right w:val="none" w:sz="0" w:space="0" w:color="auto"/>
      </w:divBdr>
    </w:div>
    <w:div w:id="1556816656">
      <w:bodyDiv w:val="1"/>
      <w:marLeft w:val="0"/>
      <w:marRight w:val="0"/>
      <w:marTop w:val="0"/>
      <w:marBottom w:val="0"/>
      <w:divBdr>
        <w:top w:val="none" w:sz="0" w:space="0" w:color="auto"/>
        <w:left w:val="none" w:sz="0" w:space="0" w:color="auto"/>
        <w:bottom w:val="none" w:sz="0" w:space="0" w:color="auto"/>
        <w:right w:val="none" w:sz="0" w:space="0" w:color="auto"/>
      </w:divBdr>
      <w:divsChild>
        <w:div w:id="721560983">
          <w:marLeft w:val="0"/>
          <w:marRight w:val="0"/>
          <w:marTop w:val="0"/>
          <w:marBottom w:val="0"/>
          <w:divBdr>
            <w:top w:val="none" w:sz="0" w:space="0" w:color="auto"/>
            <w:left w:val="none" w:sz="0" w:space="0" w:color="auto"/>
            <w:bottom w:val="none" w:sz="0" w:space="0" w:color="auto"/>
            <w:right w:val="none" w:sz="0" w:space="0" w:color="auto"/>
          </w:divBdr>
        </w:div>
      </w:divsChild>
    </w:div>
    <w:div w:id="1739480034">
      <w:bodyDiv w:val="1"/>
      <w:marLeft w:val="0"/>
      <w:marRight w:val="0"/>
      <w:marTop w:val="0"/>
      <w:marBottom w:val="0"/>
      <w:divBdr>
        <w:top w:val="none" w:sz="0" w:space="0" w:color="auto"/>
        <w:left w:val="none" w:sz="0" w:space="0" w:color="auto"/>
        <w:bottom w:val="none" w:sz="0" w:space="0" w:color="auto"/>
        <w:right w:val="none" w:sz="0" w:space="0" w:color="auto"/>
      </w:divBdr>
    </w:div>
    <w:div w:id="1759710764">
      <w:bodyDiv w:val="1"/>
      <w:marLeft w:val="0"/>
      <w:marRight w:val="0"/>
      <w:marTop w:val="0"/>
      <w:marBottom w:val="0"/>
      <w:divBdr>
        <w:top w:val="none" w:sz="0" w:space="0" w:color="auto"/>
        <w:left w:val="none" w:sz="0" w:space="0" w:color="auto"/>
        <w:bottom w:val="none" w:sz="0" w:space="0" w:color="auto"/>
        <w:right w:val="none" w:sz="0" w:space="0" w:color="auto"/>
      </w:divBdr>
    </w:div>
    <w:div w:id="1821801229">
      <w:bodyDiv w:val="1"/>
      <w:marLeft w:val="0"/>
      <w:marRight w:val="0"/>
      <w:marTop w:val="0"/>
      <w:marBottom w:val="0"/>
      <w:divBdr>
        <w:top w:val="none" w:sz="0" w:space="0" w:color="auto"/>
        <w:left w:val="none" w:sz="0" w:space="0" w:color="auto"/>
        <w:bottom w:val="none" w:sz="0" w:space="0" w:color="auto"/>
        <w:right w:val="none" w:sz="0" w:space="0" w:color="auto"/>
      </w:divBdr>
    </w:div>
    <w:div w:id="1826315381">
      <w:bodyDiv w:val="1"/>
      <w:marLeft w:val="0"/>
      <w:marRight w:val="0"/>
      <w:marTop w:val="0"/>
      <w:marBottom w:val="0"/>
      <w:divBdr>
        <w:top w:val="none" w:sz="0" w:space="0" w:color="auto"/>
        <w:left w:val="none" w:sz="0" w:space="0" w:color="auto"/>
        <w:bottom w:val="none" w:sz="0" w:space="0" w:color="auto"/>
        <w:right w:val="none" w:sz="0" w:space="0" w:color="auto"/>
      </w:divBdr>
    </w:div>
    <w:div w:id="1871604110">
      <w:bodyDiv w:val="1"/>
      <w:marLeft w:val="0"/>
      <w:marRight w:val="0"/>
      <w:marTop w:val="0"/>
      <w:marBottom w:val="0"/>
      <w:divBdr>
        <w:top w:val="none" w:sz="0" w:space="0" w:color="auto"/>
        <w:left w:val="none" w:sz="0" w:space="0" w:color="auto"/>
        <w:bottom w:val="none" w:sz="0" w:space="0" w:color="auto"/>
        <w:right w:val="none" w:sz="0" w:space="0" w:color="auto"/>
      </w:divBdr>
    </w:div>
    <w:div w:id="1884100431">
      <w:bodyDiv w:val="1"/>
      <w:marLeft w:val="0"/>
      <w:marRight w:val="0"/>
      <w:marTop w:val="0"/>
      <w:marBottom w:val="0"/>
      <w:divBdr>
        <w:top w:val="none" w:sz="0" w:space="0" w:color="auto"/>
        <w:left w:val="none" w:sz="0" w:space="0" w:color="auto"/>
        <w:bottom w:val="none" w:sz="0" w:space="0" w:color="auto"/>
        <w:right w:val="none" w:sz="0" w:space="0" w:color="auto"/>
      </w:divBdr>
    </w:div>
    <w:div w:id="1891653703">
      <w:bodyDiv w:val="1"/>
      <w:marLeft w:val="0"/>
      <w:marRight w:val="0"/>
      <w:marTop w:val="0"/>
      <w:marBottom w:val="0"/>
      <w:divBdr>
        <w:top w:val="none" w:sz="0" w:space="0" w:color="auto"/>
        <w:left w:val="none" w:sz="0" w:space="0" w:color="auto"/>
        <w:bottom w:val="none" w:sz="0" w:space="0" w:color="auto"/>
        <w:right w:val="none" w:sz="0" w:space="0" w:color="auto"/>
      </w:divBdr>
    </w:div>
    <w:div w:id="1943956686">
      <w:bodyDiv w:val="1"/>
      <w:marLeft w:val="0"/>
      <w:marRight w:val="0"/>
      <w:marTop w:val="0"/>
      <w:marBottom w:val="0"/>
      <w:divBdr>
        <w:top w:val="none" w:sz="0" w:space="0" w:color="auto"/>
        <w:left w:val="none" w:sz="0" w:space="0" w:color="auto"/>
        <w:bottom w:val="none" w:sz="0" w:space="0" w:color="auto"/>
        <w:right w:val="none" w:sz="0" w:space="0" w:color="auto"/>
      </w:divBdr>
    </w:div>
    <w:div w:id="1979531639">
      <w:bodyDiv w:val="1"/>
      <w:marLeft w:val="0"/>
      <w:marRight w:val="0"/>
      <w:marTop w:val="0"/>
      <w:marBottom w:val="0"/>
      <w:divBdr>
        <w:top w:val="none" w:sz="0" w:space="0" w:color="auto"/>
        <w:left w:val="none" w:sz="0" w:space="0" w:color="auto"/>
        <w:bottom w:val="none" w:sz="0" w:space="0" w:color="auto"/>
        <w:right w:val="none" w:sz="0" w:space="0" w:color="auto"/>
      </w:divBdr>
    </w:div>
    <w:div w:id="1985426534">
      <w:bodyDiv w:val="1"/>
      <w:marLeft w:val="0"/>
      <w:marRight w:val="0"/>
      <w:marTop w:val="0"/>
      <w:marBottom w:val="0"/>
      <w:divBdr>
        <w:top w:val="none" w:sz="0" w:space="0" w:color="auto"/>
        <w:left w:val="none" w:sz="0" w:space="0" w:color="auto"/>
        <w:bottom w:val="none" w:sz="0" w:space="0" w:color="auto"/>
        <w:right w:val="none" w:sz="0" w:space="0" w:color="auto"/>
      </w:divBdr>
    </w:div>
    <w:div w:id="2052260703">
      <w:bodyDiv w:val="1"/>
      <w:marLeft w:val="0"/>
      <w:marRight w:val="0"/>
      <w:marTop w:val="0"/>
      <w:marBottom w:val="0"/>
      <w:divBdr>
        <w:top w:val="none" w:sz="0" w:space="0" w:color="auto"/>
        <w:left w:val="none" w:sz="0" w:space="0" w:color="auto"/>
        <w:bottom w:val="none" w:sz="0" w:space="0" w:color="auto"/>
        <w:right w:val="none" w:sz="0" w:space="0" w:color="auto"/>
      </w:divBdr>
    </w:div>
    <w:div w:id="2079739957">
      <w:bodyDiv w:val="1"/>
      <w:marLeft w:val="0"/>
      <w:marRight w:val="0"/>
      <w:marTop w:val="0"/>
      <w:marBottom w:val="0"/>
      <w:divBdr>
        <w:top w:val="none" w:sz="0" w:space="0" w:color="auto"/>
        <w:left w:val="none" w:sz="0" w:space="0" w:color="auto"/>
        <w:bottom w:val="none" w:sz="0" w:space="0" w:color="auto"/>
        <w:right w:val="none" w:sz="0" w:space="0" w:color="auto"/>
      </w:divBdr>
    </w:div>
    <w:div w:id="2128352298">
      <w:bodyDiv w:val="1"/>
      <w:marLeft w:val="0"/>
      <w:marRight w:val="0"/>
      <w:marTop w:val="0"/>
      <w:marBottom w:val="0"/>
      <w:divBdr>
        <w:top w:val="none" w:sz="0" w:space="0" w:color="auto"/>
        <w:left w:val="none" w:sz="0" w:space="0" w:color="auto"/>
        <w:bottom w:val="none" w:sz="0" w:space="0" w:color="auto"/>
        <w:right w:val="none" w:sz="0" w:space="0" w:color="auto"/>
      </w:divBdr>
    </w:div>
    <w:div w:id="21308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8778-ACEF-4E59-B1E4-10D0901A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1570</Characters>
  <Application>Microsoft Office Word</Application>
  <DocSecurity>4</DocSecurity>
  <Lines>13</Lines>
  <Paragraphs>3</Paragraphs>
  <ScaleCrop>false</ScaleCrop>
  <Company>GTJA-ALLIANZ</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国联安基金管理有限公司</dc:title>
  <dc:creator>yongwei.duan</dc:creator>
  <cp:lastModifiedBy>ZHONGM</cp:lastModifiedBy>
  <cp:revision>2</cp:revision>
  <cp:lastPrinted>2023-07-21T01:56:00Z</cp:lastPrinted>
  <dcterms:created xsi:type="dcterms:W3CDTF">2024-12-22T16:00:00Z</dcterms:created>
  <dcterms:modified xsi:type="dcterms:W3CDTF">2024-12-22T16:00:00Z</dcterms:modified>
</cp:coreProperties>
</file>