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5509" w:rsidRDefault="008D5509">
      <w:pPr>
        <w:pStyle w:val="XBRL2"/>
        <w:spacing w:before="156"/>
        <w:rPr>
          <w:lang w:eastAsia="zh-CN"/>
        </w:rPr>
      </w:pPr>
      <w:bookmarkStart w:id="0" w:name="_Toc510201001"/>
      <w:bookmarkEnd w:id="0"/>
      <w:r>
        <w:rPr>
          <w:lang w:eastAsia="zh-CN"/>
        </w:rPr>
        <w:t xml:space="preserve">　</w:t>
      </w:r>
      <w:r>
        <w:rPr>
          <w:lang w:eastAsia="zh-CN"/>
        </w:rPr>
        <w:t xml:space="preserve"> </w:t>
      </w:r>
    </w:p>
    <w:p w:rsidR="008D5509" w:rsidRDefault="008D5509">
      <w:pPr>
        <w:jc w:val="center"/>
      </w:pPr>
      <w:r>
        <w:rPr>
          <w:rFonts w:cs="Times New Roman" w:hint="eastAsia"/>
          <w:b/>
          <w:sz w:val="48"/>
          <w:szCs w:val="48"/>
        </w:rPr>
        <w:t>华泰柏瑞基金管理有限公司关于华泰柏瑞南方东英恒生科技指数交易型开放式指数证券投资基金（QDII）暂停申购和赎回业务的公告</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pStyle w:val="TOC2"/>
        <w:tabs>
          <w:tab w:val="right" w:leader="dot" w:pos="8835"/>
        </w:tabs>
        <w:divId w:val="1305087523"/>
        <w:rPr>
          <w:rFonts w:hint="eastAsia"/>
          <w:vanish/>
        </w:rPr>
      </w:pPr>
      <w:r>
        <w:rPr>
          <w:rFonts w:hint="eastAsia"/>
          <w:vanish/>
          <w:sz w:val="24"/>
          <w:szCs w:val="30"/>
        </w:rPr>
        <w:fldChar w:fldCharType="begin"/>
      </w:r>
      <w:r>
        <w:rPr>
          <w:rFonts w:hint="eastAsia"/>
          <w:vanish/>
          <w:sz w:val="24"/>
          <w:szCs w:val="30"/>
        </w:rPr>
        <w:instrText xml:space="preserve">?TOC \o "1-2" \n \h \z \u </w:instrText>
      </w:r>
      <w:r>
        <w:rPr>
          <w:vanish/>
          <w:sz w:val="24"/>
          <w:szCs w:val="30"/>
        </w:rPr>
        <w:fldChar w:fldCharType="separate"/>
      </w:r>
      <w:hyperlink w:anchor="_Toc510201001" w:history="1">
        <w:r>
          <w:rPr>
            <w:rStyle w:val="a3"/>
            <w:rFonts w:hint="eastAsia"/>
            <w:noProof/>
            <w:vanish/>
          </w:rPr>
          <w:t>0、公告标题</w:t>
        </w:r>
      </w:hyperlink>
      <w:r w:rsidRPr="0057169C">
        <w:rPr>
          <w:rFonts w:ascii="Calibri" w:hAnsi="Calibri" w:cs="Times New Roman"/>
          <w:noProof/>
          <w:vanish/>
          <w:szCs w:val="22"/>
        </w:rPr>
        <w:t xml:space="preserve"> </w:t>
      </w:r>
    </w:p>
    <w:p w:rsidR="008D5509" w:rsidRDefault="008D5509">
      <w:pPr>
        <w:pStyle w:val="TOC2"/>
        <w:tabs>
          <w:tab w:val="right" w:leader="dot" w:pos="8835"/>
        </w:tabs>
        <w:divId w:val="1305087523"/>
        <w:rPr>
          <w:rFonts w:hint="eastAsia"/>
          <w:vanish/>
        </w:rPr>
      </w:pPr>
      <w:hyperlink w:anchor="_Toc34322059" w:history="1">
        <w:r>
          <w:rPr>
            <w:rStyle w:val="a3"/>
            <w:rFonts w:hint="eastAsia"/>
            <w:noProof/>
            <w:vanish/>
          </w:rPr>
          <w:t>1.公告基本信息</w:t>
        </w:r>
      </w:hyperlink>
      <w:r w:rsidRPr="0057169C">
        <w:rPr>
          <w:rFonts w:ascii="Calibri" w:hAnsi="Calibri" w:cs="Times New Roman"/>
          <w:noProof/>
          <w:vanish/>
          <w:szCs w:val="22"/>
        </w:rPr>
        <w:t xml:space="preserve"> </w:t>
      </w:r>
    </w:p>
    <w:p w:rsidR="008D5509" w:rsidRDefault="008D5509">
      <w:pPr>
        <w:pStyle w:val="TOC2"/>
        <w:tabs>
          <w:tab w:val="right" w:leader="dot" w:pos="8835"/>
        </w:tabs>
        <w:divId w:val="1305087523"/>
        <w:rPr>
          <w:rFonts w:hint="eastAsia"/>
          <w:vanish/>
        </w:rPr>
      </w:pPr>
      <w:hyperlink w:anchor="_Toc34322063" w:history="1">
        <w:r>
          <w:rPr>
            <w:rStyle w:val="a3"/>
            <w:rFonts w:hint="eastAsia"/>
            <w:noProof/>
            <w:vanish/>
          </w:rPr>
          <w:t>2.其他需要提示的事项</w:t>
        </w:r>
      </w:hyperlink>
      <w:r w:rsidRPr="0057169C">
        <w:rPr>
          <w:rFonts w:ascii="Calibri" w:hAnsi="Calibri" w:cs="Times New Roman"/>
          <w:noProof/>
          <w:vanish/>
          <w:szCs w:val="22"/>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fldChar w:fldCharType="end"/>
      </w: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560" w:lineRule="exact"/>
        <w:jc w:val="center"/>
        <w:rPr>
          <w:rFonts w:hint="eastAsia"/>
          <w:color w:val="000000"/>
          <w:kern w:val="0"/>
          <w:sz w:val="18"/>
        </w:rPr>
      </w:pPr>
      <w:r>
        <w:rPr>
          <w:rFonts w:hint="eastAsia"/>
          <w:color w:val="000000"/>
          <w:kern w:val="0"/>
          <w:sz w:val="18"/>
        </w:rPr>
        <w:t xml:space="preserve">　 </w:t>
      </w:r>
    </w:p>
    <w:p w:rsidR="008D5509" w:rsidRDefault="008D5509">
      <w:pPr>
        <w:spacing w:line="360" w:lineRule="auto"/>
        <w:jc w:val="center"/>
        <w:rPr>
          <w:rFonts w:hint="eastAsia"/>
        </w:rPr>
      </w:pPr>
      <w:r>
        <w:rPr>
          <w:rFonts w:hint="eastAsia"/>
          <w:b/>
          <w:bCs/>
          <w:sz w:val="24"/>
          <w:szCs w:val="30"/>
        </w:rPr>
        <w:t>公告送出日期：</w:t>
      </w:r>
      <w:r w:rsidR="008537FE">
        <w:rPr>
          <w:rFonts w:hint="eastAsia"/>
          <w:b/>
          <w:bCs/>
          <w:sz w:val="24"/>
          <w:szCs w:val="30"/>
        </w:rPr>
        <w:t>2024年</w:t>
      </w:r>
      <w:r w:rsidR="008537FE">
        <w:rPr>
          <w:b/>
          <w:bCs/>
          <w:sz w:val="24"/>
          <w:szCs w:val="30"/>
        </w:rPr>
        <w:t>12</w:t>
      </w:r>
      <w:r w:rsidR="008537FE">
        <w:rPr>
          <w:rFonts w:hint="eastAsia"/>
          <w:b/>
          <w:bCs/>
          <w:sz w:val="24"/>
          <w:szCs w:val="30"/>
        </w:rPr>
        <w:t>月</w:t>
      </w:r>
      <w:r w:rsidR="008537FE">
        <w:rPr>
          <w:b/>
          <w:bCs/>
          <w:sz w:val="24"/>
          <w:szCs w:val="30"/>
        </w:rPr>
        <w:t>20</w:t>
      </w:r>
      <w:r w:rsidR="008537FE">
        <w:rPr>
          <w:rFonts w:hint="eastAsia"/>
          <w:b/>
          <w:bCs/>
          <w:sz w:val="24"/>
          <w:szCs w:val="30"/>
        </w:rPr>
        <w:t>日</w:t>
      </w:r>
    </w:p>
    <w:p w:rsidR="008D5509" w:rsidRDefault="008D5509">
      <w:pPr>
        <w:pStyle w:val="XBRLTitle1"/>
        <w:spacing w:before="156"/>
        <w:ind w:left="425"/>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384"/>
        <w:gridCol w:w="2693"/>
        <w:gridCol w:w="4445"/>
      </w:tblGrid>
      <w:tr w:rsidR="008D5509" w:rsidTr="0057169C">
        <w:trPr>
          <w:divId w:val="1637755588"/>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基金名称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hint="eastAsia"/>
              </w:rPr>
              <w:t>华泰柏瑞南方东英恒生科技指数交易型开放式指数证券投资基金（QDII）</w:t>
            </w:r>
          </w:p>
        </w:tc>
      </w:tr>
      <w:tr w:rsidR="008D5509" w:rsidTr="0057169C">
        <w:trPr>
          <w:divId w:val="1637755588"/>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基金简称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hint="eastAsia"/>
              </w:rPr>
              <w:t>恒生科技</w:t>
            </w:r>
            <w:r>
              <w:rPr>
                <w:rFonts w:cs="Calibri" w:hint="eastAsia"/>
              </w:rPr>
              <w:t xml:space="preserve"> </w:t>
            </w:r>
          </w:p>
        </w:tc>
      </w:tr>
      <w:tr w:rsidR="008D5509" w:rsidTr="0057169C">
        <w:trPr>
          <w:divId w:val="1637755588"/>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基金主代码</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hint="eastAsia"/>
              </w:rPr>
              <w:t>513130</w:t>
            </w:r>
          </w:p>
        </w:tc>
      </w:tr>
      <w:tr w:rsidR="008D5509" w:rsidTr="0057169C">
        <w:trPr>
          <w:divId w:val="1637755588"/>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基金管理人名称</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hint="eastAsia"/>
              </w:rPr>
              <w:t>华泰柏瑞基金管理有限公司</w:t>
            </w:r>
          </w:p>
        </w:tc>
      </w:tr>
      <w:tr w:rsidR="008D5509" w:rsidTr="0057169C">
        <w:trPr>
          <w:divId w:val="1637755588"/>
        </w:trPr>
        <w:tc>
          <w:tcPr>
            <w:tcW w:w="4077" w:type="dxa"/>
            <w:gridSpan w:val="2"/>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公告依据</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hint="eastAsia"/>
              </w:rPr>
              <w:t>根据有关法律法规和《华泰柏瑞南方东英恒生科技指数交易型开放式指数证券投资基金(QDII)基金合同》、《华泰柏瑞南方东英恒生科技指数交易型开放式指数证券投资基金(QDII)招募说明书》</w:t>
            </w:r>
          </w:p>
        </w:tc>
      </w:tr>
      <w:tr w:rsidR="008D5509" w:rsidTr="0057169C">
        <w:trPr>
          <w:divId w:val="1637755588"/>
          <w:trHeight w:val="508"/>
        </w:trPr>
        <w:tc>
          <w:tcPr>
            <w:tcW w:w="1384" w:type="dxa"/>
            <w:vMerge w:val="restart"/>
            <w:tcBorders>
              <w:top w:val="nil"/>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暂停相关业务的起始日、金额及原因说明</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暂停申购起始日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537FE" w:rsidP="002D028A">
            <w:pPr>
              <w:rPr>
                <w:rFonts w:hint="eastAsia"/>
              </w:rPr>
            </w:pPr>
            <w:r w:rsidRPr="0057169C">
              <w:rPr>
                <w:rFonts w:hint="eastAsia"/>
              </w:rPr>
              <w:t>2024年</w:t>
            </w:r>
            <w:r>
              <w:t>12</w:t>
            </w:r>
            <w:r w:rsidRPr="0057169C">
              <w:rPr>
                <w:rFonts w:hint="eastAsia"/>
              </w:rPr>
              <w:t>月</w:t>
            </w:r>
            <w:r>
              <w:t>24</w:t>
            </w:r>
            <w:r w:rsidRPr="0057169C">
              <w:rPr>
                <w:rFonts w:hint="eastAsia"/>
              </w:rPr>
              <w:t>日</w:t>
            </w:r>
          </w:p>
        </w:tc>
      </w:tr>
      <w:tr w:rsidR="008D5509" w:rsidTr="0057169C">
        <w:trPr>
          <w:divId w:val="1637755588"/>
          <w:trHeight w:val="506"/>
        </w:trPr>
        <w:tc>
          <w:tcPr>
            <w:tcW w:w="4077" w:type="dxa"/>
            <w:vMerge/>
            <w:tcBorders>
              <w:top w:val="nil"/>
              <w:left w:val="single" w:sz="4" w:space="0" w:color="000000"/>
              <w:bottom w:val="single" w:sz="4" w:space="0" w:color="000000"/>
              <w:right w:val="single" w:sz="4" w:space="0" w:color="000000"/>
            </w:tcBorders>
            <w:vAlign w:val="center"/>
            <w:hideMark/>
          </w:tcPr>
          <w:p w:rsidR="008D5509" w:rsidRDefault="008D5509">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ascii="Calibri" w:hAnsi="Calibri" w:hint="eastAsia"/>
              </w:rPr>
              <w:t>暂停赎回起始日</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537FE" w:rsidP="000A6DB2">
            <w:pPr>
              <w:rPr>
                <w:rFonts w:hint="eastAsia"/>
              </w:rPr>
            </w:pPr>
            <w:r w:rsidRPr="0057169C">
              <w:rPr>
                <w:rFonts w:hint="eastAsia"/>
              </w:rPr>
              <w:t>2024年</w:t>
            </w:r>
            <w:r>
              <w:t>12</w:t>
            </w:r>
            <w:r w:rsidRPr="0057169C">
              <w:rPr>
                <w:rFonts w:hint="eastAsia"/>
              </w:rPr>
              <w:t>月</w:t>
            </w:r>
            <w:r>
              <w:t>24</w:t>
            </w:r>
            <w:r w:rsidRPr="0057169C">
              <w:rPr>
                <w:rFonts w:hint="eastAsia"/>
              </w:rPr>
              <w:t>日</w:t>
            </w:r>
          </w:p>
        </w:tc>
      </w:tr>
      <w:tr w:rsidR="008D5509" w:rsidTr="0057169C">
        <w:trPr>
          <w:divId w:val="1637755588"/>
          <w:trHeight w:val="506"/>
        </w:trPr>
        <w:tc>
          <w:tcPr>
            <w:tcW w:w="4077" w:type="dxa"/>
            <w:vMerge/>
            <w:tcBorders>
              <w:top w:val="nil"/>
              <w:left w:val="single" w:sz="4" w:space="0" w:color="000000"/>
              <w:bottom w:val="single" w:sz="4" w:space="0" w:color="000000"/>
              <w:right w:val="single" w:sz="4" w:space="0" w:color="000000"/>
            </w:tcBorders>
            <w:vAlign w:val="center"/>
            <w:hideMark/>
          </w:tcPr>
          <w:p w:rsidR="008D5509" w:rsidRDefault="008D5509">
            <w:pPr>
              <w:widowControl/>
              <w:jc w:val="left"/>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8D5509" w:rsidRDefault="008D5509">
            <w:pPr>
              <w:rPr>
                <w:rFonts w:hint="eastAsia"/>
              </w:rPr>
            </w:pPr>
            <w:r w:rsidRPr="0057169C">
              <w:rPr>
                <w:rFonts w:hint="eastAsia"/>
              </w:rPr>
              <w:t>暂停申购、赎回的原因说明</w:t>
            </w:r>
          </w:p>
        </w:tc>
        <w:tc>
          <w:tcPr>
            <w:tcW w:w="4445" w:type="dxa"/>
            <w:tcBorders>
              <w:top w:val="single" w:sz="4" w:space="0" w:color="000000"/>
              <w:left w:val="single" w:sz="4" w:space="0" w:color="000000"/>
              <w:bottom w:val="single" w:sz="4" w:space="0" w:color="000000"/>
              <w:right w:val="single" w:sz="4" w:space="0" w:color="000000"/>
            </w:tcBorders>
            <w:vAlign w:val="center"/>
            <w:hideMark/>
          </w:tcPr>
          <w:p w:rsidR="008D5509" w:rsidRDefault="008537FE" w:rsidP="000A6DB2">
            <w:pPr>
              <w:rPr>
                <w:rFonts w:hint="eastAsia"/>
              </w:rPr>
            </w:pPr>
            <w:r w:rsidRPr="0057169C">
              <w:rPr>
                <w:rFonts w:hint="eastAsia"/>
              </w:rPr>
              <w:t>2024年</w:t>
            </w:r>
            <w:r>
              <w:t>12</w:t>
            </w:r>
            <w:r w:rsidRPr="0057169C">
              <w:rPr>
                <w:rFonts w:hint="eastAsia"/>
              </w:rPr>
              <w:t>月</w:t>
            </w:r>
            <w:r>
              <w:t>24</w:t>
            </w:r>
            <w:r w:rsidRPr="0057169C">
              <w:rPr>
                <w:rFonts w:hint="eastAsia"/>
              </w:rPr>
              <w:t>日（星期</w:t>
            </w:r>
            <w:r>
              <w:rPr>
                <w:rFonts w:hint="eastAsia"/>
              </w:rPr>
              <w:t>二</w:t>
            </w:r>
            <w:r w:rsidRPr="0057169C">
              <w:rPr>
                <w:rFonts w:hint="eastAsia"/>
              </w:rPr>
              <w:t>）</w:t>
            </w:r>
            <w:r>
              <w:rPr>
                <w:rFonts w:hint="eastAsia"/>
              </w:rPr>
              <w:t>、</w:t>
            </w:r>
            <w:r w:rsidRPr="0057169C">
              <w:rPr>
                <w:rFonts w:hint="eastAsia"/>
              </w:rPr>
              <w:t>2024年</w:t>
            </w:r>
            <w:r>
              <w:t>12</w:t>
            </w:r>
            <w:r w:rsidRPr="0057169C">
              <w:rPr>
                <w:rFonts w:hint="eastAsia"/>
              </w:rPr>
              <w:t>月</w:t>
            </w:r>
            <w:r>
              <w:t>25</w:t>
            </w:r>
            <w:r w:rsidRPr="0057169C">
              <w:rPr>
                <w:rFonts w:hint="eastAsia"/>
              </w:rPr>
              <w:t>日（星期</w:t>
            </w:r>
            <w:r>
              <w:rPr>
                <w:rFonts w:hint="eastAsia"/>
              </w:rPr>
              <w:t>三</w:t>
            </w:r>
            <w:r w:rsidRPr="0057169C">
              <w:rPr>
                <w:rFonts w:hint="eastAsia"/>
              </w:rPr>
              <w:t>）</w:t>
            </w:r>
            <w:r>
              <w:rPr>
                <w:rFonts w:hint="eastAsia"/>
              </w:rPr>
              <w:t>、</w:t>
            </w:r>
            <w:r w:rsidRPr="002C2CE0">
              <w:t>2024年12月2</w:t>
            </w:r>
            <w:r>
              <w:t>6</w:t>
            </w:r>
            <w:r w:rsidRPr="002C2CE0">
              <w:t>日（星期</w:t>
            </w:r>
            <w:r>
              <w:rPr>
                <w:rFonts w:hint="eastAsia"/>
              </w:rPr>
              <w:t>四</w:t>
            </w:r>
            <w:r w:rsidRPr="002C2CE0">
              <w:t>）</w:t>
            </w:r>
            <w:r w:rsidRPr="0057169C">
              <w:rPr>
                <w:rFonts w:hint="eastAsia"/>
              </w:rPr>
              <w:t>为香港联合交易所非交易日。</w:t>
            </w:r>
          </w:p>
        </w:tc>
      </w:tr>
    </w:tbl>
    <w:p w:rsidR="008D5509" w:rsidRDefault="008D5509">
      <w:pPr>
        <w:pStyle w:val="XBRLTitle1"/>
        <w:spacing w:before="156" w:line="360" w:lineRule="auto"/>
        <w:ind w:left="425"/>
        <w:jc w:val="left"/>
        <w:rPr>
          <w:rFonts w:hint="eastAsia"/>
        </w:rPr>
      </w:pPr>
      <w:bookmarkStart w:id="13" w:name="_Toc17898228"/>
      <w:bookmarkStart w:id="14" w:name="_Toc17897969"/>
      <w:bookmarkStart w:id="15" w:name="_Toc512519529"/>
      <w:bookmarkStart w:id="16" w:name="_Toc490050049"/>
      <w:bookmarkStart w:id="17" w:name="_Toc481075097"/>
      <w:bookmarkStart w:id="18" w:name="_Toc438646481"/>
      <w:bookmarkStart w:id="19" w:name="_Toc513295878"/>
      <w:bookmarkStart w:id="20" w:name="_Toc513295941"/>
      <w:bookmarkStart w:id="21" w:name="_Toc34322063"/>
      <w:bookmarkStart w:id="22" w:name="m201_01"/>
      <w:r>
        <w:rPr>
          <w:rFonts w:hAnsi="宋体" w:hint="eastAsia"/>
          <w:szCs w:val="24"/>
        </w:rPr>
        <w:t>其他需要提示的事项</w:t>
      </w:r>
      <w:bookmarkEnd w:id="13"/>
      <w:bookmarkEnd w:id="14"/>
      <w:bookmarkEnd w:id="15"/>
      <w:bookmarkEnd w:id="16"/>
      <w:bookmarkEnd w:id="17"/>
      <w:bookmarkEnd w:id="18"/>
      <w:bookmarkEnd w:id="19"/>
      <w:bookmarkEnd w:id="20"/>
      <w:bookmarkEnd w:id="21"/>
      <w:r>
        <w:rPr>
          <w:rFonts w:hAnsi="宋体" w:hint="eastAsia"/>
          <w:szCs w:val="24"/>
        </w:rPr>
        <w:t xml:space="preserve"> </w:t>
      </w:r>
    </w:p>
    <w:p w:rsidR="008D5509" w:rsidRDefault="008D5509">
      <w:pPr>
        <w:spacing w:line="360" w:lineRule="auto"/>
        <w:ind w:firstLineChars="200" w:firstLine="420"/>
        <w:jc w:val="left"/>
        <w:rPr>
          <w:rFonts w:hint="eastAsia"/>
        </w:rPr>
      </w:pPr>
      <w:r>
        <w:rPr>
          <w:rFonts w:hint="eastAsia"/>
          <w:szCs w:val="21"/>
        </w:rPr>
        <w:t>根据相关规定和上海证券交易所、香港联合交易所2024年交易日安排，</w:t>
      </w:r>
      <w:r w:rsidR="008537FE" w:rsidRPr="008537FE">
        <w:t>2024年12月24日（星期二）、2024年12月25日（星期三）、2024年12月26日（星期四）</w:t>
      </w:r>
      <w:r>
        <w:rPr>
          <w:rFonts w:hint="eastAsia"/>
          <w:szCs w:val="21"/>
        </w:rPr>
        <w:t>为香港联合交易所非交易日。本基金管理人决定于</w:t>
      </w:r>
      <w:r w:rsidR="008537FE" w:rsidRPr="002C2CE0">
        <w:t>2024年12月24日（星期二）、2024年12月25日（星期三）、2024年12月26日（星期四）</w:t>
      </w:r>
      <w:r>
        <w:rPr>
          <w:rFonts w:hint="eastAsia"/>
          <w:szCs w:val="21"/>
        </w:rPr>
        <w:t>暂停上述基金的申购和赎回业务。</w:t>
      </w:r>
      <w:r>
        <w:rPr>
          <w:rFonts w:hint="eastAsia"/>
          <w:szCs w:val="21"/>
        </w:rPr>
        <w:br/>
        <w:t xml:space="preserve">　　上述基金将于</w:t>
      </w:r>
      <w:r w:rsidR="008537FE" w:rsidRPr="002C2CE0">
        <w:t>2024年12月2</w:t>
      </w:r>
      <w:r w:rsidR="008537FE">
        <w:t>7</w:t>
      </w:r>
      <w:r w:rsidR="008537FE" w:rsidRPr="002C2CE0">
        <w:t>日（星期</w:t>
      </w:r>
      <w:r w:rsidR="008537FE">
        <w:rPr>
          <w:rFonts w:hint="eastAsia"/>
        </w:rPr>
        <w:t>五</w:t>
      </w:r>
      <w:r w:rsidR="008537FE" w:rsidRPr="002C2CE0">
        <w:t>）</w:t>
      </w:r>
      <w:r>
        <w:rPr>
          <w:rFonts w:hint="eastAsia"/>
          <w:szCs w:val="21"/>
        </w:rPr>
        <w:t>起恢复办理申购和赎回业务，本基金管理人届时将不再另行公告，敬请投资者留意。</w:t>
      </w:r>
      <w:r>
        <w:rPr>
          <w:rFonts w:hint="eastAsia"/>
          <w:szCs w:val="21"/>
        </w:rPr>
        <w:br/>
        <w:t xml:space="preserve">　　投资者如欲了解详情，可登陆本公司网站(www.huatai-pb.com)或拨打客户服务电话：400-888-0001。</w:t>
      </w:r>
      <w:r>
        <w:rPr>
          <w:rFonts w:hint="eastAsia"/>
          <w:szCs w:val="21"/>
        </w:rPr>
        <w:br/>
        <w:t xml:space="preserve">　　风险提示： </w:t>
      </w:r>
      <w:r>
        <w:rPr>
          <w:rFonts w:hint="eastAsia"/>
          <w:szCs w:val="21"/>
        </w:rPr>
        <w:br/>
        <w:t xml:space="preserve">　　基金管理人承诺依照诚实信用、勤勉尽职的原则管理和运用基金资产，但不保证基金一定盈利，也不保证最低收益。基金的过往业绩及其净值高低并不预示其未来业绩表现。</w:t>
      </w:r>
      <w:r>
        <w:rPr>
          <w:rFonts w:hint="eastAsia"/>
          <w:szCs w:val="21"/>
        </w:rPr>
        <w:br/>
        <w:t xml:space="preserve">　　投资者投资本基金前应认真阅读基金合同、招募说明书等法律文件，了解拟投资基金的风险收益特征，并根据自身投资目的、投资期限、投资经验、资产状况等判断基金是否和投资者的风险承受能力相匹配。</w:t>
      </w:r>
    </w:p>
    <w:p w:rsidR="008D5509" w:rsidRDefault="008D5509">
      <w:pPr>
        <w:spacing w:line="360" w:lineRule="auto"/>
        <w:ind w:firstLineChars="600" w:firstLine="1446"/>
        <w:jc w:val="right"/>
        <w:rPr>
          <w:rFonts w:hint="eastAsia"/>
          <w:b/>
          <w:bCs/>
          <w:sz w:val="24"/>
          <w:szCs w:val="30"/>
        </w:rPr>
      </w:pPr>
      <w:r>
        <w:rPr>
          <w:rFonts w:hint="eastAsia"/>
          <w:b/>
          <w:bCs/>
          <w:sz w:val="24"/>
          <w:szCs w:val="30"/>
        </w:rPr>
        <w:t xml:space="preserve">　 </w:t>
      </w:r>
    </w:p>
    <w:p w:rsidR="008D5509" w:rsidRDefault="008D5509">
      <w:pPr>
        <w:spacing w:line="360" w:lineRule="auto"/>
        <w:ind w:firstLineChars="600" w:firstLine="1446"/>
        <w:jc w:val="right"/>
        <w:rPr>
          <w:rFonts w:hint="eastAsia"/>
          <w:b/>
          <w:bCs/>
          <w:sz w:val="24"/>
          <w:szCs w:val="30"/>
        </w:rPr>
      </w:pPr>
      <w:r>
        <w:rPr>
          <w:rFonts w:hint="eastAsia"/>
          <w:b/>
          <w:bCs/>
          <w:sz w:val="24"/>
          <w:szCs w:val="30"/>
        </w:rPr>
        <w:t xml:space="preserve">　 </w:t>
      </w:r>
    </w:p>
    <w:p w:rsidR="008D5509" w:rsidRDefault="008D5509">
      <w:pPr>
        <w:spacing w:line="360" w:lineRule="auto"/>
        <w:ind w:firstLineChars="600" w:firstLine="1446"/>
        <w:jc w:val="right"/>
        <w:rPr>
          <w:rFonts w:hint="eastAsia"/>
        </w:rPr>
      </w:pPr>
      <w:r>
        <w:rPr>
          <w:rFonts w:hint="eastAsia"/>
          <w:b/>
          <w:bCs/>
          <w:sz w:val="24"/>
          <w:szCs w:val="24"/>
        </w:rPr>
        <w:t>华泰柏瑞基金管理有限公司</w:t>
      </w:r>
    </w:p>
    <w:bookmarkEnd w:id="22"/>
    <w:p w:rsidR="008D5509" w:rsidRDefault="008537FE">
      <w:pPr>
        <w:spacing w:line="360" w:lineRule="auto"/>
        <w:ind w:firstLineChars="600" w:firstLine="1446"/>
        <w:jc w:val="right"/>
        <w:rPr>
          <w:rFonts w:hint="eastAsia"/>
        </w:rPr>
      </w:pPr>
      <w:r>
        <w:rPr>
          <w:rFonts w:hint="eastAsia"/>
          <w:b/>
          <w:bCs/>
          <w:sz w:val="24"/>
          <w:szCs w:val="30"/>
        </w:rPr>
        <w:lastRenderedPageBreak/>
        <w:t>2024年</w:t>
      </w:r>
      <w:r>
        <w:rPr>
          <w:b/>
          <w:bCs/>
          <w:sz w:val="24"/>
          <w:szCs w:val="30"/>
        </w:rPr>
        <w:t>12</w:t>
      </w:r>
      <w:r>
        <w:rPr>
          <w:rFonts w:hint="eastAsia"/>
          <w:b/>
          <w:bCs/>
          <w:sz w:val="24"/>
          <w:szCs w:val="30"/>
        </w:rPr>
        <w:t>月</w:t>
      </w:r>
      <w:r>
        <w:rPr>
          <w:b/>
          <w:bCs/>
          <w:sz w:val="24"/>
          <w:szCs w:val="30"/>
        </w:rPr>
        <w:t>20</w:t>
      </w:r>
      <w:r>
        <w:rPr>
          <w:rFonts w:hint="eastAsia"/>
          <w:b/>
          <w:bCs/>
          <w:sz w:val="24"/>
          <w:szCs w:val="30"/>
        </w:rPr>
        <w:t>日</w:t>
      </w:r>
    </w:p>
    <w:sectPr w:rsidR="008D5509">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AD9" w:rsidRDefault="00E60AD9">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E60AD9" w:rsidRDefault="00E60AD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09" w:rsidRDefault="008D5509">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2C65B0">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2C65B0">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AD9" w:rsidRDefault="00E60AD9">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E60AD9" w:rsidRDefault="00E60AD9">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09" w:rsidRDefault="008D5509">
    <w:pPr>
      <w:pStyle w:val="a8"/>
      <w:jc w:val="right"/>
      <w:rPr>
        <w:rFonts w:hint="eastAsia"/>
      </w:rPr>
    </w:pPr>
    <w:r>
      <w:rPr>
        <w:rFonts w:hint="eastAsia"/>
      </w:rPr>
      <w:t>华泰柏瑞基金管理有限公司关于华泰柏瑞南方东英恒生科技指数交易型开放式指数证券投资基金（QDII）暂停申购和赎回业务的公告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169C"/>
    <w:rsid w:val="000A6DB2"/>
    <w:rsid w:val="002C65B0"/>
    <w:rsid w:val="002D028A"/>
    <w:rsid w:val="0057169C"/>
    <w:rsid w:val="008537FE"/>
    <w:rsid w:val="008D5509"/>
    <w:rsid w:val="00915293"/>
    <w:rsid w:val="00E60AD9"/>
    <w:rsid w:val="00F419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uiPriority="59"/>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1305087523">
      <w:marLeft w:val="0"/>
      <w:marRight w:val="0"/>
      <w:marTop w:val="0"/>
      <w:marBottom w:val="0"/>
      <w:divBdr>
        <w:top w:val="none" w:sz="0" w:space="0" w:color="auto"/>
        <w:left w:val="none" w:sz="0" w:space="0" w:color="auto"/>
        <w:bottom w:val="none" w:sz="0" w:space="0" w:color="auto"/>
        <w:right w:val="none" w:sz="0" w:space="0" w:color="auto"/>
      </w:divBdr>
    </w:div>
    <w:div w:id="1637755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488B-A0FB-48F3-A98D-674D45B4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975</Characters>
  <Application>Microsoft Office Word</Application>
  <DocSecurity>4</DocSecurity>
  <Lines>8</Lines>
  <Paragraphs>2</Paragraphs>
  <ScaleCrop>false</ScaleCrop>
  <Company/>
  <LinksUpToDate>false</LinksUpToDate>
  <CharactersWithSpaces>1143</CharactersWithSpaces>
  <SharedDoc>false</SharedDoc>
  <HLinks>
    <vt:vector size="18" baseType="variant">
      <vt:variant>
        <vt:i4>1179700</vt:i4>
      </vt:variant>
      <vt:variant>
        <vt:i4>8</vt:i4>
      </vt:variant>
      <vt:variant>
        <vt:i4>0</vt:i4>
      </vt:variant>
      <vt:variant>
        <vt:i4>5</vt:i4>
      </vt:variant>
      <vt:variant>
        <vt:lpwstr/>
      </vt:variant>
      <vt:variant>
        <vt:lpwstr>_Toc34322063</vt:lpwstr>
      </vt:variant>
      <vt:variant>
        <vt:i4>1572919</vt:i4>
      </vt:variant>
      <vt:variant>
        <vt:i4>5</vt:i4>
      </vt:variant>
      <vt:variant>
        <vt:i4>0</vt:i4>
      </vt:variant>
      <vt:variant>
        <vt:i4>5</vt:i4>
      </vt:variant>
      <vt:variant>
        <vt:lpwstr/>
      </vt:variant>
      <vt:variant>
        <vt:lpwstr>_Toc34322059</vt:lpwstr>
      </vt:variant>
      <vt:variant>
        <vt:i4>1376309</vt:i4>
      </vt:variant>
      <vt:variant>
        <vt:i4>2</vt:i4>
      </vt:variant>
      <vt:variant>
        <vt:i4>0</vt:i4>
      </vt:variant>
      <vt:variant>
        <vt:i4>5</vt:i4>
      </vt:variant>
      <vt:variant>
        <vt:lpwstr/>
      </vt:variant>
      <vt:variant>
        <vt:lpwstr>_Toc510201001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2024-12-19T16:02:00Z</dcterms:created>
  <dcterms:modified xsi:type="dcterms:W3CDTF">2024-12-19T16:02:00Z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