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7A" w:rsidRDefault="00F1287A">
      <w:pPr>
        <w:pStyle w:val="2"/>
        <w:keepNext w:val="0"/>
        <w:spacing w:before="0" w:after="232"/>
        <w:jc w:val="center"/>
        <w:rPr>
          <w:rFonts w:ascii="Times New Roman" w:hAnsi="Times New Roman" w:cs="Times New Roman"/>
        </w:rPr>
      </w:pPr>
      <w:r>
        <w:rPr>
          <w:rFonts w:ascii="宋体" w:eastAsia="宋体" w:hAnsi="宋体" w:cs="宋体"/>
          <w:i w:val="0"/>
          <w:iCs w:val="0"/>
        </w:rPr>
        <w:t>华宝基金关于华宝创业板人工智能交易型开放式指数证券投资基金新增一级交易商的公告</w:t>
      </w:r>
    </w:p>
    <w:p w:rsidR="001C547A" w:rsidRDefault="00F1287A">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）与万联证券股份有限公司（以下简称</w:t>
      </w:r>
      <w:r>
        <w:rPr>
          <w:rFonts w:ascii="宋体" w:eastAsia="宋体" w:hAnsi="宋体" w:cs="宋体"/>
          <w:sz w:val="21"/>
          <w:szCs w:val="21"/>
        </w:rPr>
        <w:t>“</w:t>
      </w:r>
      <w:r>
        <w:rPr>
          <w:rFonts w:ascii="宋体" w:eastAsia="宋体" w:hAnsi="宋体" w:cs="宋体"/>
          <w:sz w:val="21"/>
          <w:szCs w:val="21"/>
        </w:rPr>
        <w:t>万联证券</w:t>
      </w:r>
      <w:r>
        <w:rPr>
          <w:rFonts w:ascii="宋体" w:eastAsia="宋体" w:hAnsi="宋体" w:cs="宋体"/>
          <w:sz w:val="21"/>
          <w:szCs w:val="21"/>
        </w:rPr>
        <w:t>”</w:t>
      </w:r>
      <w:r>
        <w:rPr>
          <w:rFonts w:ascii="宋体" w:eastAsia="宋体" w:hAnsi="宋体" w:cs="宋体"/>
          <w:sz w:val="21"/>
          <w:szCs w:val="21"/>
        </w:rPr>
        <w:t>）、长城证券股份有限公司（以下简称</w:t>
      </w:r>
      <w:r>
        <w:rPr>
          <w:rFonts w:ascii="宋体" w:eastAsia="宋体" w:hAnsi="宋体" w:cs="宋体"/>
          <w:sz w:val="21"/>
          <w:szCs w:val="21"/>
        </w:rPr>
        <w:t>“</w:t>
      </w:r>
      <w:r>
        <w:rPr>
          <w:rFonts w:ascii="宋体" w:eastAsia="宋体" w:hAnsi="宋体" w:cs="宋体"/>
          <w:sz w:val="21"/>
          <w:szCs w:val="21"/>
        </w:rPr>
        <w:t>长城证券</w:t>
      </w:r>
      <w:r>
        <w:rPr>
          <w:rFonts w:ascii="宋体" w:eastAsia="宋体" w:hAnsi="宋体" w:cs="宋体"/>
          <w:sz w:val="21"/>
          <w:szCs w:val="21"/>
        </w:rPr>
        <w:t>”</w:t>
      </w:r>
      <w:r>
        <w:rPr>
          <w:rFonts w:ascii="宋体" w:eastAsia="宋体" w:hAnsi="宋体" w:cs="宋体"/>
          <w:sz w:val="21"/>
          <w:szCs w:val="21"/>
        </w:rPr>
        <w:t>）、东北证券股份有限公司（以下简称</w:t>
      </w:r>
      <w:r>
        <w:rPr>
          <w:rFonts w:ascii="宋体" w:eastAsia="宋体" w:hAnsi="宋体" w:cs="宋体"/>
          <w:sz w:val="21"/>
          <w:szCs w:val="21"/>
        </w:rPr>
        <w:t>“</w:t>
      </w:r>
      <w:r>
        <w:rPr>
          <w:rFonts w:ascii="宋体" w:eastAsia="宋体" w:hAnsi="宋体" w:cs="宋体"/>
          <w:sz w:val="21"/>
          <w:szCs w:val="21"/>
        </w:rPr>
        <w:t>东北证券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19</w:t>
      </w:r>
      <w:r>
        <w:rPr>
          <w:rFonts w:ascii="宋体" w:eastAsia="宋体" w:hAnsi="宋体" w:cs="宋体"/>
          <w:sz w:val="21"/>
          <w:szCs w:val="21"/>
        </w:rPr>
        <w:t>日起增加万联证券、长城证券、东北证券为华宝创业板人工智能交易型开放式指数证券投资基金（华宝创业板人工智能</w:t>
      </w:r>
      <w:r>
        <w:rPr>
          <w:rFonts w:ascii="宋体" w:eastAsia="宋体" w:hAnsi="宋体" w:cs="宋体"/>
          <w:sz w:val="21"/>
          <w:szCs w:val="21"/>
        </w:rPr>
        <w:t>ETF:159363</w:t>
      </w:r>
      <w:r>
        <w:rPr>
          <w:rFonts w:ascii="宋体" w:eastAsia="宋体" w:hAnsi="宋体" w:cs="宋体"/>
          <w:sz w:val="21"/>
          <w:szCs w:val="21"/>
        </w:rPr>
        <w:t>）的一级交易商。投资者可通过上述代销机构办理华宝创业板人工智能交易型开放式指数证券投资基金的开户、认购、申赎及其他业务。</w:t>
      </w:r>
      <w:r>
        <w:rPr>
          <w:rFonts w:ascii="宋体" w:eastAsia="宋体" w:hAnsi="宋体" w:cs="宋体"/>
          <w:sz w:val="21"/>
          <w:szCs w:val="21"/>
        </w:rPr>
        <w:t xml:space="preserve"> </w:t>
      </w:r>
    </w:p>
    <w:p w:rsidR="001C547A" w:rsidRDefault="00F1287A">
      <w:pPr>
        <w:spacing w:before="210" w:after="210" w:line="560" w:lineRule="atLeast"/>
        <w:ind w:left="420"/>
        <w:rPr>
          <w:sz w:val="21"/>
          <w:szCs w:val="21"/>
        </w:rPr>
      </w:pPr>
      <w:r>
        <w:rPr>
          <w:rFonts w:ascii="宋体" w:eastAsia="宋体" w:hAnsi="宋体" w:cs="宋体"/>
          <w:sz w:val="21"/>
          <w:szCs w:val="21"/>
        </w:rPr>
        <w:t>投资者可通过以下途径咨询具体业务：</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）万联证券股份有限公司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95322</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www.wlzq.cn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）长城证券股份有限公司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95514</w:t>
      </w:r>
      <w:r>
        <w:rPr>
          <w:rFonts w:ascii="宋体" w:eastAsia="宋体" w:hAnsi="宋体" w:cs="宋体"/>
          <w:sz w:val="21"/>
          <w:szCs w:val="21"/>
        </w:rPr>
        <w:t>；</w:t>
      </w:r>
      <w:r>
        <w:rPr>
          <w:rFonts w:ascii="宋体" w:eastAsia="宋体" w:hAnsi="宋体" w:cs="宋体"/>
          <w:sz w:val="21"/>
          <w:szCs w:val="21"/>
        </w:rPr>
        <w:t>4006666888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www.cgws.com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）东北证券股份有限公司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95360</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www.nesc.cn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4</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w:t>
      </w:r>
      <w:r>
        <w:rPr>
          <w:rFonts w:ascii="宋体" w:eastAsia="宋体" w:hAnsi="宋体" w:cs="宋体"/>
          <w:sz w:val="21"/>
          <w:szCs w:val="21"/>
        </w:rPr>
        <w:t>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1C547A" w:rsidRDefault="00F1287A">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1C547A" w:rsidRDefault="00F1287A">
      <w:pPr>
        <w:spacing w:before="210" w:after="210" w:line="560" w:lineRule="atLeast"/>
        <w:rPr>
          <w:sz w:val="21"/>
          <w:szCs w:val="21"/>
        </w:rPr>
      </w:pPr>
      <w:r>
        <w:rPr>
          <w:rFonts w:ascii="宋体" w:eastAsia="宋体" w:hAnsi="宋体" w:cs="宋体"/>
          <w:sz w:val="21"/>
          <w:szCs w:val="21"/>
        </w:rPr>
        <w:lastRenderedPageBreak/>
        <w:t>  </w:t>
      </w:r>
      <w:r>
        <w:rPr>
          <w:rFonts w:ascii="宋体" w:eastAsia="宋体" w:hAnsi="宋体" w:cs="宋体"/>
          <w:sz w:val="21"/>
          <w:szCs w:val="21"/>
        </w:rPr>
        <w:t>特此公告。</w:t>
      </w:r>
      <w:r>
        <w:rPr>
          <w:rFonts w:ascii="宋体" w:eastAsia="宋体" w:hAnsi="宋体" w:cs="宋体"/>
          <w:sz w:val="21"/>
          <w:szCs w:val="21"/>
        </w:rPr>
        <w:t xml:space="preserve"> </w:t>
      </w:r>
    </w:p>
    <w:p w:rsidR="001C547A" w:rsidRDefault="00F1287A">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19</w:t>
      </w:r>
      <w:r>
        <w:rPr>
          <w:rFonts w:ascii="宋体" w:eastAsia="宋体" w:hAnsi="宋体" w:cs="宋体"/>
          <w:sz w:val="21"/>
          <w:szCs w:val="21"/>
        </w:rPr>
        <w:t>日</w:t>
      </w:r>
      <w:r>
        <w:rPr>
          <w:rFonts w:ascii="宋体" w:eastAsia="宋体" w:hAnsi="宋体" w:cs="宋体"/>
          <w:sz w:val="21"/>
          <w:szCs w:val="21"/>
        </w:rPr>
        <w:t xml:space="preserve"> </w:t>
      </w:r>
    </w:p>
    <w:p w:rsidR="001C547A" w:rsidRDefault="001C547A">
      <w:pPr>
        <w:spacing w:before="240" w:after="240"/>
      </w:pPr>
    </w:p>
    <w:sectPr w:rsidR="001C547A" w:rsidSect="001C547A">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47A" w:rsidRDefault="001C547A" w:rsidP="001C547A">
      <w:r>
        <w:separator/>
      </w:r>
    </w:p>
  </w:endnote>
  <w:endnote w:type="continuationSeparator" w:id="0">
    <w:p w:rsidR="001C547A" w:rsidRDefault="001C547A" w:rsidP="001C5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7A" w:rsidRDefault="001C547A">
    <w:pPr>
      <w:jc w:val="center"/>
      <w:rPr>
        <w:sz w:val="20"/>
      </w:rPr>
    </w:pPr>
    <w:r>
      <w:rPr>
        <w:sz w:val="20"/>
      </w:rPr>
      <w:fldChar w:fldCharType="begin"/>
    </w:r>
    <w:r w:rsidR="00F1287A">
      <w:rPr>
        <w:rFonts w:ascii="宋体" w:eastAsia="宋体" w:hAnsi="宋体" w:cs="宋体"/>
        <w:sz w:val="20"/>
      </w:rPr>
      <w:instrText>PAGE</w:instrText>
    </w:r>
    <w:r>
      <w:rPr>
        <w:sz w:val="20"/>
      </w:rPr>
      <w:fldChar w:fldCharType="separate"/>
    </w:r>
    <w:r w:rsidR="00F1287A">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47A" w:rsidRDefault="001C547A" w:rsidP="001C547A">
      <w:r>
        <w:separator/>
      </w:r>
    </w:p>
  </w:footnote>
  <w:footnote w:type="continuationSeparator" w:id="0">
    <w:p w:rsidR="001C547A" w:rsidRDefault="001C547A" w:rsidP="001C5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C547A"/>
    <w:rsid w:val="00A77B3E"/>
    <w:rsid w:val="00CA2A55"/>
    <w:rsid w:val="00F12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47A"/>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2024-12-18T16:01:00Z</dcterms:created>
  <dcterms:modified xsi:type="dcterms:W3CDTF">2024-12-18T16:01:00Z</dcterms:modified>
</cp:coreProperties>
</file>