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7C6" w:rsidRDefault="00DF148F">
      <w:pPr>
        <w:spacing w:line="360" w:lineRule="auto"/>
        <w:jc w:val="center"/>
        <w:rPr>
          <w:b/>
          <w:bCs/>
          <w:color w:val="000000"/>
          <w:sz w:val="28"/>
          <w:szCs w:val="21"/>
        </w:rPr>
      </w:pPr>
      <w:r>
        <w:rPr>
          <w:b/>
          <w:bCs/>
          <w:color w:val="000000"/>
          <w:sz w:val="28"/>
          <w:szCs w:val="21"/>
        </w:rPr>
        <w:t>关于</w:t>
      </w:r>
      <w:r>
        <w:rPr>
          <w:rFonts w:hint="eastAsia"/>
          <w:b/>
          <w:bCs/>
          <w:color w:val="000000"/>
          <w:sz w:val="28"/>
          <w:szCs w:val="21"/>
        </w:rPr>
        <w:t>国泰君安信息行业混合型发起式证券投资基金</w:t>
      </w:r>
    </w:p>
    <w:p w:rsidR="004C07C6" w:rsidRDefault="00DF148F">
      <w:pPr>
        <w:spacing w:line="360" w:lineRule="auto"/>
        <w:jc w:val="center"/>
        <w:rPr>
          <w:b/>
          <w:bCs/>
          <w:color w:val="000000"/>
          <w:sz w:val="28"/>
          <w:szCs w:val="21"/>
        </w:rPr>
      </w:pPr>
      <w:r>
        <w:rPr>
          <w:rFonts w:hint="eastAsia"/>
          <w:b/>
          <w:bCs/>
          <w:color w:val="000000"/>
          <w:sz w:val="28"/>
          <w:szCs w:val="21"/>
        </w:rPr>
        <w:t>可能触发基金合同终止情形的</w:t>
      </w:r>
      <w:r>
        <w:rPr>
          <w:rFonts w:hint="eastAsia"/>
          <w:b/>
          <w:bCs/>
          <w:color w:val="000000"/>
          <w:sz w:val="28"/>
          <w:szCs w:val="21"/>
        </w:rPr>
        <w:t>第</w:t>
      </w:r>
      <w:r>
        <w:rPr>
          <w:rFonts w:hint="eastAsia"/>
          <w:b/>
          <w:bCs/>
          <w:color w:val="000000"/>
          <w:sz w:val="28"/>
          <w:szCs w:val="21"/>
        </w:rPr>
        <w:t>三</w:t>
      </w:r>
      <w:r>
        <w:rPr>
          <w:rFonts w:hint="eastAsia"/>
          <w:b/>
          <w:bCs/>
          <w:color w:val="000000"/>
          <w:sz w:val="28"/>
          <w:szCs w:val="21"/>
        </w:rPr>
        <w:t>次</w:t>
      </w:r>
      <w:r>
        <w:rPr>
          <w:rFonts w:hint="eastAsia"/>
          <w:b/>
          <w:bCs/>
          <w:color w:val="000000"/>
          <w:sz w:val="28"/>
          <w:szCs w:val="21"/>
        </w:rPr>
        <w:t>提示性公告</w:t>
      </w:r>
    </w:p>
    <w:p w:rsidR="004C07C6" w:rsidRDefault="00DF148F">
      <w:pPr>
        <w:autoSpaceDE w:val="0"/>
        <w:autoSpaceDN w:val="0"/>
        <w:adjustRightInd w:val="0"/>
        <w:spacing w:line="360" w:lineRule="auto"/>
        <w:jc w:val="left"/>
        <w:rPr>
          <w:rFonts w:eastAsia="宋体" w:cs="宋体"/>
          <w:kern w:val="0"/>
          <w:szCs w:val="21"/>
        </w:rPr>
      </w:pPr>
    </w:p>
    <w:p w:rsidR="004C07C6" w:rsidRDefault="00DF148F">
      <w:pPr>
        <w:autoSpaceDE w:val="0"/>
        <w:autoSpaceDN w:val="0"/>
        <w:adjustRightInd w:val="0"/>
        <w:spacing w:line="360" w:lineRule="auto"/>
        <w:ind w:firstLineChars="200" w:firstLine="420"/>
        <w:jc w:val="left"/>
        <w:rPr>
          <w:rFonts w:eastAsia="宋体" w:cs="宋体"/>
          <w:kern w:val="0"/>
          <w:szCs w:val="21"/>
        </w:rPr>
      </w:pPr>
      <w:r>
        <w:rPr>
          <w:rFonts w:eastAsia="宋体" w:cs="宋体"/>
          <w:kern w:val="0"/>
          <w:szCs w:val="21"/>
        </w:rPr>
        <w:t>根据《中华人民共和国证券投资基金法》、《公开募集证券投资基金运作管理办法》、《</w:t>
      </w:r>
      <w:r>
        <w:rPr>
          <w:rFonts w:eastAsia="宋体" w:cs="宋体" w:hint="eastAsia"/>
          <w:kern w:val="0"/>
          <w:szCs w:val="21"/>
        </w:rPr>
        <w:t>国泰君安信息行业混合型发起式证券投资基金</w:t>
      </w:r>
      <w:r>
        <w:rPr>
          <w:rFonts w:eastAsia="宋体" w:cs="宋体"/>
          <w:kern w:val="0"/>
          <w:szCs w:val="21"/>
        </w:rPr>
        <w:t>基金合同》（以下简称</w:t>
      </w:r>
      <w:r>
        <w:rPr>
          <w:rFonts w:eastAsia="宋体" w:cs="宋体" w:hint="eastAsia"/>
          <w:kern w:val="0"/>
          <w:szCs w:val="21"/>
        </w:rPr>
        <w:t>“《</w:t>
      </w:r>
      <w:r>
        <w:rPr>
          <w:rFonts w:eastAsia="宋体" w:cs="宋体"/>
          <w:kern w:val="0"/>
          <w:szCs w:val="21"/>
        </w:rPr>
        <w:t>基金合同》</w:t>
      </w:r>
      <w:r>
        <w:rPr>
          <w:rFonts w:eastAsia="宋体" w:cs="宋体" w:hint="eastAsia"/>
          <w:kern w:val="0"/>
          <w:szCs w:val="21"/>
        </w:rPr>
        <w:t>”</w:t>
      </w:r>
      <w:r>
        <w:rPr>
          <w:rFonts w:asciiTheme="minorEastAsia" w:hAnsiTheme="minorEastAsia" w:cs="宋体" w:hint="eastAsia"/>
          <w:kern w:val="0"/>
          <w:szCs w:val="21"/>
        </w:rPr>
        <w:t xml:space="preserve"> </w:t>
      </w:r>
      <w:r>
        <w:rPr>
          <w:rFonts w:asciiTheme="minorEastAsia" w:hAnsiTheme="minorEastAsia" w:cs="宋体" w:hint="eastAsia"/>
          <w:kern w:val="0"/>
          <w:szCs w:val="21"/>
        </w:rPr>
        <w:t>或“基金合同”</w:t>
      </w:r>
      <w:r>
        <w:rPr>
          <w:rFonts w:eastAsia="宋体" w:cs="宋体"/>
          <w:kern w:val="0"/>
          <w:szCs w:val="21"/>
        </w:rPr>
        <w:t>）的有关规定，</w:t>
      </w:r>
      <w:r>
        <w:rPr>
          <w:rFonts w:eastAsia="宋体" w:cs="宋体" w:hint="eastAsia"/>
          <w:kern w:val="0"/>
          <w:szCs w:val="21"/>
        </w:rPr>
        <w:t>国泰君安信息行业混合型发起式证券投资基金</w:t>
      </w:r>
      <w:r>
        <w:rPr>
          <w:rFonts w:eastAsia="宋体" w:cs="宋体"/>
          <w:kern w:val="0"/>
          <w:szCs w:val="21"/>
        </w:rPr>
        <w:t>（以下简称</w:t>
      </w:r>
      <w:r>
        <w:rPr>
          <w:rFonts w:eastAsia="宋体" w:cs="宋体" w:hint="eastAsia"/>
          <w:kern w:val="0"/>
          <w:szCs w:val="21"/>
        </w:rPr>
        <w:t>“</w:t>
      </w:r>
      <w:r>
        <w:rPr>
          <w:rFonts w:eastAsia="宋体" w:cs="宋体"/>
          <w:kern w:val="0"/>
          <w:szCs w:val="21"/>
        </w:rPr>
        <w:t>本基金</w:t>
      </w:r>
      <w:r>
        <w:rPr>
          <w:rFonts w:eastAsia="宋体" w:cs="宋体" w:hint="eastAsia"/>
          <w:kern w:val="0"/>
          <w:szCs w:val="21"/>
        </w:rPr>
        <w:t>”</w:t>
      </w:r>
      <w:r>
        <w:rPr>
          <w:rFonts w:eastAsia="宋体" w:cs="宋体" w:hint="eastAsia"/>
          <w:kern w:val="0"/>
          <w:szCs w:val="21"/>
        </w:rPr>
        <w:t>，</w:t>
      </w:r>
      <w:r>
        <w:rPr>
          <w:rFonts w:eastAsia="宋体" w:cs="宋体" w:hint="eastAsia"/>
          <w:kern w:val="0"/>
          <w:szCs w:val="21"/>
        </w:rPr>
        <w:t>基金代码：</w:t>
      </w:r>
      <w:r w:rsidRPr="002A24A2">
        <w:rPr>
          <w:rFonts w:eastAsia="宋体" w:cs="宋体"/>
          <w:kern w:val="0"/>
          <w:szCs w:val="21"/>
        </w:rPr>
        <w:t>013903</w:t>
      </w:r>
      <w:r>
        <w:rPr>
          <w:rFonts w:eastAsia="宋体" w:cs="宋体"/>
          <w:kern w:val="0"/>
          <w:szCs w:val="21"/>
        </w:rPr>
        <w:t>）</w:t>
      </w:r>
      <w:r>
        <w:rPr>
          <w:rFonts w:eastAsia="宋体" w:cs="宋体" w:hint="eastAsia"/>
          <w:kern w:val="0"/>
          <w:szCs w:val="21"/>
        </w:rPr>
        <w:t>可能触发基金合同终止情形</w:t>
      </w:r>
      <w:r>
        <w:rPr>
          <w:rFonts w:eastAsia="宋体" w:cs="宋体"/>
          <w:kern w:val="0"/>
          <w:szCs w:val="21"/>
        </w:rPr>
        <w:t>。现将相关事宜公告如下：</w:t>
      </w:r>
    </w:p>
    <w:p w:rsidR="004C07C6" w:rsidRDefault="00DF148F">
      <w:pPr>
        <w:autoSpaceDE w:val="0"/>
        <w:autoSpaceDN w:val="0"/>
        <w:adjustRightInd w:val="0"/>
        <w:spacing w:line="360" w:lineRule="auto"/>
        <w:ind w:firstLineChars="200" w:firstLine="420"/>
        <w:jc w:val="left"/>
        <w:rPr>
          <w:rFonts w:eastAsia="宋体" w:cs="宋体"/>
          <w:kern w:val="0"/>
          <w:szCs w:val="21"/>
        </w:rPr>
      </w:pPr>
    </w:p>
    <w:p w:rsidR="004C07C6" w:rsidRDefault="00DF148F" w:rsidP="00DF148F">
      <w:pPr>
        <w:autoSpaceDE w:val="0"/>
        <w:autoSpaceDN w:val="0"/>
        <w:adjustRightInd w:val="0"/>
        <w:spacing w:line="360" w:lineRule="auto"/>
        <w:ind w:firstLineChars="200" w:firstLine="422"/>
        <w:jc w:val="left"/>
        <w:rPr>
          <w:rFonts w:eastAsia="宋体" w:cs="宋体"/>
          <w:b/>
          <w:kern w:val="0"/>
          <w:szCs w:val="21"/>
        </w:rPr>
      </w:pPr>
      <w:r>
        <w:rPr>
          <w:rFonts w:eastAsia="宋体" w:cs="宋体"/>
          <w:b/>
          <w:kern w:val="0"/>
          <w:szCs w:val="21"/>
        </w:rPr>
        <w:t>一、本基金基本信息</w:t>
      </w:r>
    </w:p>
    <w:p w:rsidR="004C07C6" w:rsidRDefault="00DF148F">
      <w:pPr>
        <w:autoSpaceDE w:val="0"/>
        <w:autoSpaceDN w:val="0"/>
        <w:adjustRightInd w:val="0"/>
        <w:spacing w:line="360" w:lineRule="auto"/>
        <w:ind w:firstLineChars="200" w:firstLine="420"/>
        <w:jc w:val="left"/>
        <w:rPr>
          <w:rFonts w:eastAsia="宋体" w:cs="宋体"/>
          <w:kern w:val="0"/>
          <w:szCs w:val="21"/>
        </w:rPr>
      </w:pPr>
      <w:r>
        <w:rPr>
          <w:rFonts w:eastAsia="宋体" w:cs="宋体" w:hint="eastAsia"/>
          <w:kern w:val="0"/>
          <w:szCs w:val="21"/>
        </w:rPr>
        <w:t>基金名称：国泰君安信息行业混合型发起式证券投资基金</w:t>
      </w:r>
    </w:p>
    <w:p w:rsidR="004C07C6" w:rsidRDefault="00DF148F">
      <w:pPr>
        <w:autoSpaceDE w:val="0"/>
        <w:autoSpaceDN w:val="0"/>
        <w:adjustRightInd w:val="0"/>
        <w:spacing w:line="360" w:lineRule="auto"/>
        <w:ind w:firstLineChars="200" w:firstLine="420"/>
        <w:jc w:val="left"/>
        <w:rPr>
          <w:rFonts w:eastAsia="宋体" w:cs="宋体"/>
          <w:kern w:val="0"/>
          <w:szCs w:val="21"/>
        </w:rPr>
      </w:pPr>
      <w:r>
        <w:rPr>
          <w:rFonts w:eastAsia="宋体" w:cs="宋体" w:hint="eastAsia"/>
          <w:kern w:val="0"/>
          <w:szCs w:val="21"/>
        </w:rPr>
        <w:t>基金简称：国泰君安信息行业混合发起</w:t>
      </w:r>
    </w:p>
    <w:p w:rsidR="004C07C6" w:rsidRDefault="00DF148F">
      <w:pPr>
        <w:autoSpaceDE w:val="0"/>
        <w:autoSpaceDN w:val="0"/>
        <w:adjustRightInd w:val="0"/>
        <w:spacing w:line="360" w:lineRule="auto"/>
        <w:ind w:firstLineChars="200" w:firstLine="420"/>
        <w:jc w:val="left"/>
        <w:rPr>
          <w:rFonts w:eastAsia="宋体" w:cs="宋体"/>
          <w:kern w:val="0"/>
          <w:szCs w:val="21"/>
        </w:rPr>
      </w:pPr>
      <w:r>
        <w:rPr>
          <w:rFonts w:eastAsia="宋体" w:cs="宋体" w:hint="eastAsia"/>
          <w:kern w:val="0"/>
          <w:szCs w:val="21"/>
        </w:rPr>
        <w:t>基金代码：</w:t>
      </w:r>
      <w:r>
        <w:rPr>
          <w:rFonts w:eastAsia="宋体" w:cs="宋体" w:hint="eastAsia"/>
          <w:kern w:val="0"/>
          <w:szCs w:val="21"/>
        </w:rPr>
        <w:t>013903</w:t>
      </w:r>
    </w:p>
    <w:p w:rsidR="004C07C6" w:rsidRDefault="00DF148F">
      <w:pPr>
        <w:autoSpaceDE w:val="0"/>
        <w:autoSpaceDN w:val="0"/>
        <w:adjustRightInd w:val="0"/>
        <w:spacing w:line="360" w:lineRule="auto"/>
        <w:ind w:firstLineChars="200" w:firstLine="420"/>
        <w:jc w:val="left"/>
        <w:rPr>
          <w:rFonts w:eastAsia="宋体" w:cs="宋体"/>
          <w:kern w:val="0"/>
          <w:szCs w:val="21"/>
        </w:rPr>
      </w:pPr>
      <w:r>
        <w:rPr>
          <w:rFonts w:eastAsia="宋体" w:cs="宋体" w:hint="eastAsia"/>
          <w:kern w:val="0"/>
          <w:szCs w:val="21"/>
        </w:rPr>
        <w:t>基金运作方式：契约型开放式</w:t>
      </w:r>
    </w:p>
    <w:p w:rsidR="004C07C6" w:rsidRDefault="00DF148F">
      <w:pPr>
        <w:autoSpaceDE w:val="0"/>
        <w:autoSpaceDN w:val="0"/>
        <w:adjustRightInd w:val="0"/>
        <w:spacing w:line="360" w:lineRule="auto"/>
        <w:jc w:val="left"/>
        <w:rPr>
          <w:rFonts w:eastAsia="宋体" w:cs="宋体"/>
          <w:kern w:val="0"/>
          <w:szCs w:val="21"/>
        </w:rPr>
      </w:pPr>
      <w:r>
        <w:rPr>
          <w:rFonts w:eastAsia="宋体" w:cs="宋体"/>
          <w:kern w:val="0"/>
          <w:szCs w:val="21"/>
        </w:rPr>
        <w:tab/>
      </w:r>
      <w:r>
        <w:rPr>
          <w:rFonts w:eastAsia="宋体" w:cs="宋体" w:hint="eastAsia"/>
          <w:kern w:val="0"/>
          <w:szCs w:val="21"/>
        </w:rPr>
        <w:t>基金合同生效日：</w:t>
      </w:r>
      <w:r>
        <w:rPr>
          <w:rFonts w:eastAsia="宋体" w:cs="宋体" w:hint="eastAsia"/>
          <w:kern w:val="0"/>
          <w:szCs w:val="21"/>
        </w:rPr>
        <w:t>2021</w:t>
      </w:r>
      <w:r>
        <w:rPr>
          <w:rFonts w:eastAsia="宋体" w:cs="宋体" w:hint="eastAsia"/>
          <w:kern w:val="0"/>
          <w:szCs w:val="21"/>
        </w:rPr>
        <w:t>年</w:t>
      </w:r>
      <w:r>
        <w:rPr>
          <w:rFonts w:eastAsia="宋体" w:cs="宋体" w:hint="eastAsia"/>
          <w:kern w:val="0"/>
          <w:szCs w:val="21"/>
        </w:rPr>
        <w:t>12</w:t>
      </w:r>
      <w:r>
        <w:rPr>
          <w:rFonts w:eastAsia="宋体" w:cs="宋体" w:hint="eastAsia"/>
          <w:kern w:val="0"/>
          <w:szCs w:val="21"/>
        </w:rPr>
        <w:t>月</w:t>
      </w:r>
      <w:r>
        <w:rPr>
          <w:rFonts w:eastAsia="宋体" w:cs="宋体" w:hint="eastAsia"/>
          <w:kern w:val="0"/>
          <w:szCs w:val="21"/>
        </w:rPr>
        <w:t>24</w:t>
      </w:r>
      <w:r>
        <w:rPr>
          <w:rFonts w:eastAsia="宋体" w:cs="宋体" w:hint="eastAsia"/>
          <w:kern w:val="0"/>
          <w:szCs w:val="21"/>
        </w:rPr>
        <w:t>日</w:t>
      </w:r>
    </w:p>
    <w:p w:rsidR="004C07C6" w:rsidRDefault="00DF148F">
      <w:pPr>
        <w:autoSpaceDE w:val="0"/>
        <w:autoSpaceDN w:val="0"/>
        <w:adjustRightInd w:val="0"/>
        <w:spacing w:line="360" w:lineRule="auto"/>
        <w:ind w:firstLineChars="200" w:firstLine="420"/>
        <w:jc w:val="left"/>
        <w:rPr>
          <w:rFonts w:eastAsia="宋体" w:cs="宋体"/>
          <w:kern w:val="0"/>
          <w:szCs w:val="21"/>
        </w:rPr>
      </w:pPr>
      <w:r>
        <w:rPr>
          <w:rFonts w:eastAsia="宋体" w:cs="宋体" w:hint="eastAsia"/>
          <w:kern w:val="0"/>
          <w:szCs w:val="21"/>
        </w:rPr>
        <w:t>基金管理人名称：上海国泰君安证券资产管理有限公司</w:t>
      </w:r>
    </w:p>
    <w:p w:rsidR="004C07C6" w:rsidRDefault="00DF148F">
      <w:pPr>
        <w:autoSpaceDE w:val="0"/>
        <w:autoSpaceDN w:val="0"/>
        <w:adjustRightInd w:val="0"/>
        <w:spacing w:line="360" w:lineRule="auto"/>
        <w:ind w:firstLineChars="200" w:firstLine="420"/>
        <w:jc w:val="left"/>
        <w:rPr>
          <w:rFonts w:eastAsia="宋体" w:cs="宋体"/>
          <w:kern w:val="0"/>
          <w:szCs w:val="21"/>
        </w:rPr>
      </w:pPr>
      <w:r>
        <w:rPr>
          <w:rFonts w:eastAsia="宋体" w:cs="宋体" w:hint="eastAsia"/>
          <w:kern w:val="0"/>
          <w:szCs w:val="21"/>
        </w:rPr>
        <w:t>基金托管人名称：兴业银行股份有限公司</w:t>
      </w:r>
    </w:p>
    <w:p w:rsidR="004C07C6" w:rsidRDefault="00DF148F" w:rsidP="00DF148F">
      <w:pPr>
        <w:autoSpaceDE w:val="0"/>
        <w:autoSpaceDN w:val="0"/>
        <w:adjustRightInd w:val="0"/>
        <w:spacing w:line="360" w:lineRule="auto"/>
        <w:ind w:firstLineChars="200" w:firstLine="422"/>
        <w:jc w:val="left"/>
        <w:rPr>
          <w:rFonts w:eastAsia="宋体" w:cs="宋体"/>
          <w:b/>
          <w:kern w:val="0"/>
          <w:szCs w:val="21"/>
        </w:rPr>
      </w:pPr>
      <w:r>
        <w:rPr>
          <w:rFonts w:eastAsia="宋体" w:cs="宋体"/>
          <w:b/>
          <w:kern w:val="0"/>
          <w:szCs w:val="21"/>
        </w:rPr>
        <w:t>二、</w:t>
      </w:r>
      <w:r>
        <w:rPr>
          <w:rFonts w:eastAsia="宋体" w:cs="宋体" w:hint="eastAsia"/>
          <w:b/>
          <w:kern w:val="0"/>
          <w:szCs w:val="21"/>
        </w:rPr>
        <w:t>可能触发基金合同终止的情形说明</w:t>
      </w:r>
    </w:p>
    <w:p w:rsidR="004C07C6" w:rsidRDefault="00DF148F">
      <w:pPr>
        <w:autoSpaceDE w:val="0"/>
        <w:autoSpaceDN w:val="0"/>
        <w:adjustRightInd w:val="0"/>
        <w:spacing w:line="360" w:lineRule="auto"/>
        <w:ind w:firstLineChars="200" w:firstLine="420"/>
        <w:jc w:val="left"/>
        <w:rPr>
          <w:rFonts w:eastAsia="宋体" w:cs="宋体"/>
          <w:kern w:val="0"/>
          <w:szCs w:val="21"/>
        </w:rPr>
      </w:pPr>
      <w:r>
        <w:rPr>
          <w:rFonts w:eastAsia="宋体" w:cs="宋体"/>
          <w:kern w:val="0"/>
          <w:szCs w:val="21"/>
        </w:rPr>
        <w:t>根据《基金合同》第五部分</w:t>
      </w:r>
      <w:r>
        <w:rPr>
          <w:rFonts w:eastAsia="宋体" w:cs="宋体" w:hint="eastAsia"/>
          <w:kern w:val="0"/>
          <w:szCs w:val="21"/>
        </w:rPr>
        <w:t>“基金备案”中的</w:t>
      </w:r>
      <w:r>
        <w:rPr>
          <w:rFonts w:eastAsia="宋体" w:cs="宋体"/>
          <w:kern w:val="0"/>
          <w:szCs w:val="21"/>
        </w:rPr>
        <w:t>约定：</w:t>
      </w:r>
      <w:r>
        <w:rPr>
          <w:rFonts w:eastAsia="宋体" w:cs="宋体" w:hint="eastAsia"/>
          <w:kern w:val="0"/>
          <w:szCs w:val="21"/>
        </w:rPr>
        <w:t>“《基金合同》生效之日起</w:t>
      </w:r>
      <w:r>
        <w:rPr>
          <w:rFonts w:eastAsia="宋体" w:cs="宋体" w:hint="eastAsia"/>
          <w:kern w:val="0"/>
          <w:szCs w:val="21"/>
        </w:rPr>
        <w:t>3</w:t>
      </w:r>
      <w:r>
        <w:rPr>
          <w:rFonts w:eastAsia="宋体" w:cs="宋体" w:hint="eastAsia"/>
          <w:kern w:val="0"/>
          <w:szCs w:val="21"/>
        </w:rPr>
        <w:t>年后的对应日，若基金资产净值低于</w:t>
      </w:r>
      <w:r>
        <w:rPr>
          <w:rFonts w:eastAsia="宋体" w:cs="宋体" w:hint="eastAsia"/>
          <w:kern w:val="0"/>
          <w:szCs w:val="21"/>
        </w:rPr>
        <w:t>2</w:t>
      </w:r>
      <w:r>
        <w:rPr>
          <w:rFonts w:eastAsia="宋体" w:cs="宋体" w:hint="eastAsia"/>
          <w:kern w:val="0"/>
          <w:szCs w:val="21"/>
        </w:rPr>
        <w:t>亿元，《基金合同》自动终止，且不得通过召开基金份额持有人大会的方式延续基金合同期限。</w:t>
      </w:r>
      <w:r w:rsidRPr="005720F3">
        <w:rPr>
          <w:rFonts w:eastAsia="宋体" w:cs="宋体" w:hint="eastAsia"/>
          <w:kern w:val="0"/>
          <w:szCs w:val="21"/>
        </w:rPr>
        <w:t>若届时的法律法规或中国证监会规定发生变化，上述终止规定被取消、更改或</w:t>
      </w:r>
      <w:r w:rsidRPr="005720F3">
        <w:rPr>
          <w:rFonts w:eastAsia="宋体" w:cs="宋体" w:hint="eastAsia"/>
          <w:kern w:val="0"/>
          <w:szCs w:val="21"/>
        </w:rPr>
        <w:t>补充时，则本基金可以参照届时有效的法律法规或中国证监会规定执行。</w:t>
      </w:r>
      <w:r>
        <w:rPr>
          <w:rFonts w:eastAsia="宋体" w:cs="宋体" w:hint="eastAsia"/>
          <w:kern w:val="0"/>
          <w:szCs w:val="21"/>
        </w:rPr>
        <w:t>”</w:t>
      </w:r>
    </w:p>
    <w:p w:rsidR="004C07C6" w:rsidRDefault="00DF148F" w:rsidP="004316C9">
      <w:pPr>
        <w:autoSpaceDE w:val="0"/>
        <w:autoSpaceDN w:val="0"/>
        <w:adjustRightInd w:val="0"/>
        <w:spacing w:line="360" w:lineRule="auto"/>
        <w:ind w:firstLineChars="200" w:firstLine="420"/>
        <w:jc w:val="left"/>
        <w:rPr>
          <w:rFonts w:eastAsia="宋体" w:cs="宋体"/>
          <w:kern w:val="0"/>
          <w:szCs w:val="21"/>
        </w:rPr>
      </w:pPr>
      <w:r w:rsidRPr="005720F3">
        <w:rPr>
          <w:rFonts w:eastAsia="宋体" w:cs="宋体" w:hint="eastAsia"/>
          <w:kern w:val="0"/>
          <w:szCs w:val="21"/>
        </w:rPr>
        <w:t>本基金的基金合同生效日为</w:t>
      </w:r>
      <w:r w:rsidRPr="005720F3">
        <w:rPr>
          <w:rFonts w:eastAsia="宋体" w:cs="宋体" w:hint="eastAsia"/>
          <w:kern w:val="0"/>
          <w:szCs w:val="21"/>
        </w:rPr>
        <w:t>2021</w:t>
      </w:r>
      <w:r w:rsidRPr="005720F3">
        <w:rPr>
          <w:rFonts w:eastAsia="宋体" w:cs="宋体" w:hint="eastAsia"/>
          <w:kern w:val="0"/>
          <w:szCs w:val="21"/>
        </w:rPr>
        <w:t>年</w:t>
      </w:r>
      <w:r w:rsidRPr="005720F3">
        <w:rPr>
          <w:rFonts w:eastAsia="宋体" w:cs="宋体" w:hint="eastAsia"/>
          <w:kern w:val="0"/>
          <w:szCs w:val="21"/>
        </w:rPr>
        <w:t>12</w:t>
      </w:r>
      <w:r w:rsidRPr="005720F3">
        <w:rPr>
          <w:rFonts w:eastAsia="宋体" w:cs="宋体" w:hint="eastAsia"/>
          <w:kern w:val="0"/>
          <w:szCs w:val="21"/>
        </w:rPr>
        <w:t>月</w:t>
      </w:r>
      <w:r>
        <w:rPr>
          <w:rFonts w:eastAsia="宋体" w:cs="宋体" w:hint="eastAsia"/>
          <w:kern w:val="0"/>
          <w:szCs w:val="21"/>
        </w:rPr>
        <w:t>24</w:t>
      </w:r>
      <w:r w:rsidRPr="005720F3">
        <w:rPr>
          <w:rFonts w:eastAsia="宋体" w:cs="宋体" w:hint="eastAsia"/>
          <w:kern w:val="0"/>
          <w:szCs w:val="21"/>
        </w:rPr>
        <w:t>日，基金合同生效之日起</w:t>
      </w:r>
      <w:r>
        <w:rPr>
          <w:rFonts w:eastAsia="宋体" w:cs="宋体" w:hint="eastAsia"/>
          <w:kern w:val="0"/>
          <w:szCs w:val="21"/>
        </w:rPr>
        <w:t>3</w:t>
      </w:r>
      <w:r w:rsidRPr="005720F3">
        <w:rPr>
          <w:rFonts w:eastAsia="宋体" w:cs="宋体" w:hint="eastAsia"/>
          <w:kern w:val="0"/>
          <w:szCs w:val="21"/>
        </w:rPr>
        <w:t>年后的对应日为</w:t>
      </w:r>
      <w:r w:rsidRPr="005720F3">
        <w:rPr>
          <w:rFonts w:eastAsia="宋体" w:cs="宋体" w:hint="eastAsia"/>
          <w:kern w:val="0"/>
          <w:szCs w:val="21"/>
        </w:rPr>
        <w:t>2024</w:t>
      </w:r>
      <w:r w:rsidRPr="005720F3">
        <w:rPr>
          <w:rFonts w:eastAsia="宋体" w:cs="宋体" w:hint="eastAsia"/>
          <w:kern w:val="0"/>
          <w:szCs w:val="21"/>
        </w:rPr>
        <w:t>年</w:t>
      </w:r>
      <w:r w:rsidRPr="005720F3">
        <w:rPr>
          <w:rFonts w:eastAsia="宋体" w:cs="宋体" w:hint="eastAsia"/>
          <w:kern w:val="0"/>
          <w:szCs w:val="21"/>
        </w:rPr>
        <w:t>12</w:t>
      </w:r>
      <w:r w:rsidRPr="005720F3">
        <w:rPr>
          <w:rFonts w:eastAsia="宋体" w:cs="宋体" w:hint="eastAsia"/>
          <w:kern w:val="0"/>
          <w:szCs w:val="21"/>
        </w:rPr>
        <w:t>月</w:t>
      </w:r>
      <w:r>
        <w:rPr>
          <w:rFonts w:eastAsia="宋体" w:cs="宋体" w:hint="eastAsia"/>
          <w:kern w:val="0"/>
          <w:szCs w:val="21"/>
        </w:rPr>
        <w:t>24</w:t>
      </w:r>
      <w:r w:rsidRPr="005720F3">
        <w:rPr>
          <w:rFonts w:eastAsia="宋体" w:cs="宋体" w:hint="eastAsia"/>
          <w:kern w:val="0"/>
          <w:szCs w:val="21"/>
        </w:rPr>
        <w:t>日。</w:t>
      </w:r>
      <w:r>
        <w:rPr>
          <w:rFonts w:eastAsia="宋体" w:cs="宋体" w:hint="eastAsia"/>
          <w:kern w:val="0"/>
          <w:szCs w:val="21"/>
        </w:rPr>
        <w:t>若截至</w:t>
      </w:r>
      <w:r>
        <w:rPr>
          <w:rFonts w:eastAsia="宋体" w:cs="宋体"/>
          <w:kern w:val="0"/>
          <w:szCs w:val="21"/>
        </w:rPr>
        <w:t>202</w:t>
      </w:r>
      <w:r>
        <w:rPr>
          <w:rFonts w:eastAsia="宋体" w:cs="宋体" w:hint="eastAsia"/>
          <w:kern w:val="0"/>
          <w:szCs w:val="21"/>
        </w:rPr>
        <w:t>4</w:t>
      </w:r>
      <w:r>
        <w:rPr>
          <w:rFonts w:eastAsia="宋体" w:cs="宋体" w:hint="eastAsia"/>
          <w:kern w:val="0"/>
          <w:szCs w:val="21"/>
        </w:rPr>
        <w:t>年</w:t>
      </w:r>
      <w:r>
        <w:rPr>
          <w:rFonts w:eastAsia="宋体" w:cs="宋体" w:hint="eastAsia"/>
          <w:kern w:val="0"/>
          <w:szCs w:val="21"/>
        </w:rPr>
        <w:t>12</w:t>
      </w:r>
      <w:r>
        <w:rPr>
          <w:rFonts w:eastAsia="宋体" w:cs="宋体" w:hint="eastAsia"/>
          <w:kern w:val="0"/>
          <w:szCs w:val="21"/>
        </w:rPr>
        <w:t>月</w:t>
      </w:r>
      <w:r>
        <w:rPr>
          <w:rFonts w:eastAsia="宋体" w:cs="宋体" w:hint="eastAsia"/>
          <w:kern w:val="0"/>
          <w:szCs w:val="21"/>
        </w:rPr>
        <w:t>2</w:t>
      </w:r>
      <w:r>
        <w:rPr>
          <w:rFonts w:eastAsia="宋体" w:cs="宋体" w:hint="eastAsia"/>
          <w:kern w:val="0"/>
          <w:szCs w:val="21"/>
        </w:rPr>
        <w:t>4</w:t>
      </w:r>
      <w:r>
        <w:rPr>
          <w:rFonts w:eastAsia="宋体" w:cs="宋体" w:hint="eastAsia"/>
          <w:kern w:val="0"/>
          <w:szCs w:val="21"/>
        </w:rPr>
        <w:t>日日终，本基金</w:t>
      </w:r>
      <w:r>
        <w:rPr>
          <w:rFonts w:eastAsia="宋体" w:cs="宋体" w:hint="eastAsia"/>
          <w:kern w:val="0"/>
          <w:szCs w:val="21"/>
        </w:rPr>
        <w:t>的</w:t>
      </w:r>
      <w:r>
        <w:rPr>
          <w:rFonts w:eastAsia="宋体" w:cs="宋体" w:hint="eastAsia"/>
          <w:kern w:val="0"/>
          <w:szCs w:val="21"/>
        </w:rPr>
        <w:t>基金资产净值低于</w:t>
      </w:r>
      <w:r>
        <w:rPr>
          <w:rFonts w:eastAsia="宋体" w:cs="宋体" w:hint="eastAsia"/>
          <w:kern w:val="0"/>
          <w:szCs w:val="21"/>
        </w:rPr>
        <w:t>2</w:t>
      </w:r>
      <w:r>
        <w:rPr>
          <w:rFonts w:eastAsia="宋体" w:cs="宋体" w:hint="eastAsia"/>
          <w:kern w:val="0"/>
          <w:szCs w:val="21"/>
        </w:rPr>
        <w:t>亿元，</w:t>
      </w:r>
      <w:r w:rsidRPr="004316C9">
        <w:rPr>
          <w:rFonts w:eastAsia="宋体" w:cs="宋体" w:hint="eastAsia"/>
          <w:kern w:val="0"/>
          <w:szCs w:val="21"/>
        </w:rPr>
        <w:t>基金管理人将按照基金合同的约定履行基金财产清算程序并终止基金合同</w:t>
      </w:r>
      <w:r>
        <w:rPr>
          <w:rFonts w:eastAsia="宋体" w:cs="宋体" w:hint="eastAsia"/>
          <w:kern w:val="0"/>
          <w:szCs w:val="21"/>
        </w:rPr>
        <w:t>，无需召开基金份额持有人大会。</w:t>
      </w:r>
    </w:p>
    <w:p w:rsidR="004C07C6" w:rsidRDefault="00DF148F" w:rsidP="00DF148F">
      <w:pPr>
        <w:autoSpaceDE w:val="0"/>
        <w:autoSpaceDN w:val="0"/>
        <w:adjustRightInd w:val="0"/>
        <w:spacing w:line="360" w:lineRule="auto"/>
        <w:ind w:firstLineChars="200" w:firstLine="422"/>
        <w:jc w:val="left"/>
        <w:rPr>
          <w:rFonts w:eastAsia="宋体" w:cs="宋体"/>
          <w:b/>
          <w:kern w:val="0"/>
          <w:szCs w:val="21"/>
        </w:rPr>
      </w:pPr>
      <w:r>
        <w:rPr>
          <w:rFonts w:eastAsia="宋体" w:cs="宋体"/>
          <w:b/>
          <w:kern w:val="0"/>
          <w:szCs w:val="21"/>
        </w:rPr>
        <w:t>三、</w:t>
      </w:r>
      <w:r>
        <w:rPr>
          <w:rFonts w:eastAsia="宋体" w:cs="宋体" w:hint="eastAsia"/>
          <w:b/>
          <w:kern w:val="0"/>
          <w:szCs w:val="21"/>
        </w:rPr>
        <w:t>其他需要提示的事项</w:t>
      </w:r>
    </w:p>
    <w:p w:rsidR="00075806" w:rsidRDefault="00DF148F" w:rsidP="00075806">
      <w:pPr>
        <w:autoSpaceDE w:val="0"/>
        <w:autoSpaceDN w:val="0"/>
        <w:adjustRightInd w:val="0"/>
        <w:spacing w:line="360" w:lineRule="auto"/>
        <w:ind w:firstLineChars="200" w:firstLine="420"/>
        <w:jc w:val="left"/>
        <w:rPr>
          <w:rFonts w:eastAsia="宋体" w:cs="宋体"/>
          <w:kern w:val="0"/>
          <w:szCs w:val="21"/>
        </w:rPr>
      </w:pPr>
      <w:r>
        <w:rPr>
          <w:rFonts w:eastAsia="宋体" w:cs="宋体" w:hint="eastAsia"/>
          <w:kern w:val="0"/>
          <w:szCs w:val="21"/>
        </w:rPr>
        <w:t>1</w:t>
      </w:r>
      <w:r>
        <w:rPr>
          <w:rFonts w:eastAsia="宋体" w:cs="宋体" w:hint="eastAsia"/>
          <w:kern w:val="0"/>
          <w:szCs w:val="21"/>
        </w:rPr>
        <w:t>、</w:t>
      </w:r>
      <w:r w:rsidRPr="00E46A5A">
        <w:rPr>
          <w:rFonts w:eastAsia="宋体" w:cs="宋体" w:hint="eastAsia"/>
          <w:kern w:val="0"/>
          <w:szCs w:val="21"/>
        </w:rPr>
        <w:t>为降低本基金可能触发基金合同终止情形对投资者的影响，</w:t>
      </w:r>
      <w:r w:rsidRPr="00075806">
        <w:rPr>
          <w:rFonts w:eastAsia="宋体" w:cs="宋体" w:hint="eastAsia"/>
          <w:kern w:val="0"/>
          <w:szCs w:val="21"/>
        </w:rPr>
        <w:t>本基金</w:t>
      </w:r>
      <w:r>
        <w:rPr>
          <w:rFonts w:eastAsia="宋体" w:cs="宋体" w:hint="eastAsia"/>
          <w:kern w:val="0"/>
          <w:szCs w:val="21"/>
        </w:rPr>
        <w:t>已于</w:t>
      </w:r>
      <w:r w:rsidRPr="00075806">
        <w:rPr>
          <w:rFonts w:eastAsia="宋体" w:cs="宋体" w:hint="eastAsia"/>
          <w:kern w:val="0"/>
          <w:szCs w:val="21"/>
        </w:rPr>
        <w:t>2024</w:t>
      </w:r>
      <w:r w:rsidRPr="00075806">
        <w:rPr>
          <w:rFonts w:eastAsia="宋体" w:cs="宋体" w:hint="eastAsia"/>
          <w:kern w:val="0"/>
          <w:szCs w:val="21"/>
        </w:rPr>
        <w:t>年</w:t>
      </w:r>
      <w:r w:rsidRPr="00075806">
        <w:rPr>
          <w:rFonts w:eastAsia="宋体" w:cs="宋体" w:hint="eastAsia"/>
          <w:kern w:val="0"/>
          <w:szCs w:val="21"/>
        </w:rPr>
        <w:t>11</w:t>
      </w:r>
      <w:r w:rsidRPr="00075806">
        <w:rPr>
          <w:rFonts w:eastAsia="宋体" w:cs="宋体" w:hint="eastAsia"/>
          <w:kern w:val="0"/>
          <w:szCs w:val="21"/>
        </w:rPr>
        <w:t>月</w:t>
      </w:r>
      <w:r>
        <w:rPr>
          <w:rFonts w:eastAsia="宋体" w:cs="宋体" w:hint="eastAsia"/>
          <w:kern w:val="0"/>
          <w:szCs w:val="21"/>
        </w:rPr>
        <w:t>22</w:t>
      </w:r>
      <w:r w:rsidRPr="00075806">
        <w:rPr>
          <w:rFonts w:eastAsia="宋体" w:cs="宋体" w:hint="eastAsia"/>
          <w:kern w:val="0"/>
          <w:szCs w:val="21"/>
        </w:rPr>
        <w:t>日起暂停申购</w:t>
      </w:r>
      <w:r w:rsidRPr="00106CAB">
        <w:rPr>
          <w:rFonts w:eastAsia="宋体" w:cs="宋体" w:hint="eastAsia"/>
          <w:kern w:val="0"/>
          <w:szCs w:val="21"/>
        </w:rPr>
        <w:t>及</w:t>
      </w:r>
      <w:r w:rsidRPr="00075806">
        <w:rPr>
          <w:rFonts w:eastAsia="宋体" w:cs="宋体" w:hint="eastAsia"/>
          <w:kern w:val="0"/>
          <w:szCs w:val="21"/>
        </w:rPr>
        <w:t>定期定额投资业务，</w:t>
      </w:r>
      <w:r w:rsidRPr="00106CAB">
        <w:rPr>
          <w:rFonts w:eastAsia="宋体" w:cs="宋体" w:hint="eastAsia"/>
          <w:kern w:val="0"/>
          <w:szCs w:val="21"/>
        </w:rPr>
        <w:t>本基金暂停办理上述相关业务期间，赎回业务按照本</w:t>
      </w:r>
      <w:r w:rsidRPr="00106CAB">
        <w:rPr>
          <w:rFonts w:eastAsia="宋体" w:cs="宋体" w:hint="eastAsia"/>
          <w:kern w:val="0"/>
          <w:szCs w:val="21"/>
        </w:rPr>
        <w:lastRenderedPageBreak/>
        <w:t>基金基金合同、招募说明书的规定正常办理。</w:t>
      </w:r>
    </w:p>
    <w:p w:rsidR="004C07C6" w:rsidRPr="008979A8" w:rsidRDefault="00DF148F" w:rsidP="009D6CEC">
      <w:pPr>
        <w:autoSpaceDE w:val="0"/>
        <w:autoSpaceDN w:val="0"/>
        <w:adjustRightInd w:val="0"/>
        <w:spacing w:line="360" w:lineRule="auto"/>
        <w:ind w:firstLineChars="200" w:firstLine="420"/>
        <w:jc w:val="left"/>
        <w:rPr>
          <w:rFonts w:eastAsia="宋体" w:cs="宋体"/>
          <w:kern w:val="0"/>
          <w:szCs w:val="21"/>
        </w:rPr>
      </w:pPr>
      <w:r>
        <w:rPr>
          <w:rFonts w:eastAsia="宋体" w:cs="宋体"/>
          <w:kern w:val="0"/>
          <w:szCs w:val="21"/>
        </w:rPr>
        <w:t>2</w:t>
      </w:r>
      <w:r>
        <w:rPr>
          <w:rFonts w:eastAsia="宋体" w:cs="宋体" w:hint="eastAsia"/>
          <w:kern w:val="0"/>
          <w:szCs w:val="21"/>
        </w:rPr>
        <w:t>、若出现触发基金合同终止的情形，基金管理人将根据相关法律法规、《基金合同》等规定成立基金财产清算小组，履行基金财产清算程序。</w:t>
      </w:r>
      <w:r>
        <w:rPr>
          <w:rFonts w:eastAsia="宋体" w:cs="宋体" w:hint="eastAsia"/>
          <w:kern w:val="0"/>
          <w:szCs w:val="21"/>
        </w:rPr>
        <w:t>届时将</w:t>
      </w:r>
      <w:r>
        <w:rPr>
          <w:rFonts w:eastAsia="宋体" w:cs="宋体" w:hint="eastAsia"/>
          <w:kern w:val="0"/>
          <w:szCs w:val="21"/>
        </w:rPr>
        <w:t>不再办理申购（含定期定额投资）</w:t>
      </w:r>
      <w:r>
        <w:rPr>
          <w:rFonts w:eastAsia="宋体" w:cs="宋体" w:hint="eastAsia"/>
          <w:kern w:val="0"/>
          <w:szCs w:val="21"/>
        </w:rPr>
        <w:t>及</w:t>
      </w:r>
      <w:r>
        <w:rPr>
          <w:rFonts w:eastAsia="宋体" w:cs="宋体" w:hint="eastAsia"/>
          <w:kern w:val="0"/>
          <w:szCs w:val="21"/>
        </w:rPr>
        <w:t>赎回等业务</w:t>
      </w:r>
      <w:r>
        <w:rPr>
          <w:rFonts w:eastAsia="宋体" w:cs="宋体" w:hint="eastAsia"/>
          <w:kern w:val="0"/>
          <w:szCs w:val="21"/>
        </w:rPr>
        <w:t>，</w:t>
      </w:r>
      <w:r w:rsidRPr="001625ED">
        <w:rPr>
          <w:rFonts w:eastAsia="宋体" w:cs="宋体" w:hint="eastAsia"/>
          <w:kern w:val="0"/>
          <w:szCs w:val="21"/>
        </w:rPr>
        <w:t>敬请投资者注意投资风险，妥善做好投资安排</w:t>
      </w:r>
      <w:r w:rsidRPr="009D6CEC">
        <w:rPr>
          <w:rFonts w:eastAsia="宋体" w:cs="宋体" w:hint="eastAsia"/>
          <w:kern w:val="0"/>
          <w:szCs w:val="21"/>
        </w:rPr>
        <w:t>。</w:t>
      </w:r>
    </w:p>
    <w:p w:rsidR="004C07C6" w:rsidRDefault="00DF148F">
      <w:pPr>
        <w:autoSpaceDE w:val="0"/>
        <w:autoSpaceDN w:val="0"/>
        <w:adjustRightInd w:val="0"/>
        <w:spacing w:line="360" w:lineRule="auto"/>
        <w:ind w:firstLineChars="200" w:firstLine="420"/>
        <w:jc w:val="left"/>
        <w:rPr>
          <w:rFonts w:eastAsia="宋体" w:cs="宋体"/>
          <w:kern w:val="0"/>
          <w:szCs w:val="21"/>
        </w:rPr>
      </w:pPr>
      <w:r>
        <w:rPr>
          <w:rFonts w:eastAsia="宋体" w:cs="宋体"/>
          <w:kern w:val="0"/>
          <w:szCs w:val="21"/>
        </w:rPr>
        <w:t>3</w:t>
      </w:r>
      <w:r>
        <w:rPr>
          <w:rFonts w:eastAsia="宋体" w:cs="宋体" w:hint="eastAsia"/>
          <w:kern w:val="0"/>
          <w:szCs w:val="21"/>
        </w:rPr>
        <w:t>、投资者欲了解本基金的详细情况，请认真阅读本基金《基金合同》、《招募说明书》、《产品资料概要》</w:t>
      </w:r>
      <w:r w:rsidRPr="00E46A5A">
        <w:rPr>
          <w:rFonts w:eastAsia="宋体" w:cs="宋体" w:hint="eastAsia"/>
          <w:kern w:val="0"/>
          <w:szCs w:val="21"/>
        </w:rPr>
        <w:t>等信息披露文件</w:t>
      </w:r>
      <w:r>
        <w:rPr>
          <w:rFonts w:eastAsia="宋体" w:cs="宋体" w:hint="eastAsia"/>
          <w:kern w:val="0"/>
          <w:szCs w:val="21"/>
        </w:rPr>
        <w:t>及其更新，</w:t>
      </w:r>
      <w:r>
        <w:rPr>
          <w:rFonts w:eastAsia="宋体" w:cs="宋体"/>
          <w:kern w:val="0"/>
          <w:szCs w:val="21"/>
        </w:rPr>
        <w:t>投资者可以登陆</w:t>
      </w:r>
      <w:r>
        <w:rPr>
          <w:rFonts w:eastAsia="宋体" w:cs="宋体" w:hint="eastAsia"/>
          <w:kern w:val="0"/>
          <w:szCs w:val="21"/>
        </w:rPr>
        <w:t>上海国泰君安证券资产管理有限公司</w:t>
      </w:r>
      <w:r>
        <w:rPr>
          <w:rFonts w:eastAsia="宋体" w:cs="宋体"/>
          <w:kern w:val="0"/>
          <w:szCs w:val="21"/>
        </w:rPr>
        <w:t>网站（</w:t>
      </w:r>
      <w:r>
        <w:rPr>
          <w:rFonts w:eastAsia="宋体" w:cs="宋体"/>
          <w:kern w:val="0"/>
          <w:szCs w:val="21"/>
        </w:rPr>
        <w:t>www.</w:t>
      </w:r>
      <w:r>
        <w:rPr>
          <w:rFonts w:eastAsia="宋体" w:cs="宋体" w:hint="eastAsia"/>
          <w:kern w:val="0"/>
          <w:szCs w:val="21"/>
        </w:rPr>
        <w:t>gtjazg</w:t>
      </w:r>
      <w:r>
        <w:rPr>
          <w:rFonts w:eastAsia="宋体" w:cs="宋体"/>
          <w:kern w:val="0"/>
          <w:szCs w:val="21"/>
        </w:rPr>
        <w:t>.com</w:t>
      </w:r>
      <w:r>
        <w:rPr>
          <w:rFonts w:eastAsia="宋体" w:cs="宋体"/>
          <w:kern w:val="0"/>
          <w:szCs w:val="21"/>
        </w:rPr>
        <w:t>）或拨打</w:t>
      </w:r>
      <w:r>
        <w:rPr>
          <w:rFonts w:eastAsia="宋体" w:cs="宋体" w:hint="eastAsia"/>
          <w:kern w:val="0"/>
          <w:szCs w:val="21"/>
        </w:rPr>
        <w:t>上海国泰君安证券资产</w:t>
      </w:r>
      <w:r>
        <w:rPr>
          <w:rFonts w:eastAsia="宋体" w:cs="宋体"/>
          <w:kern w:val="0"/>
          <w:szCs w:val="21"/>
        </w:rPr>
        <w:t>管理有限公司客户服务热</w:t>
      </w:r>
      <w:r w:rsidRPr="00431753">
        <w:rPr>
          <w:rFonts w:eastAsia="宋体" w:cs="宋体"/>
          <w:kern w:val="0"/>
          <w:szCs w:val="21"/>
        </w:rPr>
        <w:t>线</w:t>
      </w:r>
      <w:r w:rsidRPr="00431753">
        <w:rPr>
          <w:rFonts w:eastAsia="宋体" w:cs="宋体"/>
          <w:kern w:val="0"/>
          <w:szCs w:val="21"/>
        </w:rPr>
        <w:t>95521</w:t>
      </w:r>
      <w:r w:rsidRPr="00431753">
        <w:rPr>
          <w:rFonts w:eastAsia="宋体" w:cs="宋体"/>
          <w:kern w:val="0"/>
          <w:szCs w:val="21"/>
        </w:rPr>
        <w:t>咨询</w:t>
      </w:r>
      <w:r w:rsidRPr="00431753">
        <w:rPr>
          <w:rFonts w:eastAsia="宋体" w:cs="宋体" w:hint="eastAsia"/>
          <w:kern w:val="0"/>
          <w:szCs w:val="21"/>
        </w:rPr>
        <w:t>。</w:t>
      </w:r>
    </w:p>
    <w:p w:rsidR="004C07C6" w:rsidRDefault="00DF148F" w:rsidP="00C554F7">
      <w:pPr>
        <w:autoSpaceDE w:val="0"/>
        <w:autoSpaceDN w:val="0"/>
        <w:adjustRightInd w:val="0"/>
        <w:spacing w:line="360" w:lineRule="auto"/>
        <w:ind w:firstLineChars="200" w:firstLine="420"/>
        <w:jc w:val="left"/>
        <w:rPr>
          <w:rFonts w:eastAsia="宋体" w:cs="宋体"/>
          <w:kern w:val="0"/>
          <w:szCs w:val="21"/>
        </w:rPr>
      </w:pPr>
      <w:r>
        <w:rPr>
          <w:rFonts w:eastAsia="宋体" w:cs="宋体" w:hint="eastAsia"/>
          <w:kern w:val="0"/>
          <w:szCs w:val="21"/>
        </w:rPr>
        <w:t>风险提示：</w:t>
      </w:r>
      <w:r w:rsidRPr="00C554F7">
        <w:rPr>
          <w:rFonts w:eastAsia="宋体" w:cs="宋体" w:hint="eastAsia"/>
          <w:kern w:val="0"/>
          <w:szCs w:val="21"/>
        </w:rPr>
        <w:t>基金管理人依照恪尽职守、诚实信用、谨慎勤勉的原则管理和运用基金财产，但不保证本基金一定盈利，也不保证最低收益。基金的过往业绩并不预示其未来表现。基金管理人管理的其他基金的业绩并不构成本基金业绩表现的保证。投资有风险，投资者申购本基金时应认真阅读本基金《基金合同》、《招募说明书》</w:t>
      </w:r>
      <w:r>
        <w:rPr>
          <w:rFonts w:eastAsia="宋体" w:cs="宋体" w:hint="eastAsia"/>
          <w:kern w:val="0"/>
          <w:szCs w:val="21"/>
        </w:rPr>
        <w:t>、《产品资料概要》</w:t>
      </w:r>
      <w:r w:rsidRPr="00E46A5A">
        <w:rPr>
          <w:rFonts w:eastAsia="宋体" w:cs="宋体" w:hint="eastAsia"/>
          <w:kern w:val="0"/>
          <w:szCs w:val="21"/>
        </w:rPr>
        <w:t>等信息披露文件</w:t>
      </w:r>
      <w:r>
        <w:rPr>
          <w:rFonts w:eastAsia="宋体" w:cs="宋体" w:hint="eastAsia"/>
          <w:kern w:val="0"/>
          <w:szCs w:val="21"/>
        </w:rPr>
        <w:t>及其更新</w:t>
      </w:r>
      <w:r w:rsidRPr="00C554F7">
        <w:rPr>
          <w:rFonts w:eastAsia="宋体" w:cs="宋体" w:hint="eastAsia"/>
          <w:kern w:val="0"/>
          <w:szCs w:val="21"/>
        </w:rPr>
        <w:t>，全面认识本基金的风险收益特征，自主判断本基金的投资价值，并应充分考虑自身的风险承受能力，选择适合自己的基金产品</w:t>
      </w:r>
      <w:r>
        <w:rPr>
          <w:rFonts w:eastAsia="宋体" w:cs="宋体" w:hint="eastAsia"/>
          <w:kern w:val="0"/>
          <w:szCs w:val="21"/>
        </w:rPr>
        <w:t>。</w:t>
      </w:r>
    </w:p>
    <w:p w:rsidR="004C07C6" w:rsidRDefault="00DF148F">
      <w:pPr>
        <w:autoSpaceDE w:val="0"/>
        <w:autoSpaceDN w:val="0"/>
        <w:adjustRightInd w:val="0"/>
        <w:spacing w:line="360" w:lineRule="auto"/>
        <w:ind w:firstLineChars="200" w:firstLine="420"/>
        <w:jc w:val="left"/>
        <w:rPr>
          <w:rFonts w:eastAsia="宋体" w:cs="宋体"/>
          <w:kern w:val="0"/>
          <w:szCs w:val="21"/>
        </w:rPr>
      </w:pPr>
    </w:p>
    <w:p w:rsidR="004C07C6" w:rsidRDefault="00DF148F">
      <w:pPr>
        <w:autoSpaceDE w:val="0"/>
        <w:autoSpaceDN w:val="0"/>
        <w:adjustRightInd w:val="0"/>
        <w:spacing w:line="360" w:lineRule="auto"/>
        <w:ind w:firstLineChars="200" w:firstLine="420"/>
        <w:jc w:val="left"/>
        <w:rPr>
          <w:rFonts w:eastAsia="宋体" w:cs="宋体"/>
          <w:kern w:val="0"/>
          <w:szCs w:val="21"/>
        </w:rPr>
      </w:pPr>
      <w:r>
        <w:rPr>
          <w:rFonts w:eastAsia="宋体" w:cs="宋体"/>
          <w:kern w:val="0"/>
          <w:szCs w:val="21"/>
        </w:rPr>
        <w:t>特此公告。</w:t>
      </w:r>
    </w:p>
    <w:p w:rsidR="004C07C6" w:rsidRDefault="00DF148F">
      <w:pPr>
        <w:autoSpaceDE w:val="0"/>
        <w:autoSpaceDN w:val="0"/>
        <w:adjustRightInd w:val="0"/>
        <w:spacing w:line="360" w:lineRule="auto"/>
        <w:ind w:firstLineChars="200" w:firstLine="420"/>
        <w:jc w:val="left"/>
        <w:rPr>
          <w:rFonts w:eastAsia="宋体" w:cs="宋体"/>
          <w:kern w:val="0"/>
          <w:szCs w:val="21"/>
        </w:rPr>
      </w:pPr>
    </w:p>
    <w:p w:rsidR="004C07C6" w:rsidRDefault="00DF148F">
      <w:pPr>
        <w:autoSpaceDE w:val="0"/>
        <w:autoSpaceDN w:val="0"/>
        <w:adjustRightInd w:val="0"/>
        <w:spacing w:line="360" w:lineRule="auto"/>
        <w:ind w:firstLineChars="200" w:firstLine="420"/>
        <w:jc w:val="left"/>
        <w:rPr>
          <w:rFonts w:eastAsia="宋体" w:cs="宋体"/>
          <w:kern w:val="0"/>
          <w:szCs w:val="21"/>
        </w:rPr>
      </w:pPr>
    </w:p>
    <w:p w:rsidR="004C07C6" w:rsidRDefault="00DF148F">
      <w:pPr>
        <w:autoSpaceDE w:val="0"/>
        <w:autoSpaceDN w:val="0"/>
        <w:adjustRightInd w:val="0"/>
        <w:spacing w:line="360" w:lineRule="auto"/>
        <w:ind w:firstLineChars="200" w:firstLine="420"/>
        <w:jc w:val="right"/>
        <w:rPr>
          <w:rFonts w:eastAsia="宋体" w:cs="宋体"/>
          <w:kern w:val="0"/>
          <w:szCs w:val="21"/>
        </w:rPr>
      </w:pPr>
      <w:r>
        <w:rPr>
          <w:rFonts w:eastAsia="宋体" w:cs="宋体" w:hint="eastAsia"/>
          <w:kern w:val="0"/>
          <w:szCs w:val="21"/>
        </w:rPr>
        <w:t>上海国泰君安证券资产管理有限公司</w:t>
      </w:r>
    </w:p>
    <w:p w:rsidR="004C07C6" w:rsidRDefault="00DF148F">
      <w:pPr>
        <w:wordWrap w:val="0"/>
        <w:autoSpaceDE w:val="0"/>
        <w:autoSpaceDN w:val="0"/>
        <w:adjustRightInd w:val="0"/>
        <w:spacing w:line="360" w:lineRule="auto"/>
        <w:ind w:firstLineChars="200" w:firstLine="420"/>
        <w:jc w:val="right"/>
        <w:rPr>
          <w:rFonts w:eastAsia="宋体" w:cs="宋体"/>
          <w:kern w:val="0"/>
          <w:szCs w:val="21"/>
        </w:rPr>
      </w:pPr>
      <w:r>
        <w:rPr>
          <w:rFonts w:eastAsia="宋体" w:cs="宋体" w:hint="eastAsia"/>
          <w:kern w:val="0"/>
          <w:szCs w:val="21"/>
        </w:rPr>
        <w:t>2</w:t>
      </w:r>
      <w:r>
        <w:rPr>
          <w:rFonts w:eastAsia="宋体" w:cs="宋体"/>
          <w:kern w:val="0"/>
          <w:szCs w:val="21"/>
        </w:rPr>
        <w:t>02</w:t>
      </w:r>
      <w:r>
        <w:rPr>
          <w:rFonts w:eastAsia="宋体" w:cs="宋体" w:hint="eastAsia"/>
          <w:kern w:val="0"/>
          <w:szCs w:val="21"/>
        </w:rPr>
        <w:t>4</w:t>
      </w:r>
      <w:r>
        <w:rPr>
          <w:rFonts w:eastAsia="宋体" w:cs="宋体" w:hint="eastAsia"/>
          <w:kern w:val="0"/>
          <w:szCs w:val="21"/>
        </w:rPr>
        <w:t>年</w:t>
      </w:r>
      <w:r>
        <w:rPr>
          <w:rFonts w:eastAsia="宋体" w:cs="宋体" w:hint="eastAsia"/>
          <w:kern w:val="0"/>
          <w:szCs w:val="21"/>
        </w:rPr>
        <w:t>12</w:t>
      </w:r>
      <w:r>
        <w:rPr>
          <w:rFonts w:eastAsia="宋体" w:cs="宋体" w:hint="eastAsia"/>
          <w:kern w:val="0"/>
          <w:szCs w:val="21"/>
        </w:rPr>
        <w:t>月</w:t>
      </w:r>
      <w:r>
        <w:rPr>
          <w:rFonts w:eastAsia="宋体" w:cs="宋体" w:hint="eastAsia"/>
          <w:kern w:val="0"/>
          <w:szCs w:val="21"/>
        </w:rPr>
        <w:t>1</w:t>
      </w:r>
      <w:r>
        <w:rPr>
          <w:rFonts w:eastAsia="宋体" w:cs="宋体" w:hint="eastAsia"/>
          <w:kern w:val="0"/>
          <w:szCs w:val="21"/>
        </w:rPr>
        <w:t>9</w:t>
      </w:r>
      <w:r>
        <w:rPr>
          <w:rFonts w:eastAsia="宋体" w:cs="宋体" w:hint="eastAsia"/>
          <w:kern w:val="0"/>
          <w:szCs w:val="21"/>
        </w:rPr>
        <w:t>日</w:t>
      </w:r>
    </w:p>
    <w:sectPr w:rsidR="004C07C6" w:rsidSect="003F2CCC">
      <w:headerReference w:type="even" r:id="rId6"/>
      <w:headerReference w:type="default" r:id="rId7"/>
      <w:headerReference w:type="firs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2CCC" w:rsidRDefault="003F2CCC" w:rsidP="003F2CCC">
      <w:r>
        <w:separator/>
      </w:r>
    </w:p>
  </w:endnote>
  <w:endnote w:type="continuationSeparator" w:id="0">
    <w:p w:rsidR="003F2CCC" w:rsidRDefault="003F2CCC" w:rsidP="003F2CC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2CCC" w:rsidRDefault="003F2CCC" w:rsidP="003F2CCC">
      <w:r>
        <w:separator/>
      </w:r>
    </w:p>
  </w:footnote>
  <w:footnote w:type="continuationSeparator" w:id="0">
    <w:p w:rsidR="003F2CCC" w:rsidRDefault="003F2CCC" w:rsidP="003F2C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CCC" w:rsidRDefault="003F2CCC">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0;margin-top:0;width:222.75pt;height:315.75pt;z-index:251660288;mso-position-horizontal:center;mso-position-horizontal-relative:page;mso-position-vertical:center;mso-position-vertical-relative:page">
          <v:imagedata r:id="rId1" o:title=""/>
          <o:lock v:ext="edit" aspectratio="f"/>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CCC" w:rsidRDefault="003F2CCC">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0;width:222.75pt;height:315.75pt;z-index:251658240;mso-position-horizontal:center;mso-position-horizontal-relative:page;mso-position-vertical:center;mso-position-vertical-relative:page">
          <v:imagedata r:id="rId1" o:title=""/>
          <o:lock v:ext="edit" aspectratio="f"/>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CCC" w:rsidRDefault="003F2CCC">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0;width:222.75pt;height:315.75pt;z-index:251659264;mso-position-horizontal:center;mso-position-horizontal-relative:page;mso-position-vertical:center;mso-position-vertical-relative:page">
          <v:imagedata r:id="rId1" o:title=""/>
          <o:lock v:ext="edit" aspectratio="f"/>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WI3MjcxNWE3NmI5ZGYzNDU5ZTgxNDM1NGYxMzg5ZmYifQ=="/>
  </w:docVars>
  <w:rsids>
    <w:rsidRoot w:val="003F2CCC"/>
    <w:rsid w:val="003F2CCC"/>
    <w:rsid w:val="00DF14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2CC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3F2CCC"/>
    <w:pPr>
      <w:jc w:val="left"/>
    </w:pPr>
  </w:style>
  <w:style w:type="paragraph" w:styleId="a4">
    <w:name w:val="Balloon Text"/>
    <w:basedOn w:val="a"/>
    <w:link w:val="Char0"/>
    <w:uiPriority w:val="99"/>
    <w:semiHidden/>
    <w:unhideWhenUsed/>
    <w:qFormat/>
    <w:rsid w:val="003F2CCC"/>
    <w:rPr>
      <w:sz w:val="18"/>
      <w:szCs w:val="18"/>
    </w:rPr>
  </w:style>
  <w:style w:type="paragraph" w:styleId="a5">
    <w:name w:val="footer"/>
    <w:basedOn w:val="a"/>
    <w:link w:val="Char1"/>
    <w:uiPriority w:val="99"/>
    <w:unhideWhenUsed/>
    <w:qFormat/>
    <w:rsid w:val="003F2CCC"/>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3F2CCC"/>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3F2CCC"/>
    <w:rPr>
      <w:b/>
      <w:bCs/>
    </w:rPr>
  </w:style>
  <w:style w:type="character" w:styleId="a8">
    <w:name w:val="annotation reference"/>
    <w:basedOn w:val="a0"/>
    <w:uiPriority w:val="99"/>
    <w:semiHidden/>
    <w:unhideWhenUsed/>
    <w:qFormat/>
    <w:rsid w:val="003F2CCC"/>
    <w:rPr>
      <w:sz w:val="21"/>
      <w:szCs w:val="21"/>
    </w:rPr>
  </w:style>
  <w:style w:type="paragraph" w:customStyle="1" w:styleId="Default">
    <w:name w:val="Default"/>
    <w:qFormat/>
    <w:rsid w:val="003F2CCC"/>
    <w:pPr>
      <w:widowControl w:val="0"/>
      <w:autoSpaceDE w:val="0"/>
      <w:autoSpaceDN w:val="0"/>
      <w:adjustRightInd w:val="0"/>
    </w:pPr>
    <w:rPr>
      <w:rFonts w:ascii="宋体" w:hAnsi="宋体" w:cs="宋体"/>
      <w:color w:val="000000"/>
      <w:sz w:val="24"/>
      <w:szCs w:val="24"/>
    </w:rPr>
  </w:style>
  <w:style w:type="character" w:customStyle="1" w:styleId="Char2">
    <w:name w:val="页眉 Char"/>
    <w:basedOn w:val="a0"/>
    <w:link w:val="a6"/>
    <w:uiPriority w:val="99"/>
    <w:qFormat/>
    <w:rsid w:val="003F2CCC"/>
    <w:rPr>
      <w:sz w:val="18"/>
      <w:szCs w:val="18"/>
    </w:rPr>
  </w:style>
  <w:style w:type="character" w:customStyle="1" w:styleId="Char1">
    <w:name w:val="页脚 Char"/>
    <w:basedOn w:val="a0"/>
    <w:link w:val="a5"/>
    <w:uiPriority w:val="99"/>
    <w:qFormat/>
    <w:rsid w:val="003F2CCC"/>
    <w:rPr>
      <w:sz w:val="18"/>
      <w:szCs w:val="18"/>
    </w:rPr>
  </w:style>
  <w:style w:type="character" w:customStyle="1" w:styleId="Char0">
    <w:name w:val="批注框文本 Char"/>
    <w:basedOn w:val="a0"/>
    <w:link w:val="a4"/>
    <w:uiPriority w:val="99"/>
    <w:semiHidden/>
    <w:qFormat/>
    <w:rsid w:val="003F2CCC"/>
    <w:rPr>
      <w:sz w:val="18"/>
      <w:szCs w:val="18"/>
    </w:rPr>
  </w:style>
  <w:style w:type="character" w:customStyle="1" w:styleId="Char">
    <w:name w:val="批注文字 Char"/>
    <w:basedOn w:val="a0"/>
    <w:link w:val="a3"/>
    <w:uiPriority w:val="99"/>
    <w:semiHidden/>
    <w:qFormat/>
    <w:rsid w:val="003F2CCC"/>
  </w:style>
  <w:style w:type="character" w:customStyle="1" w:styleId="Char3">
    <w:name w:val="批注主题 Char"/>
    <w:basedOn w:val="Char"/>
    <w:link w:val="a7"/>
    <w:uiPriority w:val="99"/>
    <w:semiHidden/>
    <w:qFormat/>
    <w:rsid w:val="003F2CCC"/>
    <w:rPr>
      <w:b/>
      <w:bCs/>
    </w:rPr>
  </w:style>
  <w:style w:type="paragraph" w:customStyle="1" w:styleId="1">
    <w:name w:val="修订1"/>
    <w:hidden/>
    <w:uiPriority w:val="99"/>
    <w:semiHidden/>
    <w:qFormat/>
    <w:rsid w:val="003F2CCC"/>
    <w:rPr>
      <w:kern w:val="2"/>
      <w:sz w:val="21"/>
      <w:szCs w:val="22"/>
    </w:rPr>
  </w:style>
  <w:style w:type="paragraph" w:styleId="a9">
    <w:name w:val="Revision"/>
    <w:hidden/>
    <w:uiPriority w:val="99"/>
    <w:unhideWhenUsed/>
    <w:rsid w:val="00E87262"/>
    <w:rPr>
      <w:kern w:val="2"/>
      <w:sz w:val="21"/>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192</Words>
  <Characters>1095</Characters>
  <Application>Microsoft Office Word</Application>
  <DocSecurity>4</DocSecurity>
  <Lines>9</Lines>
  <Paragraphs>2</Paragraphs>
  <ScaleCrop>false</ScaleCrop>
  <Company>Organization Name</Company>
  <LinksUpToDate>false</LinksUpToDate>
  <CharactersWithSpaces>1285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霍苏娜日</dc:creator>
  <cp:lastModifiedBy>ZHONGM</cp:lastModifiedBy>
  <cp:revision>2</cp:revision>
  <dcterms:created xsi:type="dcterms:W3CDTF">2024-12-18T16:01:00Z</dcterms:created>
  <dcterms:modified xsi:type="dcterms:W3CDTF">2024-12-18T16:01:00Z</dcterms:modified>
  <cp:contentStatus>国泰君安证券股份有限公司*国泰君安证券资产管理公司：关于国泰君安信息行业混合型发起式证券投资基金可能触发基金合同终止情形的第三次提示性公告，烦请于明天（2024年12月19日）发布，谢谢*zhanghaowen024861@gtjas.com*lkl@ssnews.com.cn * *chengang023613@gtjas.com,liyan026022@gtjas.com *2024-12-18 16:27:52;</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BD4F7FDA7C924C1581F159BB2B1A5DFA_12</vt:lpwstr>
  </property>
  <property fmtid="{D5CDD505-2E9C-101B-9397-08002B2CF9AE}" pid="3" name="KSOProductBuildVer">
    <vt:lpwstr>2052-12.1.0.18276</vt:lpwstr>
  </property>
</Properties>
</file>