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56" w:rsidRDefault="00146B56">
      <w:pPr>
        <w:ind w:firstLineChars="200" w:firstLine="420"/>
      </w:pPr>
      <w:bookmarkStart w:id="0" w:name="_GoBack"/>
      <w:bookmarkEnd w:id="0"/>
    </w:p>
    <w:p w:rsidR="00146B56" w:rsidRDefault="00724C48" w:rsidP="00E20FFB">
      <w:pPr>
        <w:spacing w:line="360" w:lineRule="auto"/>
        <w:jc w:val="center"/>
        <w:rPr>
          <w:b/>
          <w:sz w:val="24"/>
        </w:rPr>
      </w:pPr>
      <w:r>
        <w:rPr>
          <w:rFonts w:hAnsi="宋体"/>
          <w:b/>
          <w:bCs/>
          <w:sz w:val="24"/>
        </w:rPr>
        <w:t>华夏新锦顺灵活配置混合型证券投资基金</w:t>
      </w:r>
      <w:r w:rsidR="00912400">
        <w:rPr>
          <w:rFonts w:hint="eastAsia"/>
          <w:b/>
          <w:sz w:val="24"/>
        </w:rPr>
        <w:t>暂停申购</w:t>
      </w:r>
      <w:r w:rsidR="0037004E">
        <w:rPr>
          <w:rFonts w:hint="eastAsia"/>
          <w:b/>
          <w:sz w:val="24"/>
        </w:rPr>
        <w:t>及</w:t>
      </w:r>
      <w:r w:rsidR="00912400">
        <w:rPr>
          <w:rFonts w:hint="eastAsia"/>
          <w:b/>
          <w:sz w:val="24"/>
        </w:rPr>
        <w:t>转换转入业务的公告</w:t>
      </w:r>
    </w:p>
    <w:p w:rsidR="00146B56" w:rsidRDefault="00912400">
      <w:pPr>
        <w:spacing w:line="360" w:lineRule="auto"/>
        <w:jc w:val="center"/>
        <w:rPr>
          <w:b/>
          <w:sz w:val="24"/>
        </w:rPr>
      </w:pPr>
      <w:r>
        <w:rPr>
          <w:b/>
          <w:sz w:val="24"/>
        </w:rPr>
        <w:t>公告送出</w:t>
      </w:r>
      <w:bookmarkStart w:id="1" w:name="_Toc275961435"/>
      <w:r>
        <w:rPr>
          <w:b/>
          <w:sz w:val="24"/>
        </w:rPr>
        <w:t>日期：</w:t>
      </w:r>
      <w:r>
        <w:rPr>
          <w:b/>
          <w:sz w:val="24"/>
        </w:rPr>
        <w:t>2024</w:t>
      </w:r>
      <w:r>
        <w:rPr>
          <w:b/>
          <w:sz w:val="24"/>
        </w:rPr>
        <w:t>年</w:t>
      </w:r>
      <w:r w:rsidR="0037004E">
        <w:rPr>
          <w:b/>
          <w:sz w:val="24"/>
        </w:rPr>
        <w:t>1</w:t>
      </w:r>
      <w:r w:rsidR="00724C48">
        <w:rPr>
          <w:b/>
          <w:sz w:val="24"/>
        </w:rPr>
        <w:t>2</w:t>
      </w:r>
      <w:r>
        <w:rPr>
          <w:b/>
          <w:sz w:val="24"/>
        </w:rPr>
        <w:t>月</w:t>
      </w:r>
      <w:r w:rsidR="00724C48">
        <w:rPr>
          <w:b/>
          <w:sz w:val="24"/>
        </w:rPr>
        <w:t>18</w:t>
      </w:r>
      <w:r>
        <w:rPr>
          <w:b/>
          <w:sz w:val="24"/>
        </w:rPr>
        <w:t>日</w:t>
      </w:r>
    </w:p>
    <w:p w:rsidR="00146B56" w:rsidRDefault="00146B56">
      <w:pPr>
        <w:spacing w:line="360" w:lineRule="auto"/>
        <w:jc w:val="center"/>
        <w:rPr>
          <w:b/>
          <w:sz w:val="24"/>
        </w:rPr>
      </w:pPr>
    </w:p>
    <w:p w:rsidR="00146B56" w:rsidRDefault="00DD3361">
      <w:pPr>
        <w:pStyle w:val="2"/>
        <w:spacing w:before="0" w:after="0"/>
        <w:rPr>
          <w:rFonts w:ascii="宋体" w:eastAsia="宋体" w:hAnsi="宋体"/>
          <w:sz w:val="24"/>
          <w:szCs w:val="24"/>
        </w:rPr>
      </w:pPr>
      <w:r>
        <w:rPr>
          <w:rFonts w:ascii="Times New Roman" w:hAnsi="Times New Roman"/>
          <w:sz w:val="24"/>
          <w:szCs w:val="24"/>
        </w:rPr>
        <w:tab/>
      </w:r>
      <w:r w:rsidR="00912400">
        <w:rPr>
          <w:rFonts w:ascii="Times New Roman" w:hAnsi="Times New Roman"/>
          <w:sz w:val="24"/>
          <w:szCs w:val="24"/>
        </w:rPr>
        <w:t>1</w:t>
      </w:r>
      <w:r w:rsidR="00912400">
        <w:rPr>
          <w:rFonts w:ascii="宋体" w:eastAsia="宋体" w:hAnsi="宋体"/>
          <w:sz w:val="24"/>
          <w:szCs w:val="24"/>
        </w:rPr>
        <w:t>公告基本信息</w:t>
      </w:r>
      <w:bookmarkEnd w:id="1"/>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1"/>
        <w:gridCol w:w="3590"/>
        <w:gridCol w:w="3073"/>
      </w:tblGrid>
      <w:tr w:rsidR="00146B56">
        <w:trPr>
          <w:trHeight w:val="20"/>
          <w:jc w:val="center"/>
        </w:trPr>
        <w:tc>
          <w:tcPr>
            <w:tcW w:w="2801" w:type="dxa"/>
            <w:vAlign w:val="center"/>
          </w:tcPr>
          <w:p w:rsidR="00146B56" w:rsidRDefault="00912400">
            <w:pPr>
              <w:pStyle w:val="0"/>
              <w:rPr>
                <w:color w:val="000000"/>
                <w:szCs w:val="21"/>
              </w:rPr>
            </w:pPr>
            <w:r>
              <w:rPr>
                <w:rFonts w:hint="eastAsia"/>
                <w:color w:val="000000"/>
                <w:szCs w:val="21"/>
              </w:rPr>
              <w:t>基金名称</w:t>
            </w:r>
          </w:p>
        </w:tc>
        <w:tc>
          <w:tcPr>
            <w:tcW w:w="6663" w:type="dxa"/>
            <w:gridSpan w:val="2"/>
            <w:vAlign w:val="center"/>
          </w:tcPr>
          <w:p w:rsidR="00146B56" w:rsidRDefault="00724C48">
            <w:pPr>
              <w:jc w:val="left"/>
              <w:rPr>
                <w:color w:val="000000"/>
                <w:szCs w:val="21"/>
              </w:rPr>
            </w:pPr>
            <w:r>
              <w:rPr>
                <w:rFonts w:hint="eastAsia"/>
                <w:color w:val="000000"/>
                <w:szCs w:val="21"/>
              </w:rPr>
              <w:t>华夏新锦顺灵活配置混合型证券投资基金</w:t>
            </w:r>
          </w:p>
        </w:tc>
      </w:tr>
      <w:tr w:rsidR="00146B56">
        <w:trPr>
          <w:trHeight w:val="143"/>
          <w:jc w:val="center"/>
        </w:trPr>
        <w:tc>
          <w:tcPr>
            <w:tcW w:w="2801" w:type="dxa"/>
            <w:vAlign w:val="center"/>
          </w:tcPr>
          <w:p w:rsidR="00146B56" w:rsidRDefault="00912400">
            <w:pPr>
              <w:pStyle w:val="0"/>
              <w:rPr>
                <w:color w:val="000000"/>
                <w:szCs w:val="21"/>
              </w:rPr>
            </w:pPr>
            <w:r>
              <w:rPr>
                <w:color w:val="000000"/>
                <w:szCs w:val="21"/>
              </w:rPr>
              <w:t>基金</w:t>
            </w:r>
            <w:r>
              <w:rPr>
                <w:rFonts w:hint="eastAsia"/>
                <w:color w:val="000000"/>
                <w:szCs w:val="21"/>
              </w:rPr>
              <w:t>简称</w:t>
            </w:r>
          </w:p>
        </w:tc>
        <w:tc>
          <w:tcPr>
            <w:tcW w:w="6663" w:type="dxa"/>
            <w:gridSpan w:val="2"/>
            <w:vAlign w:val="center"/>
          </w:tcPr>
          <w:p w:rsidR="00146B56" w:rsidRDefault="00724C48" w:rsidP="00231BF3">
            <w:pPr>
              <w:pStyle w:val="0"/>
              <w:rPr>
                <w:color w:val="000000"/>
                <w:szCs w:val="21"/>
              </w:rPr>
            </w:pPr>
            <w:r>
              <w:rPr>
                <w:rFonts w:hint="eastAsia"/>
                <w:color w:val="000000"/>
                <w:szCs w:val="21"/>
              </w:rPr>
              <w:t>华夏新锦顺混合</w:t>
            </w:r>
          </w:p>
        </w:tc>
      </w:tr>
      <w:tr w:rsidR="00146B56">
        <w:trPr>
          <w:trHeight w:val="143"/>
          <w:jc w:val="center"/>
        </w:trPr>
        <w:tc>
          <w:tcPr>
            <w:tcW w:w="2801" w:type="dxa"/>
            <w:vAlign w:val="center"/>
          </w:tcPr>
          <w:p w:rsidR="00146B56" w:rsidRDefault="00912400">
            <w:pPr>
              <w:pStyle w:val="0"/>
              <w:rPr>
                <w:color w:val="000000"/>
                <w:szCs w:val="21"/>
              </w:rPr>
            </w:pPr>
            <w:r>
              <w:rPr>
                <w:rFonts w:hint="eastAsia"/>
                <w:color w:val="000000"/>
                <w:szCs w:val="21"/>
              </w:rPr>
              <w:t>基金主代码</w:t>
            </w:r>
          </w:p>
        </w:tc>
        <w:tc>
          <w:tcPr>
            <w:tcW w:w="6663" w:type="dxa"/>
            <w:gridSpan w:val="2"/>
            <w:vAlign w:val="center"/>
          </w:tcPr>
          <w:p w:rsidR="00146B56" w:rsidRDefault="00724C48">
            <w:pPr>
              <w:pStyle w:val="0"/>
              <w:rPr>
                <w:color w:val="000000"/>
                <w:szCs w:val="21"/>
              </w:rPr>
            </w:pPr>
            <w:r w:rsidRPr="00724C48">
              <w:rPr>
                <w:color w:val="000000"/>
                <w:szCs w:val="21"/>
              </w:rPr>
              <w:t>004046</w:t>
            </w:r>
          </w:p>
        </w:tc>
      </w:tr>
      <w:tr w:rsidR="00146B56">
        <w:trPr>
          <w:trHeight w:val="143"/>
          <w:jc w:val="center"/>
        </w:trPr>
        <w:tc>
          <w:tcPr>
            <w:tcW w:w="2801" w:type="dxa"/>
            <w:vAlign w:val="center"/>
          </w:tcPr>
          <w:p w:rsidR="00146B56" w:rsidRDefault="00912400">
            <w:pPr>
              <w:pStyle w:val="0"/>
              <w:rPr>
                <w:color w:val="000000"/>
                <w:szCs w:val="21"/>
              </w:rPr>
            </w:pPr>
            <w:r>
              <w:rPr>
                <w:rFonts w:hint="eastAsia"/>
                <w:color w:val="000000"/>
                <w:szCs w:val="21"/>
              </w:rPr>
              <w:t>基金管理人名称</w:t>
            </w:r>
          </w:p>
        </w:tc>
        <w:tc>
          <w:tcPr>
            <w:tcW w:w="6663" w:type="dxa"/>
            <w:gridSpan w:val="2"/>
            <w:vAlign w:val="center"/>
          </w:tcPr>
          <w:p w:rsidR="00146B56" w:rsidRDefault="00912400">
            <w:pPr>
              <w:pStyle w:val="0"/>
              <w:rPr>
                <w:color w:val="000000"/>
                <w:szCs w:val="21"/>
              </w:rPr>
            </w:pPr>
            <w:r>
              <w:rPr>
                <w:color w:val="000000"/>
                <w:szCs w:val="21"/>
              </w:rPr>
              <w:t>华夏基金管理有限公司</w:t>
            </w:r>
          </w:p>
        </w:tc>
      </w:tr>
      <w:tr w:rsidR="00146B56">
        <w:trPr>
          <w:trHeight w:val="20"/>
          <w:jc w:val="center"/>
        </w:trPr>
        <w:tc>
          <w:tcPr>
            <w:tcW w:w="2801" w:type="dxa"/>
            <w:vAlign w:val="center"/>
          </w:tcPr>
          <w:p w:rsidR="00146B56" w:rsidRDefault="00912400">
            <w:pPr>
              <w:pStyle w:val="0"/>
              <w:rPr>
                <w:color w:val="000000"/>
                <w:szCs w:val="21"/>
              </w:rPr>
            </w:pPr>
            <w:r>
              <w:rPr>
                <w:rFonts w:hint="eastAsia"/>
                <w:color w:val="000000"/>
                <w:szCs w:val="21"/>
              </w:rPr>
              <w:t>公告依据</w:t>
            </w:r>
          </w:p>
        </w:tc>
        <w:tc>
          <w:tcPr>
            <w:tcW w:w="6663" w:type="dxa"/>
            <w:gridSpan w:val="2"/>
            <w:vAlign w:val="center"/>
          </w:tcPr>
          <w:p w:rsidR="00146B56" w:rsidRDefault="00912400">
            <w:pPr>
              <w:pStyle w:val="0"/>
              <w:rPr>
                <w:color w:val="000000"/>
                <w:szCs w:val="21"/>
              </w:rPr>
            </w:pPr>
            <w:r>
              <w:rPr>
                <w:color w:val="000000"/>
                <w:szCs w:val="21"/>
              </w:rPr>
              <w:t>《</w:t>
            </w:r>
            <w:r w:rsidR="00724C48">
              <w:rPr>
                <w:rFonts w:hint="eastAsia"/>
                <w:color w:val="000000"/>
                <w:szCs w:val="21"/>
              </w:rPr>
              <w:t>华夏新锦顺灵活配置混合型证券投资基金</w:t>
            </w:r>
            <w:r>
              <w:rPr>
                <w:color w:val="000000"/>
                <w:szCs w:val="21"/>
              </w:rPr>
              <w:t>基金合同》《</w:t>
            </w:r>
            <w:r w:rsidR="00724C48">
              <w:rPr>
                <w:rFonts w:hint="eastAsia"/>
                <w:color w:val="000000"/>
                <w:szCs w:val="21"/>
              </w:rPr>
              <w:t>华夏新锦顺灵活配置混合型证券投资基金</w:t>
            </w:r>
            <w:r>
              <w:rPr>
                <w:color w:val="000000"/>
                <w:szCs w:val="21"/>
              </w:rPr>
              <w:t>招募说明书（更新）》</w:t>
            </w:r>
          </w:p>
        </w:tc>
      </w:tr>
      <w:tr w:rsidR="00146B56">
        <w:trPr>
          <w:trHeight w:val="20"/>
          <w:jc w:val="center"/>
        </w:trPr>
        <w:tc>
          <w:tcPr>
            <w:tcW w:w="2801" w:type="dxa"/>
            <w:vMerge w:val="restart"/>
            <w:vAlign w:val="center"/>
          </w:tcPr>
          <w:p w:rsidR="00146B56" w:rsidRDefault="00912400">
            <w:pPr>
              <w:pStyle w:val="0"/>
              <w:rPr>
                <w:color w:val="000000"/>
                <w:szCs w:val="21"/>
              </w:rPr>
            </w:pPr>
            <w:r>
              <w:rPr>
                <w:color w:val="000000"/>
                <w:szCs w:val="21"/>
              </w:rPr>
              <w:t>暂停相关业务的起始日及原因说明</w:t>
            </w:r>
          </w:p>
        </w:tc>
        <w:tc>
          <w:tcPr>
            <w:tcW w:w="3590" w:type="dxa"/>
            <w:vAlign w:val="center"/>
          </w:tcPr>
          <w:p w:rsidR="00146B56" w:rsidRDefault="00912400">
            <w:pPr>
              <w:pStyle w:val="0"/>
              <w:rPr>
                <w:color w:val="000000"/>
                <w:szCs w:val="21"/>
              </w:rPr>
            </w:pPr>
            <w:r>
              <w:rPr>
                <w:rFonts w:hint="eastAsia"/>
                <w:color w:val="000000"/>
                <w:szCs w:val="21"/>
              </w:rPr>
              <w:t>暂停申购起始日</w:t>
            </w:r>
          </w:p>
        </w:tc>
        <w:tc>
          <w:tcPr>
            <w:tcW w:w="3073" w:type="dxa"/>
            <w:vAlign w:val="center"/>
          </w:tcPr>
          <w:p w:rsidR="00146B56" w:rsidRDefault="002C2D0C" w:rsidP="0037004E">
            <w:pPr>
              <w:pStyle w:val="0"/>
              <w:rPr>
                <w:color w:val="000000"/>
                <w:szCs w:val="21"/>
              </w:rPr>
            </w:pPr>
            <w:r>
              <w:rPr>
                <w:color w:val="000000"/>
                <w:szCs w:val="21"/>
              </w:rPr>
              <w:t>2024</w:t>
            </w:r>
            <w:r>
              <w:rPr>
                <w:color w:val="000000"/>
                <w:szCs w:val="21"/>
              </w:rPr>
              <w:t>年</w:t>
            </w:r>
            <w:r w:rsidR="0037004E">
              <w:rPr>
                <w:color w:val="000000"/>
                <w:szCs w:val="21"/>
              </w:rPr>
              <w:t>1</w:t>
            </w:r>
            <w:r w:rsidR="00724C48">
              <w:rPr>
                <w:color w:val="000000"/>
                <w:szCs w:val="21"/>
              </w:rPr>
              <w:t>2</w:t>
            </w:r>
            <w:r>
              <w:rPr>
                <w:color w:val="000000"/>
                <w:szCs w:val="21"/>
              </w:rPr>
              <w:t>月</w:t>
            </w:r>
            <w:r w:rsidR="00724C48">
              <w:rPr>
                <w:color w:val="000000"/>
                <w:szCs w:val="21"/>
              </w:rPr>
              <w:t>19</w:t>
            </w:r>
            <w:r>
              <w:rPr>
                <w:color w:val="000000"/>
                <w:szCs w:val="21"/>
              </w:rPr>
              <w:t>日</w:t>
            </w:r>
          </w:p>
        </w:tc>
      </w:tr>
      <w:tr w:rsidR="00F74B18" w:rsidTr="00DD3361">
        <w:trPr>
          <w:trHeight w:val="20"/>
          <w:jc w:val="center"/>
        </w:trPr>
        <w:tc>
          <w:tcPr>
            <w:tcW w:w="2801" w:type="dxa"/>
            <w:vMerge/>
            <w:vAlign w:val="center"/>
          </w:tcPr>
          <w:p w:rsidR="00F74B18" w:rsidRDefault="00F74B18" w:rsidP="00F74B18">
            <w:pPr>
              <w:pStyle w:val="0"/>
              <w:rPr>
                <w:color w:val="000000"/>
                <w:szCs w:val="21"/>
              </w:rPr>
            </w:pPr>
          </w:p>
        </w:tc>
        <w:tc>
          <w:tcPr>
            <w:tcW w:w="3590" w:type="dxa"/>
            <w:vAlign w:val="center"/>
          </w:tcPr>
          <w:p w:rsidR="00F74B18" w:rsidRDefault="00F74B18" w:rsidP="00F74B18">
            <w:pPr>
              <w:pStyle w:val="0"/>
              <w:rPr>
                <w:color w:val="000000"/>
                <w:szCs w:val="21"/>
              </w:rPr>
            </w:pPr>
            <w:r>
              <w:rPr>
                <w:rFonts w:hint="eastAsia"/>
                <w:color w:val="000000"/>
                <w:szCs w:val="21"/>
              </w:rPr>
              <w:t>暂停转换转入起始日</w:t>
            </w:r>
          </w:p>
        </w:tc>
        <w:tc>
          <w:tcPr>
            <w:tcW w:w="3073" w:type="dxa"/>
          </w:tcPr>
          <w:p w:rsidR="00F74B18" w:rsidRDefault="00993225" w:rsidP="00F74B18">
            <w:r>
              <w:rPr>
                <w:color w:val="000000"/>
                <w:szCs w:val="21"/>
              </w:rPr>
              <w:t>2024</w:t>
            </w:r>
            <w:r>
              <w:rPr>
                <w:color w:val="000000"/>
                <w:szCs w:val="21"/>
              </w:rPr>
              <w:t>年</w:t>
            </w:r>
            <w:r w:rsidR="00724C48">
              <w:rPr>
                <w:color w:val="000000"/>
                <w:szCs w:val="21"/>
              </w:rPr>
              <w:t>12</w:t>
            </w:r>
            <w:r w:rsidR="00724C48">
              <w:rPr>
                <w:color w:val="000000"/>
                <w:szCs w:val="21"/>
              </w:rPr>
              <w:t>月</w:t>
            </w:r>
            <w:r w:rsidR="00724C48">
              <w:rPr>
                <w:color w:val="000000"/>
                <w:szCs w:val="21"/>
              </w:rPr>
              <w:t>19</w:t>
            </w:r>
            <w:r w:rsidR="00724C48">
              <w:rPr>
                <w:color w:val="000000"/>
                <w:szCs w:val="21"/>
              </w:rPr>
              <w:t>日</w:t>
            </w:r>
          </w:p>
        </w:tc>
      </w:tr>
      <w:tr w:rsidR="00146B56">
        <w:trPr>
          <w:trHeight w:val="20"/>
          <w:jc w:val="center"/>
        </w:trPr>
        <w:tc>
          <w:tcPr>
            <w:tcW w:w="2801" w:type="dxa"/>
            <w:vMerge/>
            <w:vAlign w:val="center"/>
          </w:tcPr>
          <w:p w:rsidR="00146B56" w:rsidRDefault="00146B56">
            <w:pPr>
              <w:pStyle w:val="0"/>
              <w:rPr>
                <w:color w:val="000000"/>
                <w:szCs w:val="21"/>
              </w:rPr>
            </w:pPr>
          </w:p>
        </w:tc>
        <w:tc>
          <w:tcPr>
            <w:tcW w:w="3590" w:type="dxa"/>
            <w:vAlign w:val="center"/>
          </w:tcPr>
          <w:p w:rsidR="00146B56" w:rsidRDefault="00912400" w:rsidP="0037004E">
            <w:pPr>
              <w:pStyle w:val="0"/>
              <w:rPr>
                <w:color w:val="000000"/>
                <w:szCs w:val="21"/>
              </w:rPr>
            </w:pPr>
            <w:r>
              <w:rPr>
                <w:color w:val="000000"/>
                <w:szCs w:val="21"/>
              </w:rPr>
              <w:t>暂停申购</w:t>
            </w:r>
            <w:r w:rsidR="0037004E">
              <w:rPr>
                <w:rFonts w:hint="eastAsia"/>
                <w:color w:val="000000"/>
                <w:szCs w:val="21"/>
              </w:rPr>
              <w:t>及</w:t>
            </w:r>
            <w:r>
              <w:rPr>
                <w:rFonts w:hint="eastAsia"/>
                <w:color w:val="000000"/>
                <w:szCs w:val="21"/>
              </w:rPr>
              <w:t>转换转入</w:t>
            </w:r>
            <w:r>
              <w:rPr>
                <w:color w:val="000000"/>
                <w:szCs w:val="21"/>
              </w:rPr>
              <w:t>的原因说明</w:t>
            </w:r>
          </w:p>
        </w:tc>
        <w:tc>
          <w:tcPr>
            <w:tcW w:w="3073" w:type="dxa"/>
            <w:vAlign w:val="center"/>
          </w:tcPr>
          <w:p w:rsidR="00146B56" w:rsidRDefault="00912400">
            <w:pPr>
              <w:autoSpaceDE w:val="0"/>
              <w:autoSpaceDN w:val="0"/>
              <w:adjustRightInd w:val="0"/>
              <w:jc w:val="left"/>
              <w:rPr>
                <w:color w:val="000000"/>
                <w:szCs w:val="21"/>
              </w:rPr>
            </w:pPr>
            <w:r>
              <w:rPr>
                <w:color w:val="000000"/>
                <w:szCs w:val="21"/>
              </w:rPr>
              <w:t>保护</w:t>
            </w:r>
            <w:r>
              <w:rPr>
                <w:rFonts w:hint="eastAsia"/>
                <w:color w:val="000000"/>
                <w:szCs w:val="21"/>
              </w:rPr>
              <w:t>投资者</w:t>
            </w:r>
            <w:r>
              <w:rPr>
                <w:color w:val="000000"/>
                <w:szCs w:val="21"/>
              </w:rPr>
              <w:t>利益</w:t>
            </w:r>
          </w:p>
        </w:tc>
      </w:tr>
      <w:tr w:rsidR="00146B56">
        <w:trPr>
          <w:trHeight w:val="20"/>
          <w:jc w:val="center"/>
        </w:trPr>
        <w:tc>
          <w:tcPr>
            <w:tcW w:w="2801" w:type="dxa"/>
            <w:vAlign w:val="center"/>
          </w:tcPr>
          <w:p w:rsidR="00146B56" w:rsidRDefault="00912400">
            <w:pPr>
              <w:pStyle w:val="0"/>
              <w:rPr>
                <w:color w:val="000000"/>
                <w:szCs w:val="21"/>
              </w:rPr>
            </w:pPr>
            <w:r>
              <w:rPr>
                <w:rFonts w:hint="eastAsia"/>
                <w:color w:val="000000"/>
                <w:szCs w:val="21"/>
              </w:rPr>
              <w:t>各基金份额类别的简称</w:t>
            </w:r>
          </w:p>
        </w:tc>
        <w:tc>
          <w:tcPr>
            <w:tcW w:w="3590" w:type="dxa"/>
          </w:tcPr>
          <w:p w:rsidR="00146B56" w:rsidRDefault="00724C48">
            <w:pPr>
              <w:pStyle w:val="0"/>
              <w:rPr>
                <w:szCs w:val="21"/>
              </w:rPr>
            </w:pPr>
            <w:r>
              <w:rPr>
                <w:rFonts w:hAnsi="宋体" w:hint="eastAsia"/>
                <w:color w:val="000000"/>
              </w:rPr>
              <w:t>华夏新锦顺混合</w:t>
            </w:r>
            <w:r w:rsidR="00F74B18" w:rsidRPr="00F74B18">
              <w:rPr>
                <w:rFonts w:hAnsi="宋体" w:hint="eastAsia"/>
                <w:color w:val="000000"/>
              </w:rPr>
              <w:t>A</w:t>
            </w:r>
          </w:p>
        </w:tc>
        <w:tc>
          <w:tcPr>
            <w:tcW w:w="3073" w:type="dxa"/>
          </w:tcPr>
          <w:p w:rsidR="00146B56" w:rsidRDefault="00724C48">
            <w:pPr>
              <w:pStyle w:val="0"/>
              <w:rPr>
                <w:color w:val="000000"/>
                <w:szCs w:val="21"/>
              </w:rPr>
            </w:pPr>
            <w:r>
              <w:rPr>
                <w:rFonts w:hint="eastAsia"/>
                <w:szCs w:val="21"/>
              </w:rPr>
              <w:t>华夏新锦顺混合</w:t>
            </w:r>
            <w:r w:rsidR="00F74B18" w:rsidRPr="00F74B18">
              <w:rPr>
                <w:rFonts w:hint="eastAsia"/>
                <w:szCs w:val="21"/>
              </w:rPr>
              <w:t>C</w:t>
            </w:r>
          </w:p>
        </w:tc>
      </w:tr>
      <w:tr w:rsidR="00146B56">
        <w:trPr>
          <w:trHeight w:val="20"/>
          <w:jc w:val="center"/>
        </w:trPr>
        <w:tc>
          <w:tcPr>
            <w:tcW w:w="2801" w:type="dxa"/>
            <w:vAlign w:val="center"/>
          </w:tcPr>
          <w:p w:rsidR="00146B56" w:rsidRDefault="00912400">
            <w:pPr>
              <w:pStyle w:val="0"/>
              <w:rPr>
                <w:color w:val="000000"/>
                <w:szCs w:val="21"/>
              </w:rPr>
            </w:pPr>
            <w:r>
              <w:rPr>
                <w:rFonts w:hint="eastAsia"/>
                <w:color w:val="000000"/>
                <w:szCs w:val="21"/>
              </w:rPr>
              <w:t>各基金份额类别的交易代码</w:t>
            </w:r>
          </w:p>
        </w:tc>
        <w:tc>
          <w:tcPr>
            <w:tcW w:w="3590" w:type="dxa"/>
            <w:vAlign w:val="center"/>
          </w:tcPr>
          <w:p w:rsidR="00146B56" w:rsidRDefault="00724C48">
            <w:pPr>
              <w:pStyle w:val="0"/>
              <w:rPr>
                <w:szCs w:val="21"/>
              </w:rPr>
            </w:pPr>
            <w:r w:rsidRPr="00724C48">
              <w:rPr>
                <w:color w:val="000000"/>
                <w:szCs w:val="21"/>
              </w:rPr>
              <w:t>004046</w:t>
            </w:r>
          </w:p>
        </w:tc>
        <w:tc>
          <w:tcPr>
            <w:tcW w:w="3073" w:type="dxa"/>
            <w:vAlign w:val="center"/>
          </w:tcPr>
          <w:p w:rsidR="00146B56" w:rsidRDefault="00724C48">
            <w:pPr>
              <w:pStyle w:val="0"/>
              <w:rPr>
                <w:szCs w:val="21"/>
              </w:rPr>
            </w:pPr>
            <w:r w:rsidRPr="00724C48">
              <w:rPr>
                <w:rFonts w:eastAsia="等线"/>
                <w:szCs w:val="21"/>
              </w:rPr>
              <w:t>004047</w:t>
            </w:r>
          </w:p>
        </w:tc>
      </w:tr>
      <w:tr w:rsidR="00146B56">
        <w:trPr>
          <w:trHeight w:val="20"/>
          <w:jc w:val="center"/>
        </w:trPr>
        <w:tc>
          <w:tcPr>
            <w:tcW w:w="2801" w:type="dxa"/>
            <w:vAlign w:val="center"/>
          </w:tcPr>
          <w:p w:rsidR="00146B56" w:rsidRDefault="00912400" w:rsidP="0037004E">
            <w:pPr>
              <w:pStyle w:val="0"/>
              <w:rPr>
                <w:color w:val="000000"/>
                <w:szCs w:val="21"/>
              </w:rPr>
            </w:pPr>
            <w:r>
              <w:rPr>
                <w:rFonts w:hint="eastAsia"/>
                <w:color w:val="000000"/>
                <w:szCs w:val="21"/>
              </w:rPr>
              <w:t>该基金份额类别是否暂停申购</w:t>
            </w:r>
            <w:r w:rsidR="0037004E">
              <w:rPr>
                <w:rFonts w:hint="eastAsia"/>
                <w:color w:val="000000"/>
                <w:szCs w:val="21"/>
              </w:rPr>
              <w:t>及</w:t>
            </w:r>
            <w:r>
              <w:rPr>
                <w:rFonts w:hint="eastAsia"/>
                <w:color w:val="000000"/>
                <w:szCs w:val="21"/>
              </w:rPr>
              <w:t>转换转入业务</w:t>
            </w:r>
          </w:p>
        </w:tc>
        <w:tc>
          <w:tcPr>
            <w:tcW w:w="3590" w:type="dxa"/>
            <w:vAlign w:val="center"/>
          </w:tcPr>
          <w:p w:rsidR="00146B56" w:rsidRDefault="00912400">
            <w:pPr>
              <w:pStyle w:val="0"/>
              <w:rPr>
                <w:color w:val="000000"/>
                <w:szCs w:val="21"/>
              </w:rPr>
            </w:pPr>
            <w:r>
              <w:rPr>
                <w:rFonts w:hint="eastAsia"/>
                <w:color w:val="000000"/>
                <w:szCs w:val="21"/>
              </w:rPr>
              <w:t>是</w:t>
            </w:r>
          </w:p>
        </w:tc>
        <w:tc>
          <w:tcPr>
            <w:tcW w:w="3073" w:type="dxa"/>
            <w:vAlign w:val="center"/>
          </w:tcPr>
          <w:p w:rsidR="00146B56" w:rsidRDefault="00912400">
            <w:pPr>
              <w:pStyle w:val="0"/>
              <w:rPr>
                <w:color w:val="000000"/>
                <w:szCs w:val="21"/>
              </w:rPr>
            </w:pPr>
            <w:r>
              <w:rPr>
                <w:rFonts w:hint="eastAsia"/>
                <w:color w:val="000000"/>
                <w:szCs w:val="21"/>
              </w:rPr>
              <w:t>是</w:t>
            </w:r>
          </w:p>
        </w:tc>
      </w:tr>
    </w:tbl>
    <w:p w:rsidR="00146B56" w:rsidRDefault="00DD3361">
      <w:pPr>
        <w:pStyle w:val="1"/>
        <w:spacing w:line="360" w:lineRule="auto"/>
        <w:rPr>
          <w:b/>
          <w:sz w:val="24"/>
        </w:rPr>
      </w:pPr>
      <w:bookmarkStart w:id="2" w:name="_Toc275961436"/>
      <w:r>
        <w:rPr>
          <w:b/>
          <w:sz w:val="24"/>
        </w:rPr>
        <w:tab/>
      </w:r>
      <w:r w:rsidR="00912400">
        <w:rPr>
          <w:b/>
          <w:sz w:val="24"/>
        </w:rPr>
        <w:t>2</w:t>
      </w:r>
      <w:r w:rsidR="00912400">
        <w:rPr>
          <w:rFonts w:ascii="宋体" w:hAnsi="宋体"/>
          <w:b/>
          <w:sz w:val="24"/>
        </w:rPr>
        <w:t>其他需要提示的事项</w:t>
      </w:r>
      <w:bookmarkEnd w:id="2"/>
    </w:p>
    <w:p w:rsidR="00F74B18" w:rsidRDefault="00912400" w:rsidP="00F74B18">
      <w:pPr>
        <w:spacing w:line="360" w:lineRule="auto"/>
        <w:ind w:firstLineChars="200" w:firstLine="480"/>
        <w:rPr>
          <w:rFonts w:hAnsi="宋体"/>
          <w:sz w:val="24"/>
        </w:rPr>
      </w:pPr>
      <w:r>
        <w:rPr>
          <w:rFonts w:hAnsi="宋体" w:hint="eastAsia"/>
          <w:sz w:val="24"/>
        </w:rPr>
        <w:t>为保护投资者利益，本基金管理人决定自</w:t>
      </w:r>
      <w:r w:rsidR="00E20FFB" w:rsidRPr="00993225">
        <w:rPr>
          <w:rFonts w:hAnsi="宋体" w:hint="eastAsia"/>
          <w:sz w:val="24"/>
        </w:rPr>
        <w:t>2024</w:t>
      </w:r>
      <w:r w:rsidR="00E20FFB" w:rsidRPr="00993225">
        <w:rPr>
          <w:rFonts w:hAnsi="宋体" w:hint="eastAsia"/>
          <w:sz w:val="24"/>
        </w:rPr>
        <w:t>年</w:t>
      </w:r>
      <w:r w:rsidR="00E20FFB">
        <w:rPr>
          <w:rFonts w:hAnsi="宋体"/>
          <w:sz w:val="24"/>
        </w:rPr>
        <w:t>1</w:t>
      </w:r>
      <w:r w:rsidR="00724C48">
        <w:rPr>
          <w:rFonts w:hAnsi="宋体"/>
          <w:sz w:val="24"/>
        </w:rPr>
        <w:t>2</w:t>
      </w:r>
      <w:r w:rsidR="00993225" w:rsidRPr="00993225">
        <w:rPr>
          <w:rFonts w:hAnsi="宋体" w:hint="eastAsia"/>
          <w:sz w:val="24"/>
        </w:rPr>
        <w:t>月</w:t>
      </w:r>
      <w:r w:rsidR="00724C48">
        <w:rPr>
          <w:rFonts w:hAnsi="宋体"/>
          <w:sz w:val="24"/>
        </w:rPr>
        <w:t>19</w:t>
      </w:r>
      <w:r w:rsidR="00993225" w:rsidRPr="00993225">
        <w:rPr>
          <w:rFonts w:hAnsi="宋体" w:hint="eastAsia"/>
          <w:sz w:val="24"/>
        </w:rPr>
        <w:t>日</w:t>
      </w:r>
      <w:r>
        <w:rPr>
          <w:rFonts w:hAnsi="宋体" w:hint="eastAsia"/>
          <w:sz w:val="24"/>
        </w:rPr>
        <w:t>起暂停本基金的申购</w:t>
      </w:r>
      <w:r w:rsidR="00E20FFB">
        <w:rPr>
          <w:rFonts w:hAnsi="宋体" w:hint="eastAsia"/>
          <w:sz w:val="24"/>
        </w:rPr>
        <w:t>及</w:t>
      </w:r>
      <w:r>
        <w:rPr>
          <w:rFonts w:hAnsi="宋体" w:hint="eastAsia"/>
          <w:sz w:val="24"/>
        </w:rPr>
        <w:t>转换转入业务办理。投资者可按照本基金基金合同、招募说明书（更新）的规定办理赎回、转换转出业务。</w:t>
      </w:r>
    </w:p>
    <w:p w:rsidR="00146B56" w:rsidRDefault="00F74B18" w:rsidP="00DD3361">
      <w:pPr>
        <w:spacing w:line="360" w:lineRule="auto"/>
        <w:ind w:firstLineChars="200" w:firstLine="480"/>
        <w:rPr>
          <w:rFonts w:hAnsi="宋体"/>
          <w:sz w:val="24"/>
        </w:rPr>
      </w:pPr>
      <w:r>
        <w:rPr>
          <w:rFonts w:hAnsi="宋体" w:hint="eastAsia"/>
          <w:sz w:val="24"/>
        </w:rPr>
        <w:t>本基金管理人于</w:t>
      </w:r>
      <w:r w:rsidR="00E20FFB">
        <w:rPr>
          <w:rFonts w:hAnsi="宋体" w:hint="eastAsia"/>
          <w:sz w:val="24"/>
        </w:rPr>
        <w:t>2</w:t>
      </w:r>
      <w:r w:rsidR="00E20FFB">
        <w:rPr>
          <w:rFonts w:hAnsi="宋体"/>
          <w:sz w:val="24"/>
        </w:rPr>
        <w:t>024</w:t>
      </w:r>
      <w:r w:rsidR="00E20FFB">
        <w:rPr>
          <w:rFonts w:hAnsi="宋体" w:hint="eastAsia"/>
          <w:sz w:val="24"/>
        </w:rPr>
        <w:t>年</w:t>
      </w:r>
      <w:r w:rsidR="00E20FFB">
        <w:rPr>
          <w:rFonts w:hAnsi="宋体"/>
          <w:sz w:val="24"/>
        </w:rPr>
        <w:t>1</w:t>
      </w:r>
      <w:r w:rsidR="00724C48">
        <w:rPr>
          <w:rFonts w:hAnsi="宋体"/>
          <w:sz w:val="24"/>
        </w:rPr>
        <w:t>2</w:t>
      </w:r>
      <w:r>
        <w:rPr>
          <w:rFonts w:hAnsi="宋体" w:hint="eastAsia"/>
          <w:sz w:val="24"/>
        </w:rPr>
        <w:t>月</w:t>
      </w:r>
      <w:r w:rsidR="00724C48">
        <w:rPr>
          <w:rFonts w:hAnsi="宋体"/>
          <w:sz w:val="24"/>
        </w:rPr>
        <w:t>18</w:t>
      </w:r>
      <w:r>
        <w:rPr>
          <w:rFonts w:hAnsi="宋体" w:hint="eastAsia"/>
          <w:sz w:val="24"/>
        </w:rPr>
        <w:t>日发布《</w:t>
      </w:r>
      <w:r w:rsidR="00724C48" w:rsidRPr="00724C48">
        <w:rPr>
          <w:rFonts w:hAnsi="宋体" w:hint="eastAsia"/>
          <w:sz w:val="24"/>
        </w:rPr>
        <w:t>华夏基金管理有限公司关于以通讯方式召开华夏新锦顺灵活配置混合型证券投资基金基金份额持有人大会的公告</w:t>
      </w:r>
      <w:r>
        <w:rPr>
          <w:rFonts w:hAnsi="宋体" w:hint="eastAsia"/>
          <w:sz w:val="24"/>
        </w:rPr>
        <w:t>》，拟</w:t>
      </w:r>
      <w:r w:rsidRPr="001179E8">
        <w:rPr>
          <w:sz w:val="24"/>
        </w:rPr>
        <w:t>以通讯方式召开本基金的基金份额持有人大会，</w:t>
      </w:r>
      <w:r w:rsidRPr="001179E8">
        <w:rPr>
          <w:rFonts w:hint="eastAsia"/>
          <w:sz w:val="24"/>
        </w:rPr>
        <w:t>审议本基金终止基金合同相关事宜</w:t>
      </w:r>
      <w:r w:rsidRPr="001179E8">
        <w:rPr>
          <w:sz w:val="24"/>
        </w:rPr>
        <w:t>。</w:t>
      </w:r>
      <w:r w:rsidRPr="00A75945">
        <w:rPr>
          <w:kern w:val="0"/>
          <w:sz w:val="24"/>
        </w:rPr>
        <w:t>如本次会议议案通过，本基金将以决</w:t>
      </w:r>
      <w:r w:rsidRPr="00710A99">
        <w:rPr>
          <w:kern w:val="0"/>
          <w:sz w:val="24"/>
        </w:rPr>
        <w:t>议生效</w:t>
      </w:r>
      <w:r w:rsidR="00724C48">
        <w:rPr>
          <w:rFonts w:hint="eastAsia"/>
          <w:kern w:val="0"/>
          <w:sz w:val="24"/>
        </w:rPr>
        <w:t>公告</w:t>
      </w:r>
      <w:r w:rsidRPr="00710A99">
        <w:rPr>
          <w:kern w:val="0"/>
          <w:sz w:val="24"/>
        </w:rPr>
        <w:t>日的下一个工作日为最后运作日</w:t>
      </w:r>
      <w:r>
        <w:rPr>
          <w:rFonts w:hint="eastAsia"/>
          <w:kern w:val="0"/>
          <w:sz w:val="24"/>
        </w:rPr>
        <w:t>，</w:t>
      </w:r>
      <w:r w:rsidRPr="00390F1F">
        <w:rPr>
          <w:kern w:val="0"/>
          <w:sz w:val="24"/>
        </w:rPr>
        <w:t>自</w:t>
      </w:r>
      <w:r w:rsidR="00E3401E">
        <w:rPr>
          <w:rFonts w:hint="eastAsia"/>
          <w:kern w:val="0"/>
          <w:sz w:val="24"/>
        </w:rPr>
        <w:t>最后运作日</w:t>
      </w:r>
      <w:r w:rsidR="00550775">
        <w:rPr>
          <w:rFonts w:hint="eastAsia"/>
          <w:kern w:val="0"/>
          <w:sz w:val="24"/>
        </w:rPr>
        <w:t>的</w:t>
      </w:r>
      <w:r w:rsidR="00E3401E">
        <w:rPr>
          <w:rFonts w:hint="eastAsia"/>
          <w:kern w:val="0"/>
          <w:sz w:val="24"/>
        </w:rPr>
        <w:t>次日</w:t>
      </w:r>
      <w:r w:rsidRPr="00390F1F">
        <w:rPr>
          <w:kern w:val="0"/>
          <w:sz w:val="24"/>
        </w:rPr>
        <w:t>起，本基金将进入基金财产清算程序</w:t>
      </w:r>
      <w:r w:rsidRPr="00710A99">
        <w:rPr>
          <w:rFonts w:hint="eastAsia"/>
          <w:kern w:val="0"/>
          <w:sz w:val="24"/>
        </w:rPr>
        <w:t>。</w:t>
      </w:r>
      <w:r>
        <w:rPr>
          <w:rFonts w:hint="eastAsia"/>
          <w:kern w:val="0"/>
          <w:sz w:val="24"/>
        </w:rPr>
        <w:t>本基金</w:t>
      </w:r>
      <w:r w:rsidRPr="00710A99">
        <w:rPr>
          <w:kern w:val="0"/>
          <w:sz w:val="24"/>
        </w:rPr>
        <w:t>进入基金财产清算程序后，</w:t>
      </w:r>
      <w:r w:rsidRPr="00A75945">
        <w:rPr>
          <w:kern w:val="0"/>
          <w:sz w:val="24"/>
        </w:rPr>
        <w:t>不再办理</w:t>
      </w:r>
      <w:r>
        <w:rPr>
          <w:rFonts w:hint="eastAsia"/>
          <w:kern w:val="0"/>
          <w:sz w:val="24"/>
        </w:rPr>
        <w:t>申购、</w:t>
      </w:r>
      <w:r w:rsidRPr="00A75945">
        <w:rPr>
          <w:kern w:val="0"/>
          <w:sz w:val="24"/>
        </w:rPr>
        <w:t>赎回</w:t>
      </w:r>
      <w:r w:rsidRPr="00A75945">
        <w:rPr>
          <w:rFonts w:hint="eastAsia"/>
          <w:kern w:val="0"/>
          <w:sz w:val="24"/>
        </w:rPr>
        <w:t>、转换</w:t>
      </w:r>
      <w:r w:rsidRPr="00A75945">
        <w:rPr>
          <w:kern w:val="0"/>
          <w:sz w:val="24"/>
        </w:rPr>
        <w:t>等业务</w:t>
      </w:r>
      <w:r w:rsidRPr="00710A99">
        <w:rPr>
          <w:kern w:val="0"/>
          <w:sz w:val="24"/>
        </w:rPr>
        <w:t>。投资者在</w:t>
      </w:r>
      <w:r w:rsidRPr="00710A99">
        <w:rPr>
          <w:rFonts w:hint="eastAsia"/>
          <w:kern w:val="0"/>
          <w:sz w:val="24"/>
        </w:rPr>
        <w:t>最后运作</w:t>
      </w:r>
      <w:r w:rsidRPr="00710A99">
        <w:rPr>
          <w:kern w:val="0"/>
          <w:sz w:val="24"/>
        </w:rPr>
        <w:t>日</w:t>
      </w:r>
      <w:r w:rsidRPr="00710A99">
        <w:rPr>
          <w:kern w:val="0"/>
          <w:sz w:val="24"/>
        </w:rPr>
        <w:t>15:00</w:t>
      </w:r>
      <w:r w:rsidRPr="00710A99">
        <w:rPr>
          <w:kern w:val="0"/>
          <w:sz w:val="24"/>
        </w:rPr>
        <w:t>前仍可按照本基金基金合同、招募说明书</w:t>
      </w:r>
      <w:r w:rsidRPr="00710A99">
        <w:rPr>
          <w:rFonts w:hint="eastAsia"/>
          <w:kern w:val="0"/>
          <w:sz w:val="24"/>
        </w:rPr>
        <w:t>（更新）</w:t>
      </w:r>
      <w:r w:rsidRPr="00710A99">
        <w:rPr>
          <w:kern w:val="0"/>
          <w:sz w:val="24"/>
        </w:rPr>
        <w:t>的约定办理本基金的赎回</w:t>
      </w:r>
      <w:r w:rsidRPr="00A75945">
        <w:rPr>
          <w:rFonts w:hint="eastAsia"/>
          <w:kern w:val="0"/>
          <w:sz w:val="24"/>
        </w:rPr>
        <w:t>、转换转出</w:t>
      </w:r>
      <w:r w:rsidRPr="00710A99">
        <w:rPr>
          <w:kern w:val="0"/>
          <w:sz w:val="24"/>
        </w:rPr>
        <w:t>业务</w:t>
      </w:r>
      <w:r w:rsidRPr="00710A99">
        <w:rPr>
          <w:rFonts w:hint="eastAsia"/>
          <w:kern w:val="0"/>
          <w:sz w:val="24"/>
        </w:rPr>
        <w:t>，</w:t>
      </w:r>
      <w:r w:rsidRPr="00710A99">
        <w:rPr>
          <w:kern w:val="0"/>
          <w:sz w:val="24"/>
        </w:rPr>
        <w:t>但投资者在</w:t>
      </w:r>
      <w:r w:rsidRPr="00710A99">
        <w:rPr>
          <w:rFonts w:hint="eastAsia"/>
          <w:kern w:val="0"/>
          <w:sz w:val="24"/>
        </w:rPr>
        <w:t>最后运作日</w:t>
      </w:r>
      <w:r w:rsidRPr="00710A99">
        <w:rPr>
          <w:kern w:val="0"/>
          <w:sz w:val="24"/>
        </w:rPr>
        <w:t>15:00</w:t>
      </w:r>
      <w:r w:rsidRPr="00710A99">
        <w:rPr>
          <w:kern w:val="0"/>
          <w:sz w:val="24"/>
        </w:rPr>
        <w:t>后提交的赎回、转换转出业务申请将被确认失败</w:t>
      </w:r>
      <w:r w:rsidRPr="00710A99">
        <w:rPr>
          <w:rFonts w:hint="eastAsia"/>
          <w:kern w:val="0"/>
          <w:sz w:val="24"/>
        </w:rPr>
        <w:t>，</w:t>
      </w:r>
      <w:r w:rsidRPr="00390F1F">
        <w:rPr>
          <w:rFonts w:hint="eastAsia"/>
          <w:kern w:val="0"/>
          <w:sz w:val="24"/>
        </w:rPr>
        <w:t>敬请投资者关注并合理进行投资安排</w:t>
      </w:r>
      <w:r w:rsidRPr="00710A99">
        <w:rPr>
          <w:kern w:val="0"/>
          <w:sz w:val="24"/>
        </w:rPr>
        <w:t>。</w:t>
      </w:r>
      <w:r w:rsidR="00912400">
        <w:rPr>
          <w:rFonts w:hAnsi="宋体" w:hint="eastAsia"/>
          <w:sz w:val="24"/>
        </w:rPr>
        <w:t>后续如有调整，本基金管理人将及时公告。</w:t>
      </w:r>
    </w:p>
    <w:p w:rsidR="00146B56" w:rsidRDefault="00912400">
      <w:pPr>
        <w:pStyle w:val="1"/>
        <w:widowControl/>
        <w:spacing w:line="360" w:lineRule="auto"/>
        <w:ind w:firstLine="480"/>
        <w:rPr>
          <w:color w:val="000000"/>
          <w:sz w:val="24"/>
        </w:rPr>
      </w:pPr>
      <w:r>
        <w:rPr>
          <w:color w:val="000000"/>
          <w:sz w:val="24"/>
        </w:rPr>
        <w:t>投资者可登录本公司网站（</w:t>
      </w:r>
      <w:r>
        <w:rPr>
          <w:color w:val="000000"/>
          <w:sz w:val="24"/>
        </w:rPr>
        <w:t>www.ChinaAMC.com</w:t>
      </w:r>
      <w:r>
        <w:rPr>
          <w:color w:val="000000"/>
          <w:sz w:val="24"/>
        </w:rPr>
        <w:t>）或拨打本公司客户服务电话（</w:t>
      </w:r>
      <w:r>
        <w:rPr>
          <w:color w:val="000000"/>
          <w:sz w:val="24"/>
        </w:rPr>
        <w:t>400-818-6666</w:t>
      </w:r>
      <w:r>
        <w:rPr>
          <w:color w:val="000000"/>
          <w:sz w:val="24"/>
        </w:rPr>
        <w:t>）获取相关信息。</w:t>
      </w:r>
    </w:p>
    <w:p w:rsidR="00146B56" w:rsidRDefault="00912400">
      <w:pPr>
        <w:widowControl/>
        <w:spacing w:line="360" w:lineRule="auto"/>
        <w:ind w:firstLine="480"/>
        <w:rPr>
          <w:color w:val="000000"/>
          <w:sz w:val="24"/>
        </w:rPr>
      </w:pPr>
      <w:r>
        <w:rPr>
          <w:rFonts w:hint="eastAsia"/>
          <w:color w:val="000000"/>
          <w:sz w:val="24"/>
        </w:rPr>
        <w:lastRenderedPageBreak/>
        <w:t>特此公告</w:t>
      </w:r>
    </w:p>
    <w:p w:rsidR="00146B56" w:rsidRDefault="00146B56">
      <w:pPr>
        <w:widowControl/>
        <w:spacing w:line="360" w:lineRule="auto"/>
        <w:jc w:val="right"/>
        <w:rPr>
          <w:color w:val="000000"/>
          <w:sz w:val="24"/>
        </w:rPr>
      </w:pPr>
    </w:p>
    <w:p w:rsidR="00146B56" w:rsidRDefault="00146B56">
      <w:pPr>
        <w:widowControl/>
        <w:spacing w:line="360" w:lineRule="auto"/>
        <w:jc w:val="right"/>
        <w:rPr>
          <w:color w:val="000000"/>
          <w:sz w:val="24"/>
        </w:rPr>
      </w:pPr>
    </w:p>
    <w:p w:rsidR="00146B56" w:rsidRDefault="00912400">
      <w:pPr>
        <w:widowControl/>
        <w:spacing w:line="360" w:lineRule="auto"/>
        <w:jc w:val="right"/>
        <w:rPr>
          <w:color w:val="000000"/>
          <w:sz w:val="24"/>
        </w:rPr>
      </w:pPr>
      <w:r>
        <w:rPr>
          <w:rFonts w:hint="eastAsia"/>
          <w:color w:val="000000"/>
          <w:sz w:val="24"/>
        </w:rPr>
        <w:t>华夏基金管理有限公司</w:t>
      </w:r>
    </w:p>
    <w:p w:rsidR="00146B56" w:rsidRDefault="00912400">
      <w:pPr>
        <w:pStyle w:val="1"/>
        <w:widowControl/>
        <w:spacing w:line="360" w:lineRule="auto"/>
        <w:ind w:firstLine="480"/>
        <w:jc w:val="right"/>
        <w:rPr>
          <w:color w:val="000000"/>
          <w:sz w:val="24"/>
        </w:rPr>
      </w:pPr>
      <w:r>
        <w:rPr>
          <w:color w:val="000000"/>
          <w:sz w:val="24"/>
        </w:rPr>
        <w:t>二〇二</w:t>
      </w:r>
      <w:r>
        <w:rPr>
          <w:rFonts w:hint="eastAsia"/>
          <w:color w:val="000000"/>
          <w:sz w:val="24"/>
        </w:rPr>
        <w:t>四</w:t>
      </w:r>
      <w:r>
        <w:rPr>
          <w:color w:val="000000"/>
          <w:sz w:val="24"/>
        </w:rPr>
        <w:t>年</w:t>
      </w:r>
      <w:r>
        <w:rPr>
          <w:rFonts w:hint="eastAsia"/>
          <w:color w:val="000000"/>
          <w:sz w:val="24"/>
        </w:rPr>
        <w:t>十</w:t>
      </w:r>
      <w:r w:rsidR="00724C48">
        <w:rPr>
          <w:rFonts w:hint="eastAsia"/>
          <w:color w:val="000000"/>
          <w:sz w:val="24"/>
        </w:rPr>
        <w:t>二</w:t>
      </w:r>
      <w:r>
        <w:rPr>
          <w:color w:val="000000"/>
          <w:sz w:val="24"/>
        </w:rPr>
        <w:t>月</w:t>
      </w:r>
      <w:r w:rsidR="00724C48">
        <w:rPr>
          <w:rFonts w:hint="eastAsia"/>
          <w:color w:val="000000"/>
          <w:sz w:val="24"/>
        </w:rPr>
        <w:t>十八</w:t>
      </w:r>
      <w:r>
        <w:rPr>
          <w:color w:val="000000"/>
          <w:sz w:val="24"/>
        </w:rPr>
        <w:t>日</w:t>
      </w:r>
    </w:p>
    <w:sectPr w:rsidR="00146B56" w:rsidSect="00410D9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00" w:rsidRDefault="00912400">
      <w:r>
        <w:separator/>
      </w:r>
    </w:p>
  </w:endnote>
  <w:endnote w:type="continuationSeparator" w:id="0">
    <w:p w:rsidR="00912400" w:rsidRDefault="00912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56" w:rsidRDefault="00FB0C8D">
    <w:pPr>
      <w:pStyle w:val="a4"/>
      <w:jc w:val="center"/>
      <w:rPr>
        <w:rFonts w:ascii="Times New Roman" w:hAnsi="Times New Roman"/>
      </w:rPr>
    </w:pPr>
    <w:r>
      <w:rPr>
        <w:rFonts w:ascii="Times New Roman" w:hAnsi="Times New Roman"/>
      </w:rPr>
      <w:fldChar w:fldCharType="begin"/>
    </w:r>
    <w:r w:rsidR="00912400">
      <w:rPr>
        <w:rFonts w:ascii="Times New Roman" w:hAnsi="Times New Roman"/>
      </w:rPr>
      <w:instrText>PAGE   \* MERGEFORMAT</w:instrText>
    </w:r>
    <w:r>
      <w:rPr>
        <w:rFonts w:ascii="Times New Roman" w:hAnsi="Times New Roman"/>
      </w:rPr>
      <w:fldChar w:fldCharType="separate"/>
    </w:r>
    <w:r w:rsidR="00537528" w:rsidRPr="00537528">
      <w:rPr>
        <w:rFonts w:ascii="Times New Roman" w:hAnsi="Times New Roman"/>
        <w:noProof/>
        <w:lang w:val="zh-CN"/>
      </w:rPr>
      <w:t>1</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00" w:rsidRDefault="00912400">
      <w:r>
        <w:separator/>
      </w:r>
    </w:p>
  </w:footnote>
  <w:footnote w:type="continuationSeparator" w:id="0">
    <w:p w:rsidR="00912400" w:rsidRDefault="00912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56" w:rsidRDefault="00146B5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B56"/>
    <w:rsid w:val="0001797F"/>
    <w:rsid w:val="00034F8F"/>
    <w:rsid w:val="000A2716"/>
    <w:rsid w:val="00146B56"/>
    <w:rsid w:val="00231BF3"/>
    <w:rsid w:val="002A0C69"/>
    <w:rsid w:val="002C2D0C"/>
    <w:rsid w:val="0037004E"/>
    <w:rsid w:val="0038684A"/>
    <w:rsid w:val="003C5FE0"/>
    <w:rsid w:val="0040578D"/>
    <w:rsid w:val="00410D9D"/>
    <w:rsid w:val="00456DA0"/>
    <w:rsid w:val="00457239"/>
    <w:rsid w:val="00504670"/>
    <w:rsid w:val="00514D1E"/>
    <w:rsid w:val="00537528"/>
    <w:rsid w:val="00550775"/>
    <w:rsid w:val="005872A9"/>
    <w:rsid w:val="00706A53"/>
    <w:rsid w:val="007140F2"/>
    <w:rsid w:val="00724C48"/>
    <w:rsid w:val="00847251"/>
    <w:rsid w:val="00890546"/>
    <w:rsid w:val="00912400"/>
    <w:rsid w:val="00993225"/>
    <w:rsid w:val="009A44F3"/>
    <w:rsid w:val="00BC102E"/>
    <w:rsid w:val="00DD3361"/>
    <w:rsid w:val="00E15E9B"/>
    <w:rsid w:val="00E20FFB"/>
    <w:rsid w:val="00E3401E"/>
    <w:rsid w:val="00E83823"/>
    <w:rsid w:val="00F74B18"/>
    <w:rsid w:val="00F854FC"/>
    <w:rsid w:val="00FB0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9D"/>
    <w:pPr>
      <w:widowControl w:val="0"/>
      <w:jc w:val="both"/>
    </w:pPr>
    <w:rPr>
      <w:rFonts w:ascii="Times New Roman" w:hAnsi="Times New Roman"/>
      <w:kern w:val="2"/>
      <w:sz w:val="21"/>
      <w:szCs w:val="24"/>
    </w:rPr>
  </w:style>
  <w:style w:type="paragraph" w:styleId="2">
    <w:name w:val="heading 2"/>
    <w:basedOn w:val="a"/>
    <w:next w:val="a"/>
    <w:link w:val="2Char"/>
    <w:qFormat/>
    <w:rsid w:val="00410D9D"/>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0D9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410D9D"/>
    <w:rPr>
      <w:sz w:val="18"/>
      <w:szCs w:val="18"/>
    </w:rPr>
  </w:style>
  <w:style w:type="paragraph" w:styleId="a4">
    <w:name w:val="footer"/>
    <w:basedOn w:val="a"/>
    <w:link w:val="Char0"/>
    <w:uiPriority w:val="99"/>
    <w:rsid w:val="00410D9D"/>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410D9D"/>
    <w:rPr>
      <w:sz w:val="18"/>
      <w:szCs w:val="18"/>
    </w:rPr>
  </w:style>
  <w:style w:type="character" w:customStyle="1" w:styleId="2Char">
    <w:name w:val="标题 2 Char"/>
    <w:link w:val="2"/>
    <w:rsid w:val="00410D9D"/>
    <w:rPr>
      <w:rFonts w:ascii="Arial" w:eastAsia="黑体" w:hAnsi="Arial" w:cs="Times New Roman"/>
      <w:b/>
      <w:bCs/>
      <w:sz w:val="32"/>
      <w:szCs w:val="32"/>
    </w:rPr>
  </w:style>
  <w:style w:type="paragraph" w:styleId="a5">
    <w:name w:val="Balloon Text"/>
    <w:basedOn w:val="a"/>
    <w:link w:val="Char1"/>
    <w:uiPriority w:val="99"/>
    <w:rsid w:val="00410D9D"/>
    <w:rPr>
      <w:kern w:val="0"/>
      <w:sz w:val="18"/>
      <w:szCs w:val="18"/>
    </w:rPr>
  </w:style>
  <w:style w:type="character" w:customStyle="1" w:styleId="Char1">
    <w:name w:val="批注框文本 Char"/>
    <w:link w:val="a5"/>
    <w:uiPriority w:val="99"/>
    <w:rsid w:val="00410D9D"/>
    <w:rPr>
      <w:rFonts w:ascii="Times New Roman" w:eastAsia="宋体" w:hAnsi="Times New Roman" w:cs="Times New Roman"/>
      <w:sz w:val="18"/>
      <w:szCs w:val="18"/>
    </w:rPr>
  </w:style>
  <w:style w:type="paragraph" w:customStyle="1" w:styleId="0">
    <w:name w:val="正文_0"/>
    <w:qFormat/>
    <w:rsid w:val="00410D9D"/>
    <w:pPr>
      <w:widowControl w:val="0"/>
      <w:jc w:val="both"/>
    </w:pPr>
    <w:rPr>
      <w:rFonts w:ascii="Times New Roman" w:hAnsi="Times New Roman"/>
      <w:kern w:val="2"/>
      <w:sz w:val="21"/>
      <w:szCs w:val="24"/>
    </w:rPr>
  </w:style>
  <w:style w:type="paragraph" w:customStyle="1" w:styleId="20">
    <w:name w:val="标题 2_0"/>
    <w:basedOn w:val="1"/>
    <w:next w:val="1"/>
    <w:link w:val="2Char0"/>
    <w:qFormat/>
    <w:rsid w:val="00410D9D"/>
    <w:pPr>
      <w:keepNext/>
      <w:keepLines/>
      <w:spacing w:before="260" w:after="260" w:line="416" w:lineRule="auto"/>
      <w:outlineLvl w:val="1"/>
    </w:pPr>
    <w:rPr>
      <w:rFonts w:ascii="Arial" w:eastAsia="黑体" w:hAnsi="Arial"/>
      <w:b/>
      <w:bCs/>
      <w:kern w:val="0"/>
      <w:sz w:val="32"/>
      <w:szCs w:val="32"/>
    </w:rPr>
  </w:style>
  <w:style w:type="paragraph" w:customStyle="1" w:styleId="1">
    <w:name w:val="正文_1"/>
    <w:qFormat/>
    <w:rsid w:val="00410D9D"/>
    <w:pPr>
      <w:widowControl w:val="0"/>
      <w:jc w:val="both"/>
    </w:pPr>
    <w:rPr>
      <w:rFonts w:ascii="Times New Roman" w:hAnsi="Times New Roman"/>
      <w:kern w:val="2"/>
      <w:sz w:val="21"/>
      <w:szCs w:val="24"/>
    </w:rPr>
  </w:style>
  <w:style w:type="character" w:customStyle="1" w:styleId="2Char0">
    <w:name w:val="标题 2 Char_0"/>
    <w:link w:val="20"/>
    <w:rsid w:val="00410D9D"/>
    <w:rPr>
      <w:rFonts w:ascii="Arial" w:eastAsia="黑体" w:hAnsi="Arial" w:cs="Times New Roman"/>
      <w:b/>
      <w:bCs/>
      <w:sz w:val="32"/>
      <w:szCs w:val="32"/>
    </w:rPr>
  </w:style>
  <w:style w:type="paragraph" w:styleId="a6">
    <w:name w:val="Document Map"/>
    <w:basedOn w:val="a"/>
    <w:link w:val="Char2"/>
    <w:uiPriority w:val="99"/>
    <w:rsid w:val="00410D9D"/>
    <w:rPr>
      <w:rFonts w:ascii="宋体"/>
      <w:sz w:val="18"/>
      <w:szCs w:val="18"/>
    </w:rPr>
  </w:style>
  <w:style w:type="character" w:customStyle="1" w:styleId="Char2">
    <w:name w:val="文档结构图 Char"/>
    <w:link w:val="a6"/>
    <w:uiPriority w:val="99"/>
    <w:rsid w:val="00410D9D"/>
    <w:rPr>
      <w:rFonts w:ascii="宋体" w:hAnsi="Times New Roman"/>
      <w:kern w:val="2"/>
      <w:sz w:val="18"/>
      <w:szCs w:val="18"/>
    </w:rPr>
  </w:style>
  <w:style w:type="character" w:styleId="a7">
    <w:name w:val="annotation reference"/>
    <w:uiPriority w:val="99"/>
    <w:rsid w:val="00410D9D"/>
    <w:rPr>
      <w:sz w:val="21"/>
      <w:szCs w:val="21"/>
    </w:rPr>
  </w:style>
  <w:style w:type="paragraph" w:styleId="a8">
    <w:name w:val="annotation text"/>
    <w:basedOn w:val="a"/>
    <w:link w:val="Char3"/>
    <w:uiPriority w:val="99"/>
    <w:rsid w:val="00410D9D"/>
    <w:pPr>
      <w:jc w:val="left"/>
    </w:pPr>
  </w:style>
  <w:style w:type="character" w:customStyle="1" w:styleId="Char3">
    <w:name w:val="批注文字 Char"/>
    <w:link w:val="a8"/>
    <w:uiPriority w:val="99"/>
    <w:rsid w:val="00410D9D"/>
    <w:rPr>
      <w:rFonts w:ascii="Times New Roman" w:hAnsi="Times New Roman"/>
      <w:kern w:val="2"/>
      <w:sz w:val="21"/>
      <w:szCs w:val="24"/>
    </w:rPr>
  </w:style>
  <w:style w:type="paragraph" w:styleId="a9">
    <w:name w:val="annotation subject"/>
    <w:basedOn w:val="a8"/>
    <w:next w:val="a8"/>
    <w:link w:val="Char4"/>
    <w:uiPriority w:val="99"/>
    <w:rsid w:val="00410D9D"/>
    <w:rPr>
      <w:b/>
      <w:bCs/>
    </w:rPr>
  </w:style>
  <w:style w:type="character" w:customStyle="1" w:styleId="Char4">
    <w:name w:val="批注主题 Char"/>
    <w:link w:val="a9"/>
    <w:uiPriority w:val="99"/>
    <w:rsid w:val="00410D9D"/>
    <w:rPr>
      <w:rFonts w:ascii="Times New Roman" w:hAnsi="Times New Roman"/>
      <w:b/>
      <w:bCs/>
      <w:kern w:val="2"/>
      <w:sz w:val="21"/>
      <w:szCs w:val="24"/>
    </w:rPr>
  </w:style>
  <w:style w:type="paragraph" w:styleId="aa">
    <w:name w:val="Revision"/>
    <w:uiPriority w:val="99"/>
    <w:rsid w:val="00410D9D"/>
    <w:rPr>
      <w:rFonts w:ascii="Times New Roman" w:hAnsi="Times New Roman"/>
      <w:kern w:val="2"/>
      <w:sz w:val="21"/>
      <w:szCs w:val="24"/>
    </w:rPr>
  </w:style>
  <w:style w:type="paragraph" w:customStyle="1" w:styleId="Default">
    <w:name w:val="&quot;Default&quot;"/>
    <w:rsid w:val="00410D9D"/>
    <w:pPr>
      <w:widowControl w:val="0"/>
      <w:autoSpaceDE w:val="0"/>
      <w:autoSpaceDN w:val="0"/>
      <w:adjustRightInd w:val="0"/>
    </w:pPr>
    <w:rPr>
      <w:rFonts w:ascii="宋体" w:hAnsi="Times New Roman" w:cs="宋体"/>
      <w:color w:val="000000"/>
      <w:sz w:val="24"/>
      <w:szCs w:val="24"/>
      <w:lang w:bidi="th-TH"/>
    </w:rPr>
  </w:style>
  <w:style w:type="paragraph" w:customStyle="1" w:styleId="Default0">
    <w:name w:val="&quot;Default&quot;"/>
    <w:rsid w:val="00410D9D"/>
    <w:pPr>
      <w:widowControl w:val="0"/>
      <w:autoSpaceDE w:val="0"/>
      <w:autoSpaceDN w:val="0"/>
      <w:adjustRightInd w:val="0"/>
    </w:pPr>
    <w:rPr>
      <w:rFonts w:ascii="宋体" w:hAnsi="Times New Roman" w:cs="宋体"/>
      <w:color w:val="000000"/>
      <w:sz w:val="24"/>
      <w:szCs w:val="24"/>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E6F773-60AB-4E08-9EA3-98E70985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4</DocSecurity>
  <Lines>6</Lines>
  <Paragraphs>1</Paragraphs>
  <ScaleCrop>false</ScaleCrop>
  <Company>Microsoft</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1899-12-31T16:00:00Z</cp:lastPrinted>
  <dcterms:created xsi:type="dcterms:W3CDTF">2024-12-17T16:03:00Z</dcterms:created>
  <dcterms:modified xsi:type="dcterms:W3CDTF">2024-12-17T16:03:00Z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aefceeef76eb441eaae97629e043764b</vt:lpwstr>
  </property>
</Properties>
</file>